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48" w:rsidRDefault="00B75E48" w:rsidP="00B75E48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BUILT HERITAGE INCENTIVE FUND </w:t>
      </w:r>
      <w:r>
        <w:rPr>
          <w:b/>
          <w:bCs/>
          <w:sz w:val="23"/>
          <w:szCs w:val="23"/>
        </w:rPr>
        <w:t xml:space="preserve">Full Criteria </w:t>
      </w:r>
    </w:p>
    <w:p w:rsidR="00B75E48" w:rsidRDefault="00B75E48" w:rsidP="00B75E48">
      <w:pPr>
        <w:pStyle w:val="Heading3"/>
        <w:spacing w:before="240" w:after="60"/>
        <w:rPr>
          <w:color w:val="000000"/>
          <w:sz w:val="26"/>
          <w:szCs w:val="26"/>
        </w:rPr>
      </w:pPr>
      <w:r>
        <w:rPr>
          <w:sz w:val="23"/>
          <w:szCs w:val="23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Prerequisites </w:t>
      </w:r>
    </w:p>
    <w:p w:rsidR="00B75E48" w:rsidRDefault="00B75E48" w:rsidP="00B75E48">
      <w:pPr>
        <w:pStyle w:val="Default"/>
        <w:spacing w:after="402"/>
        <w:rPr>
          <w:sz w:val="23"/>
          <w:szCs w:val="23"/>
        </w:rPr>
      </w:pPr>
      <w:r>
        <w:rPr>
          <w:sz w:val="23"/>
          <w:szCs w:val="23"/>
        </w:rPr>
        <w:t xml:space="preserve">1. The project makes a positive contribution to achieving the Council's Strategic Outcomes as listed in the Council's Long Term Plan. </w:t>
      </w:r>
    </w:p>
    <w:p w:rsidR="00B75E48" w:rsidRDefault="00B75E48" w:rsidP="00B75E48">
      <w:pPr>
        <w:pStyle w:val="Default"/>
        <w:spacing w:after="402"/>
        <w:rPr>
          <w:sz w:val="23"/>
          <w:szCs w:val="23"/>
        </w:rPr>
      </w:pPr>
      <w:r>
        <w:rPr>
          <w:sz w:val="23"/>
          <w:szCs w:val="23"/>
        </w:rPr>
        <w:t xml:space="preserve">2. The project is within Wellington city. </w:t>
      </w:r>
    </w:p>
    <w:p w:rsidR="00B75E48" w:rsidRDefault="00B75E48" w:rsidP="00B75E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The project relates to buildings and objects listed in the District Plan, or to buildings and objects identified as contributing to a heritage area listed in the District Plan.</w:t>
      </w:r>
    </w:p>
    <w:p w:rsidR="00B75E48" w:rsidRDefault="00B75E48" w:rsidP="00B75E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75E48" w:rsidRDefault="00B75E48" w:rsidP="00B75E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The project conserves and enhances the heritage significance of the item where elements of the item are protected by provisions of the District Plan (</w:t>
      </w:r>
      <w:proofErr w:type="spellStart"/>
      <w:r>
        <w:rPr>
          <w:sz w:val="23"/>
          <w:szCs w:val="23"/>
        </w:rPr>
        <w:t>eg</w:t>
      </w:r>
      <w:proofErr w:type="spellEnd"/>
      <w:r>
        <w:rPr>
          <w:sz w:val="23"/>
          <w:szCs w:val="23"/>
        </w:rPr>
        <w:t xml:space="preserve"> the exterior of a heritage place). </w:t>
      </w:r>
    </w:p>
    <w:p w:rsidR="00B75E48" w:rsidRDefault="00B75E48" w:rsidP="00B75E48">
      <w:pPr>
        <w:pStyle w:val="Default"/>
        <w:rPr>
          <w:sz w:val="23"/>
          <w:szCs w:val="23"/>
        </w:rPr>
      </w:pPr>
    </w:p>
    <w:p w:rsidR="00B75E48" w:rsidRDefault="00B75E48" w:rsidP="00B75E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The applicant is the owner or part-owner of the heritage building or object (</w:t>
      </w:r>
      <w:proofErr w:type="spellStart"/>
      <w:r>
        <w:rPr>
          <w:sz w:val="23"/>
          <w:szCs w:val="23"/>
        </w:rPr>
        <w:t>eg</w:t>
      </w:r>
      <w:proofErr w:type="spellEnd"/>
      <w:r>
        <w:rPr>
          <w:sz w:val="23"/>
          <w:szCs w:val="23"/>
        </w:rPr>
        <w:t xml:space="preserve"> a private owner, or a charitable trust including church organisations). The Crown, Crown entities, district health boards, community boards, Council controlled organisations and Council business units are not eligible for this funding. </w:t>
      </w:r>
    </w:p>
    <w:p w:rsidR="00B75E48" w:rsidRDefault="00B75E48" w:rsidP="00B75E48">
      <w:pPr>
        <w:pStyle w:val="Default"/>
        <w:rPr>
          <w:sz w:val="23"/>
          <w:szCs w:val="23"/>
        </w:rPr>
      </w:pPr>
    </w:p>
    <w:p w:rsidR="00B75E48" w:rsidRDefault="00B75E48" w:rsidP="00B75E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 xml:space="preserve">Assessment </w:t>
      </w:r>
      <w:r>
        <w:rPr>
          <w:sz w:val="23"/>
          <w:szCs w:val="23"/>
        </w:rPr>
        <w:t xml:space="preserve">The project must be for: </w:t>
      </w:r>
    </w:p>
    <w:p w:rsidR="00B75E48" w:rsidRDefault="00B75E48" w:rsidP="00B75E48">
      <w:pPr>
        <w:pStyle w:val="Default"/>
        <w:spacing w:after="390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stabilisation, repair or restoration of original heritage fabric relating to historic buildings, structures, or objects or their remains (</w:t>
      </w:r>
      <w:proofErr w:type="spellStart"/>
      <w:r>
        <w:rPr>
          <w:sz w:val="23"/>
          <w:szCs w:val="23"/>
        </w:rPr>
        <w:t>eg</w:t>
      </w:r>
      <w:proofErr w:type="spellEnd"/>
      <w:r>
        <w:rPr>
          <w:sz w:val="23"/>
          <w:szCs w:val="23"/>
        </w:rPr>
        <w:t xml:space="preserve"> repairs to masonry, joinery, plaster or glazing, earthquake strengthening, fire protection, protective works on archaeological sites) </w:t>
      </w:r>
    </w:p>
    <w:p w:rsidR="00B75E48" w:rsidRDefault="00B75E48" w:rsidP="00B75E48">
      <w:pPr>
        <w:pStyle w:val="Default"/>
        <w:spacing w:after="39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OR </w:t>
      </w:r>
    </w:p>
    <w:p w:rsidR="00B75E48" w:rsidRDefault="00B75E48" w:rsidP="00B75E48">
      <w:pPr>
        <w:pStyle w:val="Default"/>
        <w:spacing w:after="390"/>
        <w:rPr>
          <w:sz w:val="23"/>
          <w:szCs w:val="23"/>
        </w:rPr>
      </w:pPr>
      <w:proofErr w:type="gramStart"/>
      <w:r>
        <w:rPr>
          <w:sz w:val="23"/>
          <w:szCs w:val="23"/>
        </w:rPr>
        <w:t>b</w:t>
      </w:r>
      <w:proofErr w:type="gramEnd"/>
      <w:r>
        <w:rPr>
          <w:sz w:val="23"/>
          <w:szCs w:val="23"/>
        </w:rPr>
        <w:t>. professional services (</w:t>
      </w:r>
      <w:proofErr w:type="spellStart"/>
      <w:r>
        <w:rPr>
          <w:sz w:val="23"/>
          <w:szCs w:val="23"/>
        </w:rPr>
        <w:t>eg</w:t>
      </w:r>
      <w:proofErr w:type="spellEnd"/>
      <w:r>
        <w:rPr>
          <w:sz w:val="23"/>
          <w:szCs w:val="23"/>
        </w:rPr>
        <w:t xml:space="preserve"> structural strengthening reports, maintenance reports, conservation plans, archaeological site assessments, conservation work specifications, or supervision of work, technical advice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) </w:t>
      </w:r>
    </w:p>
    <w:p w:rsidR="00B75E48" w:rsidRPr="00B75E48" w:rsidRDefault="00B75E48" w:rsidP="00B75E48">
      <w:pPr>
        <w:pStyle w:val="Default"/>
        <w:spacing w:after="39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 </w:t>
      </w:r>
    </w:p>
    <w:p w:rsidR="00B75E48" w:rsidRDefault="00B75E48" w:rsidP="00B75E4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</w:t>
      </w:r>
      <w:proofErr w:type="gramEnd"/>
      <w:r>
        <w:rPr>
          <w:sz w:val="23"/>
          <w:szCs w:val="23"/>
        </w:rPr>
        <w:t xml:space="preserve">. reimbursement of Council resource consent fees for work which the Council supports as not harming heritage values, and where consent is required as a result of heritage listing </w:t>
      </w:r>
    </w:p>
    <w:p w:rsidR="00B75E48" w:rsidRDefault="00B75E48" w:rsidP="00B75E48">
      <w:pPr>
        <w:pStyle w:val="Default"/>
        <w:rPr>
          <w:sz w:val="23"/>
          <w:szCs w:val="23"/>
        </w:rPr>
      </w:pPr>
    </w:p>
    <w:p w:rsidR="00B75E48" w:rsidRDefault="00B75E48" w:rsidP="00B75E4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Note: </w:t>
      </w:r>
      <w:r>
        <w:rPr>
          <w:sz w:val="23"/>
          <w:szCs w:val="23"/>
        </w:rPr>
        <w:t xml:space="preserve">A project which has received funding for either </w:t>
      </w:r>
      <w:proofErr w:type="gramStart"/>
      <w:r>
        <w:rPr>
          <w:sz w:val="23"/>
          <w:szCs w:val="23"/>
        </w:rPr>
        <w:t>a or</w:t>
      </w:r>
      <w:proofErr w:type="gramEnd"/>
      <w:r>
        <w:rPr>
          <w:sz w:val="23"/>
          <w:szCs w:val="23"/>
        </w:rPr>
        <w:t xml:space="preserve"> b above is not eligible for c - reimbursement of Council resource consent fees. </w:t>
      </w:r>
    </w:p>
    <w:p w:rsidR="00B75E48" w:rsidRDefault="00B75E48" w:rsidP="00B75E48">
      <w:pPr>
        <w:pStyle w:val="Default"/>
        <w:rPr>
          <w:sz w:val="23"/>
          <w:szCs w:val="23"/>
        </w:rPr>
      </w:pPr>
    </w:p>
    <w:p w:rsidR="00B75E48" w:rsidRDefault="00B75E48" w:rsidP="00B75E48">
      <w:pPr>
        <w:pStyle w:val="Default"/>
        <w:pageBreakBefore/>
        <w:rPr>
          <w:sz w:val="23"/>
          <w:szCs w:val="23"/>
        </w:rPr>
      </w:pPr>
    </w:p>
    <w:p w:rsidR="00B75E48" w:rsidRDefault="00B75E48" w:rsidP="00B75E48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Administrative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applicant provides evidence of: </w:t>
      </w:r>
    </w:p>
    <w:p w:rsidR="00B75E48" w:rsidRPr="00B75E48" w:rsidRDefault="00B75E48" w:rsidP="00B75E48">
      <w:pPr>
        <w:pStyle w:val="Default"/>
        <w:spacing w:after="68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3"/>
          <w:szCs w:val="23"/>
        </w:rPr>
        <w:t xml:space="preserve">appropriate project management </w:t>
      </w:r>
    </w:p>
    <w:p w:rsidR="00B75E48" w:rsidRPr="00B75E48" w:rsidRDefault="00B75E48" w:rsidP="00B75E48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3"/>
          <w:szCs w:val="23"/>
        </w:rPr>
        <w:t xml:space="preserve">appropriate technical supervision </w:t>
      </w:r>
    </w:p>
    <w:p w:rsidR="00B75E48" w:rsidRPr="00B75E48" w:rsidRDefault="00B75E48" w:rsidP="00B75E48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3"/>
          <w:szCs w:val="23"/>
        </w:rPr>
        <w:t xml:space="preserve">sufficient resources to complete the project on time </w:t>
      </w:r>
    </w:p>
    <w:p w:rsidR="00B75E48" w:rsidRDefault="00B75E48" w:rsidP="00B75E48">
      <w:pPr>
        <w:pStyle w:val="Default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0"/>
          <w:szCs w:val="20"/>
        </w:rPr>
        <w:t>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3"/>
          <w:szCs w:val="23"/>
        </w:rPr>
        <w:t xml:space="preserve">demonstrated ability to report back on the project results as appropriate. </w:t>
      </w:r>
    </w:p>
    <w:p w:rsidR="00B75E48" w:rsidRPr="00B75E48" w:rsidRDefault="00B75E48" w:rsidP="00B75E48">
      <w:pPr>
        <w:pStyle w:val="Default"/>
        <w:rPr>
          <w:rFonts w:ascii="Courier New" w:hAnsi="Courier New" w:cs="Courier New"/>
          <w:sz w:val="20"/>
          <w:szCs w:val="20"/>
        </w:rPr>
      </w:pPr>
    </w:p>
    <w:p w:rsidR="00B75E48" w:rsidRDefault="00B75E48" w:rsidP="00B75E48">
      <w:pPr>
        <w:pStyle w:val="Default"/>
        <w:spacing w:after="402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8. Applications for funds over $3,000 will be considered only if a heritage report or advice from a qualified conservation professional is provided or budgeted for in the proposal. </w:t>
      </w:r>
    </w:p>
    <w:p w:rsidR="00B75E48" w:rsidRDefault="00B75E48" w:rsidP="00B75E48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9. Grants will only be assessed as a percentage of the heritage conservation component of a project, not of the total project cost. The grant assessment is at the sole discretion of the Council. </w:t>
      </w:r>
    </w:p>
    <w:p w:rsidR="00B75E48" w:rsidRDefault="00B75E48" w:rsidP="00B75E48">
      <w:pPr>
        <w:pStyle w:val="Default"/>
        <w:ind w:left="360" w:hanging="360"/>
        <w:rPr>
          <w:sz w:val="23"/>
          <w:szCs w:val="23"/>
        </w:rPr>
      </w:pPr>
    </w:p>
    <w:p w:rsidR="00B75E48" w:rsidRDefault="00B75E48" w:rsidP="00B75E48">
      <w:pPr>
        <w:pStyle w:val="Default"/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10. Only applications for work that has not yet commenced will be accepted for consideration. </w:t>
      </w:r>
    </w:p>
    <w:p w:rsidR="00B75E48" w:rsidRDefault="00B75E48" w:rsidP="00B75E48">
      <w:pPr>
        <w:pStyle w:val="Heading4"/>
        <w:spacing w:before="240" w:after="60"/>
        <w:rPr>
          <w:b/>
          <w:bCs/>
          <w:color w:val="000000"/>
          <w:sz w:val="28"/>
          <w:szCs w:val="28"/>
        </w:rPr>
      </w:pPr>
    </w:p>
    <w:p w:rsidR="00B75E48" w:rsidRPr="00B75E48" w:rsidRDefault="00B75E48" w:rsidP="00B75E48">
      <w:pPr>
        <w:pStyle w:val="Heading4"/>
        <w:spacing w:before="240" w:after="60"/>
        <w:rPr>
          <w:color w:val="000000"/>
          <w:sz w:val="28"/>
          <w:szCs w:val="28"/>
        </w:rPr>
      </w:pPr>
      <w:r w:rsidRPr="00B75E48">
        <w:rPr>
          <w:b/>
          <w:bCs/>
          <w:color w:val="000000"/>
          <w:sz w:val="28"/>
          <w:szCs w:val="28"/>
        </w:rPr>
        <w:t xml:space="preserve">Meeting the Council's strategic outcomes </w:t>
      </w:r>
    </w:p>
    <w:p w:rsidR="00B75E48" w:rsidRPr="00B75E48" w:rsidRDefault="00B75E48" w:rsidP="00B75E48">
      <w:pPr>
        <w:pStyle w:val="NormalWeb"/>
        <w:rPr>
          <w:color w:val="000000"/>
          <w:sz w:val="23"/>
          <w:szCs w:val="23"/>
        </w:rPr>
      </w:pPr>
      <w:r w:rsidRPr="00B75E48">
        <w:rPr>
          <w:color w:val="000000"/>
          <w:sz w:val="23"/>
          <w:szCs w:val="23"/>
        </w:rPr>
        <w:t xml:space="preserve">In particular, projects are considered relevant if they contribute to the following outcomes in the Council's Long Term Plan: </w:t>
      </w:r>
    </w:p>
    <w:p w:rsidR="00B75E48" w:rsidRPr="00B75E48" w:rsidRDefault="00B75E48" w:rsidP="00B75E48">
      <w:pPr>
        <w:pStyle w:val="Default"/>
        <w:rPr>
          <w:sz w:val="23"/>
          <w:szCs w:val="23"/>
        </w:rPr>
      </w:pPr>
      <w:r w:rsidRPr="00B75E48">
        <w:rPr>
          <w:i/>
          <w:iCs/>
          <w:sz w:val="23"/>
          <w:szCs w:val="23"/>
        </w:rPr>
        <w:t xml:space="preserve">6.5 Our overall aim is to make the city more liveable, retain its character, and enhance an even stronger 'sense of place' through continual improvement to public areas. </w:t>
      </w:r>
    </w:p>
    <w:p w:rsidR="00D13381" w:rsidRPr="00B75E48" w:rsidRDefault="00B75E48" w:rsidP="00B75E48">
      <w:pPr>
        <w:rPr>
          <w:rFonts w:ascii="Arial" w:hAnsi="Arial" w:cs="Arial"/>
          <w:sz w:val="24"/>
          <w:szCs w:val="24"/>
        </w:rPr>
      </w:pPr>
      <w:r w:rsidRPr="00B75E48">
        <w:rPr>
          <w:rFonts w:ascii="Arial" w:hAnsi="Arial" w:cs="Arial"/>
          <w:sz w:val="23"/>
          <w:szCs w:val="23"/>
        </w:rPr>
        <w:t>The repair and conservation of listed heritage buildings provides a positive contribution to achieving a 'stronger sense of place'.</w:t>
      </w:r>
    </w:p>
    <w:sectPr w:rsidR="00D13381" w:rsidRPr="00B75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48"/>
    <w:rsid w:val="00A128CF"/>
    <w:rsid w:val="00B75E48"/>
    <w:rsid w:val="00D1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Default"/>
    <w:next w:val="Default"/>
    <w:link w:val="Heading3Char"/>
    <w:uiPriority w:val="99"/>
    <w:qFormat/>
    <w:rsid w:val="00B75E48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B75E48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75E48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B75E48"/>
    <w:rPr>
      <w:rFonts w:ascii="Arial" w:hAnsi="Arial" w:cs="Arial"/>
      <w:sz w:val="24"/>
      <w:szCs w:val="24"/>
    </w:rPr>
  </w:style>
  <w:style w:type="paragraph" w:customStyle="1" w:styleId="Default">
    <w:name w:val="Default"/>
    <w:rsid w:val="00B75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75E4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Default"/>
    <w:next w:val="Default"/>
    <w:link w:val="Heading3Char"/>
    <w:uiPriority w:val="99"/>
    <w:qFormat/>
    <w:rsid w:val="00B75E48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B75E48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75E48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B75E48"/>
    <w:rPr>
      <w:rFonts w:ascii="Arial" w:hAnsi="Arial" w:cs="Arial"/>
      <w:sz w:val="24"/>
      <w:szCs w:val="24"/>
    </w:rPr>
  </w:style>
  <w:style w:type="paragraph" w:customStyle="1" w:styleId="Default">
    <w:name w:val="Default"/>
    <w:rsid w:val="00B75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75E4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2543</Characters>
  <Application>Microsoft Office Word</Application>
  <DocSecurity>4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keppel2t</dc:creator>
  <cp:keywords/>
  <dc:description/>
  <cp:lastModifiedBy>deslan2c</cp:lastModifiedBy>
  <cp:revision>2</cp:revision>
  <dcterms:created xsi:type="dcterms:W3CDTF">2014-08-18T22:54:00Z</dcterms:created>
  <dcterms:modified xsi:type="dcterms:W3CDTF">2014-08-18T22:54:00Z</dcterms:modified>
</cp:coreProperties>
</file>