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CB70F" w14:textId="7FC322D8" w:rsidR="00D1127B" w:rsidRPr="001310E3" w:rsidRDefault="00351416" w:rsidP="001310E3">
      <w:bookmarkStart w:id="0" w:name="_Toc432173943"/>
      <w:bookmarkStart w:id="1" w:name="_Toc432777498"/>
      <w:bookmarkStart w:id="2" w:name="_Toc55482624"/>
      <w:bookmarkStart w:id="3" w:name="_Toc61862878"/>
      <w:bookmarkStart w:id="4" w:name="_Toc14178571"/>
      <w:bookmarkStart w:id="5" w:name="_Toc528234321"/>
      <w:bookmarkStart w:id="6" w:name="Appendices"/>
      <w:bookmarkStart w:id="7" w:name="PPSid1731"/>
      <w:r>
        <w:rPr>
          <w:noProof/>
        </w:rPr>
        <w:drawing>
          <wp:anchor distT="0" distB="0" distL="114300" distR="114300" simplePos="0" relativeHeight="251658240" behindDoc="0" locked="0" layoutInCell="1" allowOverlap="1" wp14:anchorId="7C1CB572" wp14:editId="320F609B">
            <wp:simplePos x="0" y="0"/>
            <wp:positionH relativeFrom="page">
              <wp:posOffset>16510</wp:posOffset>
            </wp:positionH>
            <wp:positionV relativeFrom="paragraph">
              <wp:posOffset>-737870</wp:posOffset>
            </wp:positionV>
            <wp:extent cx="7543748" cy="10668000"/>
            <wp:effectExtent l="0" t="0" r="635" b="0"/>
            <wp:wrapNone/>
            <wp:docPr id="819373992" name="Picture 1" descr="A cover of a magaz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73992" name="Picture 1" descr="A cover of a magazine&#10;&#10;Description automatically generated"/>
                    <pic:cNvPicPr/>
                  </pic:nvPicPr>
                  <pic:blipFill>
                    <a:blip r:embed="rId8"/>
                    <a:stretch>
                      <a:fillRect/>
                    </a:stretch>
                  </pic:blipFill>
                  <pic:spPr>
                    <a:xfrm>
                      <a:off x="0" y="0"/>
                      <a:ext cx="7543748" cy="10668000"/>
                    </a:xfrm>
                    <a:prstGeom prst="rect">
                      <a:avLst/>
                    </a:prstGeom>
                  </pic:spPr>
                </pic:pic>
              </a:graphicData>
            </a:graphic>
            <wp14:sizeRelH relativeFrom="page">
              <wp14:pctWidth>0</wp14:pctWidth>
            </wp14:sizeRelH>
            <wp14:sizeRelV relativeFrom="page">
              <wp14:pctHeight>0</wp14:pctHeight>
            </wp14:sizeRelV>
          </wp:anchor>
        </w:drawing>
      </w:r>
    </w:p>
    <w:p w14:paraId="5B5D46C9" w14:textId="77777777" w:rsidR="00D6259F" w:rsidRPr="00D6259F" w:rsidRDefault="00D6259F" w:rsidP="00D6259F">
      <w:pPr>
        <w:pStyle w:val="SectionTitles"/>
        <w:rPr>
          <w:color w:val="000000" w:themeColor="text1"/>
          <w:lang w:val="en-NZ"/>
        </w:rPr>
      </w:pPr>
      <w:r w:rsidRPr="00D6259F">
        <w:rPr>
          <w:color w:val="000000" w:themeColor="text1"/>
          <w:lang w:val="en-NZ"/>
        </w:rPr>
        <w:t xml:space="preserve">Te </w:t>
      </w:r>
      <w:proofErr w:type="spellStart"/>
      <w:r w:rsidRPr="00D6259F">
        <w:rPr>
          <w:color w:val="000000" w:themeColor="text1"/>
          <w:lang w:val="en-NZ"/>
        </w:rPr>
        <w:t>Pūrongo</w:t>
      </w:r>
      <w:proofErr w:type="spellEnd"/>
      <w:r w:rsidRPr="00D6259F">
        <w:rPr>
          <w:color w:val="000000" w:themeColor="text1"/>
          <w:lang w:val="en-NZ"/>
        </w:rPr>
        <w:t xml:space="preserve"> ā-Tau</w:t>
      </w:r>
    </w:p>
    <w:p w14:paraId="2471631D" w14:textId="77777777" w:rsidR="00D6259F" w:rsidRPr="00D6259F" w:rsidRDefault="00D6259F" w:rsidP="00D6259F">
      <w:pPr>
        <w:pStyle w:val="SectionTitles"/>
        <w:spacing w:after="0"/>
        <w:rPr>
          <w:color w:val="000000" w:themeColor="text1"/>
          <w:lang w:val="en-NZ"/>
        </w:rPr>
      </w:pPr>
      <w:r w:rsidRPr="00D6259F">
        <w:rPr>
          <w:color w:val="000000" w:themeColor="text1"/>
          <w:lang w:val="en-NZ"/>
        </w:rPr>
        <w:t xml:space="preserve">Annual Report </w:t>
      </w:r>
    </w:p>
    <w:p w14:paraId="2CF41E10" w14:textId="77777777" w:rsidR="00D6259F" w:rsidRPr="00D6259F" w:rsidRDefault="00D6259F" w:rsidP="00D6259F">
      <w:pPr>
        <w:pStyle w:val="SectionTitles"/>
        <w:rPr>
          <w:color w:val="000000" w:themeColor="text1"/>
          <w:lang w:val="en-NZ"/>
        </w:rPr>
      </w:pPr>
      <w:r w:rsidRPr="00D6259F">
        <w:rPr>
          <w:color w:val="000000" w:themeColor="text1"/>
          <w:lang w:val="en-NZ"/>
        </w:rPr>
        <w:t>2023/24</w:t>
      </w:r>
    </w:p>
    <w:p w14:paraId="4EC9718E" w14:textId="1FE3C032" w:rsidR="0087307E" w:rsidRPr="00D6259F" w:rsidRDefault="00D6259F" w:rsidP="00D6259F">
      <w:pPr>
        <w:rPr>
          <w:rFonts w:ascii="Guardian Sans Semibold" w:hAnsi="Guardian Sans Semibold"/>
          <w:b/>
          <w:bCs/>
          <w:color w:val="000000" w:themeColor="text1"/>
          <w:sz w:val="32"/>
          <w:szCs w:val="32"/>
        </w:rPr>
      </w:pPr>
      <w:bookmarkStart w:id="8" w:name="_Toc177042050"/>
      <w:r w:rsidRPr="00D6259F">
        <w:rPr>
          <w:rFonts w:ascii="Guardian Sans Semibold" w:eastAsia="Guardian TextSans" w:hAnsi="Guardian Sans Semibold"/>
          <w:b/>
          <w:bCs/>
          <w:color w:val="000000" w:themeColor="text1"/>
          <w:sz w:val="32"/>
          <w:szCs w:val="32"/>
          <w:lang w:eastAsia="en-GB"/>
        </w:rPr>
        <w:t xml:space="preserve">Volume </w:t>
      </w:r>
      <w:bookmarkEnd w:id="8"/>
      <w:r w:rsidRPr="00D6259F">
        <w:rPr>
          <w:rFonts w:ascii="Guardian Sans Semibold" w:eastAsia="Guardian TextSans" w:hAnsi="Guardian Sans Semibold"/>
          <w:b/>
          <w:bCs/>
          <w:color w:val="000000" w:themeColor="text1"/>
          <w:sz w:val="32"/>
          <w:szCs w:val="32"/>
          <w:lang w:eastAsia="en-GB"/>
        </w:rPr>
        <w:t xml:space="preserve">2:  </w:t>
      </w:r>
      <w:r w:rsidR="0087307E" w:rsidRPr="00D6259F">
        <w:rPr>
          <w:rFonts w:ascii="Guardian Sans Semibold" w:hAnsi="Guardian Sans Semibold"/>
          <w:b/>
          <w:bCs/>
          <w:color w:val="000000" w:themeColor="text1"/>
          <w:sz w:val="32"/>
          <w:szCs w:val="32"/>
        </w:rPr>
        <w:t>Financial Statements</w:t>
      </w:r>
      <w:r w:rsidRPr="00D6259F">
        <w:rPr>
          <w:rFonts w:ascii="Guardian Sans Semibold" w:hAnsi="Guardian Sans Semibold"/>
          <w:b/>
          <w:bCs/>
          <w:color w:val="000000" w:themeColor="text1"/>
          <w:sz w:val="32"/>
          <w:szCs w:val="32"/>
        </w:rPr>
        <w:t xml:space="preserve"> </w:t>
      </w:r>
      <w:r w:rsidR="0087307E" w:rsidRPr="00D6259F">
        <w:rPr>
          <w:rFonts w:ascii="Guardian Sans Semibold" w:hAnsi="Guardian Sans Semibold"/>
          <w:b/>
          <w:bCs/>
          <w:color w:val="000000" w:themeColor="text1"/>
          <w:sz w:val="32"/>
          <w:szCs w:val="32"/>
        </w:rPr>
        <w:t>for</w:t>
      </w:r>
      <w:r w:rsidRPr="00D6259F">
        <w:rPr>
          <w:rFonts w:ascii="Guardian Sans Semibold" w:hAnsi="Guardian Sans Semibold"/>
          <w:b/>
          <w:bCs/>
          <w:color w:val="000000" w:themeColor="text1"/>
          <w:sz w:val="32"/>
          <w:szCs w:val="32"/>
        </w:rPr>
        <w:t xml:space="preserve"> </w:t>
      </w:r>
      <w:r w:rsidR="0087307E" w:rsidRPr="00D6259F">
        <w:rPr>
          <w:rFonts w:ascii="Guardian Sans Semibold" w:hAnsi="Guardian Sans Semibold"/>
          <w:b/>
          <w:bCs/>
          <w:color w:val="000000" w:themeColor="text1"/>
          <w:sz w:val="32"/>
          <w:szCs w:val="32"/>
        </w:rPr>
        <w:t>Council and</w:t>
      </w:r>
      <w:r w:rsidR="006020F7" w:rsidRPr="00D6259F">
        <w:rPr>
          <w:rFonts w:ascii="Guardian Sans Semibold" w:hAnsi="Guardian Sans Semibold"/>
          <w:b/>
          <w:bCs/>
          <w:color w:val="000000" w:themeColor="text1"/>
          <w:sz w:val="32"/>
          <w:szCs w:val="32"/>
        </w:rPr>
        <w:t xml:space="preserve"> Group</w:t>
      </w:r>
    </w:p>
    <w:p w14:paraId="2DA20219" w14:textId="77777777" w:rsidR="00D1127B" w:rsidRPr="001310E3" w:rsidRDefault="00D1127B" w:rsidP="001310E3"/>
    <w:p w14:paraId="528F2F43" w14:textId="77777777" w:rsidR="00D1127B" w:rsidRPr="001310E3" w:rsidRDefault="00D1127B" w:rsidP="001310E3"/>
    <w:p w14:paraId="722D47F0" w14:textId="77777777" w:rsidR="00D1127B" w:rsidRPr="001310E3" w:rsidRDefault="00D1127B" w:rsidP="001310E3"/>
    <w:p w14:paraId="4D5EDE73" w14:textId="77777777" w:rsidR="00D1127B" w:rsidRPr="001310E3" w:rsidRDefault="00D1127B" w:rsidP="001310E3"/>
    <w:p w14:paraId="1C64E10F" w14:textId="78957114" w:rsidR="00A86DA1" w:rsidRPr="00D6259F" w:rsidRDefault="007B409E" w:rsidP="00D6259F">
      <w:pPr>
        <w:pStyle w:val="Heading2"/>
      </w:pPr>
      <w:r w:rsidRPr="00D6259F">
        <w:rPr>
          <w:rStyle w:val="Heading2Char"/>
          <w:sz w:val="48"/>
        </w:rPr>
        <w:br w:type="page"/>
      </w:r>
      <w:proofErr w:type="spellStart"/>
      <w:r w:rsidR="00A86DA1" w:rsidRPr="00D6259F">
        <w:lastRenderedPageBreak/>
        <w:t>Ihirangi</w:t>
      </w:r>
      <w:proofErr w:type="spellEnd"/>
      <w:r w:rsidR="00A86DA1" w:rsidRPr="00D6259F">
        <w:t xml:space="preserve"> | Contents</w:t>
      </w:r>
    </w:p>
    <w:p w14:paraId="0C5A2BAD" w14:textId="77BE19C4" w:rsidR="0019572B" w:rsidRPr="00D6259F" w:rsidRDefault="0071255B">
      <w:pPr>
        <w:pStyle w:val="TOC1"/>
        <w:rPr>
          <w:rFonts w:asciiTheme="minorHAnsi" w:hAnsiTheme="minorHAnsi" w:cstheme="minorBidi"/>
          <w:b w:val="0"/>
          <w:color w:val="000000" w:themeColor="text1"/>
          <w:kern w:val="2"/>
          <w:lang w:eastAsia="en-NZ"/>
          <w14:ligatures w14:val="standardContextual"/>
        </w:rPr>
      </w:pPr>
      <w:r w:rsidRPr="00D6259F">
        <w:rPr>
          <w:b w:val="0"/>
          <w:color w:val="000000" w:themeColor="text1"/>
        </w:rPr>
        <w:fldChar w:fldCharType="begin"/>
      </w:r>
      <w:r w:rsidRPr="00D6259F">
        <w:rPr>
          <w:b w:val="0"/>
          <w:color w:val="000000" w:themeColor="text1"/>
        </w:rPr>
        <w:instrText xml:space="preserve"> TOC \o "1-2" \h \z \u </w:instrText>
      </w:r>
      <w:r w:rsidRPr="00D6259F">
        <w:rPr>
          <w:b w:val="0"/>
          <w:color w:val="000000" w:themeColor="text1"/>
        </w:rPr>
        <w:fldChar w:fldCharType="separate"/>
      </w:r>
      <w:hyperlink w:anchor="_Toc179890276" w:history="1">
        <w:r w:rsidR="0019572B" w:rsidRPr="00D6259F">
          <w:rPr>
            <w:rStyle w:val="Hyperlink"/>
            <w:color w:val="000000" w:themeColor="text1"/>
          </w:rPr>
          <w:t>Statement of Compliance and Responsibility</w:t>
        </w:r>
        <w:r w:rsidR="0019572B" w:rsidRPr="00D6259F">
          <w:rPr>
            <w:webHidden/>
            <w:color w:val="000000" w:themeColor="text1"/>
          </w:rPr>
          <w:tab/>
        </w:r>
        <w:r w:rsidR="0019572B" w:rsidRPr="00D6259F">
          <w:rPr>
            <w:webHidden/>
            <w:color w:val="000000" w:themeColor="text1"/>
          </w:rPr>
          <w:fldChar w:fldCharType="begin"/>
        </w:r>
        <w:r w:rsidR="0019572B" w:rsidRPr="00D6259F">
          <w:rPr>
            <w:webHidden/>
            <w:color w:val="000000" w:themeColor="text1"/>
          </w:rPr>
          <w:instrText xml:space="preserve"> PAGEREF _Toc179890276 \h </w:instrText>
        </w:r>
        <w:r w:rsidR="0019572B" w:rsidRPr="00D6259F">
          <w:rPr>
            <w:webHidden/>
            <w:color w:val="000000" w:themeColor="text1"/>
          </w:rPr>
        </w:r>
        <w:r w:rsidR="0019572B" w:rsidRPr="00D6259F">
          <w:rPr>
            <w:webHidden/>
            <w:color w:val="000000" w:themeColor="text1"/>
          </w:rPr>
          <w:fldChar w:fldCharType="separate"/>
        </w:r>
        <w:r w:rsidR="004E4845" w:rsidRPr="00D6259F">
          <w:rPr>
            <w:webHidden/>
            <w:color w:val="000000" w:themeColor="text1"/>
          </w:rPr>
          <w:t>4</w:t>
        </w:r>
        <w:r w:rsidR="0019572B" w:rsidRPr="00D6259F">
          <w:rPr>
            <w:webHidden/>
            <w:color w:val="000000" w:themeColor="text1"/>
          </w:rPr>
          <w:fldChar w:fldCharType="end"/>
        </w:r>
      </w:hyperlink>
    </w:p>
    <w:p w14:paraId="7A4A3308" w14:textId="5CD011D5" w:rsidR="0019572B" w:rsidRPr="00D6259F" w:rsidRDefault="00351416">
      <w:pPr>
        <w:pStyle w:val="TOC1"/>
        <w:rPr>
          <w:rFonts w:asciiTheme="minorHAnsi" w:hAnsiTheme="minorHAnsi" w:cstheme="minorBidi"/>
          <w:b w:val="0"/>
          <w:color w:val="000000" w:themeColor="text1"/>
          <w:kern w:val="2"/>
          <w:lang w:eastAsia="en-NZ"/>
          <w14:ligatures w14:val="standardContextual"/>
        </w:rPr>
      </w:pPr>
      <w:hyperlink w:anchor="_Toc179890277" w:history="1">
        <w:r w:rsidR="0019572B" w:rsidRPr="00D6259F">
          <w:rPr>
            <w:rStyle w:val="Hyperlink"/>
            <w:color w:val="000000" w:themeColor="text1"/>
          </w:rPr>
          <w:t>Basis of Reporting</w:t>
        </w:r>
        <w:r w:rsidR="0019572B" w:rsidRPr="00D6259F">
          <w:rPr>
            <w:webHidden/>
            <w:color w:val="000000" w:themeColor="text1"/>
          </w:rPr>
          <w:tab/>
        </w:r>
        <w:r w:rsidR="0019572B" w:rsidRPr="00D6259F">
          <w:rPr>
            <w:webHidden/>
            <w:color w:val="000000" w:themeColor="text1"/>
          </w:rPr>
          <w:fldChar w:fldCharType="begin"/>
        </w:r>
        <w:r w:rsidR="0019572B" w:rsidRPr="00D6259F">
          <w:rPr>
            <w:webHidden/>
            <w:color w:val="000000" w:themeColor="text1"/>
          </w:rPr>
          <w:instrText xml:space="preserve"> PAGEREF _Toc179890277 \h </w:instrText>
        </w:r>
        <w:r w:rsidR="0019572B" w:rsidRPr="00D6259F">
          <w:rPr>
            <w:webHidden/>
            <w:color w:val="000000" w:themeColor="text1"/>
          </w:rPr>
        </w:r>
        <w:r w:rsidR="0019572B" w:rsidRPr="00D6259F">
          <w:rPr>
            <w:webHidden/>
            <w:color w:val="000000" w:themeColor="text1"/>
          </w:rPr>
          <w:fldChar w:fldCharType="separate"/>
        </w:r>
        <w:r w:rsidR="004E4845" w:rsidRPr="00D6259F">
          <w:rPr>
            <w:webHidden/>
            <w:color w:val="000000" w:themeColor="text1"/>
          </w:rPr>
          <w:t>5</w:t>
        </w:r>
        <w:r w:rsidR="0019572B" w:rsidRPr="00D6259F">
          <w:rPr>
            <w:webHidden/>
            <w:color w:val="000000" w:themeColor="text1"/>
          </w:rPr>
          <w:fldChar w:fldCharType="end"/>
        </w:r>
      </w:hyperlink>
    </w:p>
    <w:p w14:paraId="0B94BA0A" w14:textId="33907EDC"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278" w:history="1">
        <w:r w:rsidR="0019572B" w:rsidRPr="00D6259F">
          <w:rPr>
            <w:rStyle w:val="Hyperlink"/>
            <w:noProof/>
            <w:color w:val="000000" w:themeColor="text1"/>
          </w:rPr>
          <w:t>Reporting entity</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_Toc179890278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5</w:t>
        </w:r>
        <w:r w:rsidR="0019572B" w:rsidRPr="00D6259F">
          <w:rPr>
            <w:noProof/>
            <w:webHidden/>
            <w:color w:val="000000" w:themeColor="text1"/>
          </w:rPr>
          <w:fldChar w:fldCharType="end"/>
        </w:r>
      </w:hyperlink>
    </w:p>
    <w:p w14:paraId="63B1B61F" w14:textId="07A16FDA"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279" w:history="1">
        <w:r w:rsidR="0019572B" w:rsidRPr="00D6259F">
          <w:rPr>
            <w:rStyle w:val="Hyperlink"/>
            <w:noProof/>
            <w:color w:val="000000" w:themeColor="text1"/>
          </w:rPr>
          <w:t>Council and Group structure</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_Toc179890279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6</w:t>
        </w:r>
        <w:r w:rsidR="0019572B" w:rsidRPr="00D6259F">
          <w:rPr>
            <w:noProof/>
            <w:webHidden/>
            <w:color w:val="000000" w:themeColor="text1"/>
          </w:rPr>
          <w:fldChar w:fldCharType="end"/>
        </w:r>
      </w:hyperlink>
    </w:p>
    <w:p w14:paraId="33A4AEB6" w14:textId="51CC6911"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280" w:history="1">
        <w:r w:rsidR="0019572B" w:rsidRPr="00D6259F">
          <w:rPr>
            <w:rStyle w:val="Hyperlink"/>
            <w:noProof/>
            <w:color w:val="000000" w:themeColor="text1"/>
          </w:rPr>
          <w:t>Basis of consolidation</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_Toc179890280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7</w:t>
        </w:r>
        <w:r w:rsidR="0019572B" w:rsidRPr="00D6259F">
          <w:rPr>
            <w:noProof/>
            <w:webHidden/>
            <w:color w:val="000000" w:themeColor="text1"/>
          </w:rPr>
          <w:fldChar w:fldCharType="end"/>
        </w:r>
      </w:hyperlink>
    </w:p>
    <w:p w14:paraId="4FCF41BA" w14:textId="38437172"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281" w:history="1">
        <w:r w:rsidR="0019572B" w:rsidRPr="00D6259F">
          <w:rPr>
            <w:rStyle w:val="Hyperlink"/>
            <w:noProof/>
            <w:color w:val="000000" w:themeColor="text1"/>
          </w:rPr>
          <w:t>Basis of preparation</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_Toc179890281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8</w:t>
        </w:r>
        <w:r w:rsidR="0019572B" w:rsidRPr="00D6259F">
          <w:rPr>
            <w:noProof/>
            <w:webHidden/>
            <w:color w:val="000000" w:themeColor="text1"/>
          </w:rPr>
          <w:fldChar w:fldCharType="end"/>
        </w:r>
      </w:hyperlink>
    </w:p>
    <w:p w14:paraId="5D194C98" w14:textId="77A06644"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282" w:history="1">
        <w:r w:rsidR="0019572B" w:rsidRPr="00D6259F">
          <w:rPr>
            <w:rStyle w:val="Hyperlink"/>
            <w:noProof/>
            <w:color w:val="000000" w:themeColor="text1"/>
          </w:rPr>
          <w:t>Other significant accounting policies</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_Toc179890282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8</w:t>
        </w:r>
        <w:r w:rsidR="0019572B" w:rsidRPr="00D6259F">
          <w:rPr>
            <w:noProof/>
            <w:webHidden/>
            <w:color w:val="000000" w:themeColor="text1"/>
          </w:rPr>
          <w:fldChar w:fldCharType="end"/>
        </w:r>
      </w:hyperlink>
    </w:p>
    <w:p w14:paraId="2E9C3CC2" w14:textId="215C710E" w:rsidR="0019572B" w:rsidRPr="00D6259F" w:rsidRDefault="00351416">
      <w:pPr>
        <w:pStyle w:val="TOC1"/>
        <w:rPr>
          <w:rFonts w:asciiTheme="minorHAnsi" w:hAnsiTheme="minorHAnsi" w:cstheme="minorBidi"/>
          <w:b w:val="0"/>
          <w:color w:val="000000" w:themeColor="text1"/>
          <w:kern w:val="2"/>
          <w:lang w:eastAsia="en-NZ"/>
          <w14:ligatures w14:val="standardContextual"/>
        </w:rPr>
      </w:pPr>
      <w:hyperlink w:anchor="_Toc179890283" w:history="1">
        <w:r w:rsidR="0019572B" w:rsidRPr="00D6259F">
          <w:rPr>
            <w:rStyle w:val="Hyperlink"/>
            <w:color w:val="000000" w:themeColor="text1"/>
          </w:rPr>
          <w:t>Statement of Comprehensive Revenue and Expense</w:t>
        </w:r>
        <w:r w:rsidR="0019572B" w:rsidRPr="00D6259F">
          <w:rPr>
            <w:webHidden/>
            <w:color w:val="000000" w:themeColor="text1"/>
          </w:rPr>
          <w:tab/>
        </w:r>
        <w:r w:rsidR="0019572B" w:rsidRPr="00D6259F">
          <w:rPr>
            <w:webHidden/>
            <w:color w:val="000000" w:themeColor="text1"/>
          </w:rPr>
          <w:fldChar w:fldCharType="begin"/>
        </w:r>
        <w:r w:rsidR="0019572B" w:rsidRPr="00D6259F">
          <w:rPr>
            <w:webHidden/>
            <w:color w:val="000000" w:themeColor="text1"/>
          </w:rPr>
          <w:instrText xml:space="preserve"> PAGEREF _Toc179890283 \h </w:instrText>
        </w:r>
        <w:r w:rsidR="0019572B" w:rsidRPr="00D6259F">
          <w:rPr>
            <w:webHidden/>
            <w:color w:val="000000" w:themeColor="text1"/>
          </w:rPr>
        </w:r>
        <w:r w:rsidR="0019572B" w:rsidRPr="00D6259F">
          <w:rPr>
            <w:webHidden/>
            <w:color w:val="000000" w:themeColor="text1"/>
          </w:rPr>
          <w:fldChar w:fldCharType="separate"/>
        </w:r>
        <w:r w:rsidR="004E4845" w:rsidRPr="00D6259F">
          <w:rPr>
            <w:webHidden/>
            <w:color w:val="000000" w:themeColor="text1"/>
          </w:rPr>
          <w:t>11</w:t>
        </w:r>
        <w:r w:rsidR="0019572B" w:rsidRPr="00D6259F">
          <w:rPr>
            <w:webHidden/>
            <w:color w:val="000000" w:themeColor="text1"/>
          </w:rPr>
          <w:fldChar w:fldCharType="end"/>
        </w:r>
      </w:hyperlink>
    </w:p>
    <w:p w14:paraId="3AD3BAA4" w14:textId="7B1B4C00"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284" w:history="1">
        <w:r w:rsidR="0019572B" w:rsidRPr="00D6259F">
          <w:rPr>
            <w:rStyle w:val="Hyperlink"/>
            <w:rFonts w:cs="Calibri"/>
            <w:noProof/>
            <w:color w:val="000000" w:themeColor="text1"/>
            <w:lang w:eastAsia="en-NZ"/>
          </w:rPr>
          <w:t>Statement of Comprehensive Revenue and Expense - Major budget variations</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_Toc179890284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13</w:t>
        </w:r>
        <w:r w:rsidR="0019572B" w:rsidRPr="00D6259F">
          <w:rPr>
            <w:noProof/>
            <w:webHidden/>
            <w:color w:val="000000" w:themeColor="text1"/>
          </w:rPr>
          <w:fldChar w:fldCharType="end"/>
        </w:r>
      </w:hyperlink>
    </w:p>
    <w:p w14:paraId="67ABE916" w14:textId="583CF7BD"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285" w:history="1">
        <w:r w:rsidR="0019572B" w:rsidRPr="00D6259F">
          <w:rPr>
            <w:rStyle w:val="Hyperlink"/>
            <w:noProof/>
            <w:color w:val="000000" w:themeColor="text1"/>
          </w:rPr>
          <w:t>Note 1: Rates revenue</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_Toc179890285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14</w:t>
        </w:r>
        <w:r w:rsidR="0019572B" w:rsidRPr="00D6259F">
          <w:rPr>
            <w:noProof/>
            <w:webHidden/>
            <w:color w:val="000000" w:themeColor="text1"/>
          </w:rPr>
          <w:fldChar w:fldCharType="end"/>
        </w:r>
      </w:hyperlink>
    </w:p>
    <w:p w14:paraId="4919E415" w14:textId="2A5B9FFA"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286" w:history="1">
        <w:r w:rsidR="0019572B" w:rsidRPr="00D6259F">
          <w:rPr>
            <w:rStyle w:val="Hyperlink"/>
            <w:noProof/>
            <w:color w:val="000000" w:themeColor="text1"/>
          </w:rPr>
          <w:t>Note 2: Revenue from operating activities</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_Toc179890286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15</w:t>
        </w:r>
        <w:r w:rsidR="0019572B" w:rsidRPr="00D6259F">
          <w:rPr>
            <w:noProof/>
            <w:webHidden/>
            <w:color w:val="000000" w:themeColor="text1"/>
          </w:rPr>
          <w:fldChar w:fldCharType="end"/>
        </w:r>
      </w:hyperlink>
    </w:p>
    <w:p w14:paraId="014FD379" w14:textId="659D6E24"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287" w:history="1">
        <w:r w:rsidR="0019572B" w:rsidRPr="00D6259F">
          <w:rPr>
            <w:rStyle w:val="Hyperlink"/>
            <w:noProof/>
            <w:color w:val="000000" w:themeColor="text1"/>
          </w:rPr>
          <w:t>Note 3: Investment revenue</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_Toc179890287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18</w:t>
        </w:r>
        <w:r w:rsidR="0019572B" w:rsidRPr="00D6259F">
          <w:rPr>
            <w:noProof/>
            <w:webHidden/>
            <w:color w:val="000000" w:themeColor="text1"/>
          </w:rPr>
          <w:fldChar w:fldCharType="end"/>
        </w:r>
      </w:hyperlink>
    </w:p>
    <w:p w14:paraId="6E707443" w14:textId="5B669835"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288" w:history="1">
        <w:r w:rsidR="0019572B" w:rsidRPr="00D6259F">
          <w:rPr>
            <w:rStyle w:val="Hyperlink"/>
            <w:noProof/>
            <w:color w:val="000000" w:themeColor="text1"/>
          </w:rPr>
          <w:t>Note 4: Vested assets and other revenue</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_Toc179890288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19</w:t>
        </w:r>
        <w:r w:rsidR="0019572B" w:rsidRPr="00D6259F">
          <w:rPr>
            <w:noProof/>
            <w:webHidden/>
            <w:color w:val="000000" w:themeColor="text1"/>
          </w:rPr>
          <w:fldChar w:fldCharType="end"/>
        </w:r>
      </w:hyperlink>
    </w:p>
    <w:p w14:paraId="6B292E17" w14:textId="114BFB00"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289" w:history="1">
        <w:r w:rsidR="0019572B" w:rsidRPr="00D6259F">
          <w:rPr>
            <w:rStyle w:val="Hyperlink"/>
            <w:noProof/>
            <w:color w:val="000000" w:themeColor="text1"/>
          </w:rPr>
          <w:t>Note 5: Fair value movements</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_Toc179890289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20</w:t>
        </w:r>
        <w:r w:rsidR="0019572B" w:rsidRPr="00D6259F">
          <w:rPr>
            <w:noProof/>
            <w:webHidden/>
            <w:color w:val="000000" w:themeColor="text1"/>
          </w:rPr>
          <w:fldChar w:fldCharType="end"/>
        </w:r>
      </w:hyperlink>
    </w:p>
    <w:p w14:paraId="25DA288F" w14:textId="7E2B1798"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290" w:history="1">
        <w:r w:rsidR="0019572B" w:rsidRPr="00D6259F">
          <w:rPr>
            <w:rStyle w:val="Hyperlink"/>
            <w:noProof/>
            <w:color w:val="000000" w:themeColor="text1"/>
          </w:rPr>
          <w:t>Note 6: Finance revenue and expense</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_Toc179890290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21</w:t>
        </w:r>
        <w:r w:rsidR="0019572B" w:rsidRPr="00D6259F">
          <w:rPr>
            <w:noProof/>
            <w:webHidden/>
            <w:color w:val="000000" w:themeColor="text1"/>
          </w:rPr>
          <w:fldChar w:fldCharType="end"/>
        </w:r>
      </w:hyperlink>
    </w:p>
    <w:p w14:paraId="3D52C7B2" w14:textId="09382497"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291" w:history="1">
        <w:r w:rsidR="0019572B" w:rsidRPr="00D6259F">
          <w:rPr>
            <w:rStyle w:val="Hyperlink"/>
            <w:noProof/>
            <w:color w:val="000000" w:themeColor="text1"/>
          </w:rPr>
          <w:t>Note 7: Expenditure on operating activities</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_Toc179890291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22</w:t>
        </w:r>
        <w:r w:rsidR="0019572B" w:rsidRPr="00D6259F">
          <w:rPr>
            <w:noProof/>
            <w:webHidden/>
            <w:color w:val="000000" w:themeColor="text1"/>
          </w:rPr>
          <w:fldChar w:fldCharType="end"/>
        </w:r>
      </w:hyperlink>
    </w:p>
    <w:p w14:paraId="2BC3D806" w14:textId="37681F7E"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292" w:history="1">
        <w:r w:rsidR="0019572B" w:rsidRPr="00D6259F">
          <w:rPr>
            <w:rStyle w:val="Hyperlink"/>
            <w:noProof/>
            <w:color w:val="000000" w:themeColor="text1"/>
          </w:rPr>
          <w:t>Note 8: Depreciation and amortisation</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_Toc179890292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25</w:t>
        </w:r>
        <w:r w:rsidR="0019572B" w:rsidRPr="00D6259F">
          <w:rPr>
            <w:noProof/>
            <w:webHidden/>
            <w:color w:val="000000" w:themeColor="text1"/>
          </w:rPr>
          <w:fldChar w:fldCharType="end"/>
        </w:r>
      </w:hyperlink>
    </w:p>
    <w:p w14:paraId="13432849" w14:textId="2AB76589"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293" w:history="1">
        <w:r w:rsidR="0019572B" w:rsidRPr="00D6259F">
          <w:rPr>
            <w:rStyle w:val="Hyperlink"/>
            <w:noProof/>
            <w:color w:val="000000" w:themeColor="text1"/>
          </w:rPr>
          <w:t>Note 9: Share of associates’ and joint venture’s surplus/(deficit)</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_Toc179890293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27</w:t>
        </w:r>
        <w:r w:rsidR="0019572B" w:rsidRPr="00D6259F">
          <w:rPr>
            <w:noProof/>
            <w:webHidden/>
            <w:color w:val="000000" w:themeColor="text1"/>
          </w:rPr>
          <w:fldChar w:fldCharType="end"/>
        </w:r>
      </w:hyperlink>
    </w:p>
    <w:p w14:paraId="126D44A6" w14:textId="380E7554"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294" w:history="1">
        <w:r w:rsidR="0019572B" w:rsidRPr="00D6259F">
          <w:rPr>
            <w:rStyle w:val="Hyperlink"/>
            <w:noProof/>
            <w:color w:val="000000" w:themeColor="text1"/>
          </w:rPr>
          <w:t>Note 10: Income tax</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_Toc179890294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27</w:t>
        </w:r>
        <w:r w:rsidR="0019572B" w:rsidRPr="00D6259F">
          <w:rPr>
            <w:noProof/>
            <w:webHidden/>
            <w:color w:val="000000" w:themeColor="text1"/>
          </w:rPr>
          <w:fldChar w:fldCharType="end"/>
        </w:r>
      </w:hyperlink>
    </w:p>
    <w:p w14:paraId="04EF5CC4" w14:textId="0A0695BC" w:rsidR="0019572B" w:rsidRPr="00D6259F" w:rsidRDefault="00351416">
      <w:pPr>
        <w:pStyle w:val="TOC1"/>
        <w:rPr>
          <w:rFonts w:asciiTheme="minorHAnsi" w:hAnsiTheme="minorHAnsi" w:cstheme="minorBidi"/>
          <w:b w:val="0"/>
          <w:color w:val="000000" w:themeColor="text1"/>
          <w:kern w:val="2"/>
          <w:lang w:eastAsia="en-NZ"/>
          <w14:ligatures w14:val="standardContextual"/>
        </w:rPr>
      </w:pPr>
      <w:hyperlink w:anchor="_Toc179890295" w:history="1">
        <w:r w:rsidR="0019572B" w:rsidRPr="00D6259F">
          <w:rPr>
            <w:rStyle w:val="Hyperlink"/>
            <w:color w:val="000000" w:themeColor="text1"/>
          </w:rPr>
          <w:t>Statement of Financial Position</w:t>
        </w:r>
        <w:r w:rsidR="0019572B" w:rsidRPr="00D6259F">
          <w:rPr>
            <w:webHidden/>
            <w:color w:val="000000" w:themeColor="text1"/>
          </w:rPr>
          <w:tab/>
        </w:r>
        <w:r w:rsidR="0019572B" w:rsidRPr="00D6259F">
          <w:rPr>
            <w:webHidden/>
            <w:color w:val="000000" w:themeColor="text1"/>
          </w:rPr>
          <w:fldChar w:fldCharType="begin"/>
        </w:r>
        <w:r w:rsidR="0019572B" w:rsidRPr="00D6259F">
          <w:rPr>
            <w:webHidden/>
            <w:color w:val="000000" w:themeColor="text1"/>
          </w:rPr>
          <w:instrText xml:space="preserve"> PAGEREF _Toc179890295 \h </w:instrText>
        </w:r>
        <w:r w:rsidR="0019572B" w:rsidRPr="00D6259F">
          <w:rPr>
            <w:webHidden/>
            <w:color w:val="000000" w:themeColor="text1"/>
          </w:rPr>
        </w:r>
        <w:r w:rsidR="0019572B" w:rsidRPr="00D6259F">
          <w:rPr>
            <w:webHidden/>
            <w:color w:val="000000" w:themeColor="text1"/>
          </w:rPr>
          <w:fldChar w:fldCharType="separate"/>
        </w:r>
        <w:r w:rsidR="004E4845" w:rsidRPr="00D6259F">
          <w:rPr>
            <w:webHidden/>
            <w:color w:val="000000" w:themeColor="text1"/>
          </w:rPr>
          <w:t>29</w:t>
        </w:r>
        <w:r w:rsidR="0019572B" w:rsidRPr="00D6259F">
          <w:rPr>
            <w:webHidden/>
            <w:color w:val="000000" w:themeColor="text1"/>
          </w:rPr>
          <w:fldChar w:fldCharType="end"/>
        </w:r>
      </w:hyperlink>
    </w:p>
    <w:p w14:paraId="6DC6711D" w14:textId="396FE2A4"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296" w:history="1">
        <w:r w:rsidR="0019572B" w:rsidRPr="00D6259F">
          <w:rPr>
            <w:rStyle w:val="Hyperlink"/>
            <w:rFonts w:cs="Calibri"/>
            <w:noProof/>
            <w:color w:val="000000" w:themeColor="text1"/>
            <w:lang w:eastAsia="en-NZ"/>
          </w:rPr>
          <w:t>Statement of Financial Position - Major budget variations</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_Toc179890296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30</w:t>
        </w:r>
        <w:r w:rsidR="0019572B" w:rsidRPr="00D6259F">
          <w:rPr>
            <w:noProof/>
            <w:webHidden/>
            <w:color w:val="000000" w:themeColor="text1"/>
          </w:rPr>
          <w:fldChar w:fldCharType="end"/>
        </w:r>
      </w:hyperlink>
    </w:p>
    <w:p w14:paraId="70EE624A" w14:textId="5D4367A3"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297" w:history="1">
        <w:r w:rsidR="0019572B" w:rsidRPr="00D6259F">
          <w:rPr>
            <w:rStyle w:val="Hyperlink"/>
            <w:noProof/>
            <w:color w:val="000000" w:themeColor="text1"/>
          </w:rPr>
          <w:t>Note 11: Cash and cash equivalents</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_Toc179890297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31</w:t>
        </w:r>
        <w:r w:rsidR="0019572B" w:rsidRPr="00D6259F">
          <w:rPr>
            <w:noProof/>
            <w:webHidden/>
            <w:color w:val="000000" w:themeColor="text1"/>
          </w:rPr>
          <w:fldChar w:fldCharType="end"/>
        </w:r>
      </w:hyperlink>
    </w:p>
    <w:p w14:paraId="043D9B5C" w14:textId="465B1397"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298" w:history="1">
        <w:r w:rsidR="0019572B" w:rsidRPr="00D6259F">
          <w:rPr>
            <w:rStyle w:val="Hyperlink"/>
            <w:noProof/>
            <w:color w:val="000000" w:themeColor="text1"/>
          </w:rPr>
          <w:t>Note 12: Derivative financial instruments</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_Toc179890298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32</w:t>
        </w:r>
        <w:r w:rsidR="0019572B" w:rsidRPr="00D6259F">
          <w:rPr>
            <w:noProof/>
            <w:webHidden/>
            <w:color w:val="000000" w:themeColor="text1"/>
          </w:rPr>
          <w:fldChar w:fldCharType="end"/>
        </w:r>
      </w:hyperlink>
    </w:p>
    <w:p w14:paraId="4A7DD03E" w14:textId="654B6301"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299" w:history="1">
        <w:r w:rsidR="0019572B" w:rsidRPr="00D6259F">
          <w:rPr>
            <w:rStyle w:val="Hyperlink"/>
            <w:noProof/>
            <w:color w:val="000000" w:themeColor="text1"/>
          </w:rPr>
          <w:t>Note 13: Receivables and recoverables</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_Toc179890299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34</w:t>
        </w:r>
        <w:r w:rsidR="0019572B" w:rsidRPr="00D6259F">
          <w:rPr>
            <w:noProof/>
            <w:webHidden/>
            <w:color w:val="000000" w:themeColor="text1"/>
          </w:rPr>
          <w:fldChar w:fldCharType="end"/>
        </w:r>
      </w:hyperlink>
    </w:p>
    <w:p w14:paraId="57AAC0B9" w14:textId="1F33A7B2"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300" w:history="1">
        <w:r w:rsidR="0019572B" w:rsidRPr="00D6259F">
          <w:rPr>
            <w:rStyle w:val="Hyperlink"/>
            <w:noProof/>
            <w:color w:val="000000" w:themeColor="text1"/>
          </w:rPr>
          <w:t>Note 14: Prepayments</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_Toc179890300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37</w:t>
        </w:r>
        <w:r w:rsidR="0019572B" w:rsidRPr="00D6259F">
          <w:rPr>
            <w:noProof/>
            <w:webHidden/>
            <w:color w:val="000000" w:themeColor="text1"/>
          </w:rPr>
          <w:fldChar w:fldCharType="end"/>
        </w:r>
      </w:hyperlink>
    </w:p>
    <w:p w14:paraId="4CB0701E" w14:textId="053680AC"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301" w:history="1">
        <w:r w:rsidR="0019572B" w:rsidRPr="00D6259F">
          <w:rPr>
            <w:rStyle w:val="Hyperlink"/>
            <w:noProof/>
            <w:color w:val="000000" w:themeColor="text1"/>
          </w:rPr>
          <w:t>Note 15: Other financial assets</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_Toc179890301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38</w:t>
        </w:r>
        <w:r w:rsidR="0019572B" w:rsidRPr="00D6259F">
          <w:rPr>
            <w:noProof/>
            <w:webHidden/>
            <w:color w:val="000000" w:themeColor="text1"/>
          </w:rPr>
          <w:fldChar w:fldCharType="end"/>
        </w:r>
      </w:hyperlink>
    </w:p>
    <w:p w14:paraId="27CA12DB" w14:textId="046E6B5D"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302" w:history="1">
        <w:r w:rsidR="0019572B" w:rsidRPr="00D6259F">
          <w:rPr>
            <w:rStyle w:val="Hyperlink"/>
            <w:noProof/>
            <w:color w:val="000000" w:themeColor="text1"/>
          </w:rPr>
          <w:t>Note 16: Non-current assets classified as held for sale</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_Toc179890302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42</w:t>
        </w:r>
        <w:r w:rsidR="0019572B" w:rsidRPr="00D6259F">
          <w:rPr>
            <w:noProof/>
            <w:webHidden/>
            <w:color w:val="000000" w:themeColor="text1"/>
          </w:rPr>
          <w:fldChar w:fldCharType="end"/>
        </w:r>
      </w:hyperlink>
    </w:p>
    <w:p w14:paraId="0E421AE0" w14:textId="39D09184"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303" w:history="1">
        <w:r w:rsidR="0019572B" w:rsidRPr="00D6259F">
          <w:rPr>
            <w:rStyle w:val="Hyperlink"/>
            <w:noProof/>
            <w:color w:val="000000" w:themeColor="text1"/>
          </w:rPr>
          <w:t>Note 17: Intangibles</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_Toc179890303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44</w:t>
        </w:r>
        <w:r w:rsidR="0019572B" w:rsidRPr="00D6259F">
          <w:rPr>
            <w:noProof/>
            <w:webHidden/>
            <w:color w:val="000000" w:themeColor="text1"/>
          </w:rPr>
          <w:fldChar w:fldCharType="end"/>
        </w:r>
      </w:hyperlink>
    </w:p>
    <w:p w14:paraId="190DC983" w14:textId="702114AE"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304" w:history="1">
        <w:r w:rsidR="0019572B" w:rsidRPr="00D6259F">
          <w:rPr>
            <w:rStyle w:val="Hyperlink"/>
            <w:noProof/>
            <w:color w:val="000000" w:themeColor="text1"/>
          </w:rPr>
          <w:t>Note 18: Investment properties</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_Toc179890304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46</w:t>
        </w:r>
        <w:r w:rsidR="0019572B" w:rsidRPr="00D6259F">
          <w:rPr>
            <w:noProof/>
            <w:webHidden/>
            <w:color w:val="000000" w:themeColor="text1"/>
          </w:rPr>
          <w:fldChar w:fldCharType="end"/>
        </w:r>
      </w:hyperlink>
    </w:p>
    <w:p w14:paraId="40F85AAA" w14:textId="28CFB42F"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305" w:history="1">
        <w:r w:rsidR="0019572B" w:rsidRPr="00D6259F">
          <w:rPr>
            <w:rStyle w:val="Hyperlink"/>
            <w:noProof/>
            <w:color w:val="000000" w:themeColor="text1"/>
          </w:rPr>
          <w:t>Note 19: Property, plant and equipment</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_Toc179890305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47</w:t>
        </w:r>
        <w:r w:rsidR="0019572B" w:rsidRPr="00D6259F">
          <w:rPr>
            <w:noProof/>
            <w:webHidden/>
            <w:color w:val="000000" w:themeColor="text1"/>
          </w:rPr>
          <w:fldChar w:fldCharType="end"/>
        </w:r>
      </w:hyperlink>
    </w:p>
    <w:p w14:paraId="12BB0ED1" w14:textId="46CF0E03"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306" w:history="1">
        <w:r w:rsidR="0019572B" w:rsidRPr="00D6259F">
          <w:rPr>
            <w:rStyle w:val="Hyperlink"/>
            <w:noProof/>
            <w:color w:val="000000" w:themeColor="text1"/>
          </w:rPr>
          <w:t>Note 20: Investment in controlled entities</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_Toc179890306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61</w:t>
        </w:r>
        <w:r w:rsidR="0019572B" w:rsidRPr="00D6259F">
          <w:rPr>
            <w:noProof/>
            <w:webHidden/>
            <w:color w:val="000000" w:themeColor="text1"/>
          </w:rPr>
          <w:fldChar w:fldCharType="end"/>
        </w:r>
      </w:hyperlink>
    </w:p>
    <w:p w14:paraId="2D342059" w14:textId="059FA688"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307" w:history="1">
        <w:r w:rsidR="0019572B" w:rsidRPr="00D6259F">
          <w:rPr>
            <w:rStyle w:val="Hyperlink"/>
            <w:noProof/>
            <w:color w:val="000000" w:themeColor="text1"/>
          </w:rPr>
          <w:t>Note 21: Investment in associates and joint venture</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_Toc179890307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62</w:t>
        </w:r>
        <w:r w:rsidR="0019572B" w:rsidRPr="00D6259F">
          <w:rPr>
            <w:noProof/>
            <w:webHidden/>
            <w:color w:val="000000" w:themeColor="text1"/>
          </w:rPr>
          <w:fldChar w:fldCharType="end"/>
        </w:r>
      </w:hyperlink>
    </w:p>
    <w:p w14:paraId="43C9C78E" w14:textId="6B3DFEE6"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308" w:history="1">
        <w:r w:rsidR="0019572B" w:rsidRPr="00D6259F">
          <w:rPr>
            <w:rStyle w:val="Hyperlink"/>
            <w:noProof/>
            <w:color w:val="000000" w:themeColor="text1"/>
          </w:rPr>
          <w:t>Note 22: Exchange transactions, transfers and taxes payable</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_Toc179890308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68</w:t>
        </w:r>
        <w:r w:rsidR="0019572B" w:rsidRPr="00D6259F">
          <w:rPr>
            <w:noProof/>
            <w:webHidden/>
            <w:color w:val="000000" w:themeColor="text1"/>
          </w:rPr>
          <w:fldChar w:fldCharType="end"/>
        </w:r>
      </w:hyperlink>
    </w:p>
    <w:p w14:paraId="2EF96888" w14:textId="75A93329"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309" w:history="1">
        <w:r w:rsidR="0019572B" w:rsidRPr="00D6259F">
          <w:rPr>
            <w:rStyle w:val="Hyperlink"/>
            <w:noProof/>
            <w:color w:val="000000" w:themeColor="text1"/>
          </w:rPr>
          <w:t>Note 23: Deferred revenue</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_Toc179890309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70</w:t>
        </w:r>
        <w:r w:rsidR="0019572B" w:rsidRPr="00D6259F">
          <w:rPr>
            <w:noProof/>
            <w:webHidden/>
            <w:color w:val="000000" w:themeColor="text1"/>
          </w:rPr>
          <w:fldChar w:fldCharType="end"/>
        </w:r>
      </w:hyperlink>
    </w:p>
    <w:p w14:paraId="312BE9FF" w14:textId="26C00EE5"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310" w:history="1">
        <w:r w:rsidR="0019572B" w:rsidRPr="00D6259F">
          <w:rPr>
            <w:rStyle w:val="Hyperlink"/>
            <w:noProof/>
            <w:color w:val="000000" w:themeColor="text1"/>
          </w:rPr>
          <w:t>Note 24: Borrowings</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_Toc179890310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71</w:t>
        </w:r>
        <w:r w:rsidR="0019572B" w:rsidRPr="00D6259F">
          <w:rPr>
            <w:noProof/>
            <w:webHidden/>
            <w:color w:val="000000" w:themeColor="text1"/>
          </w:rPr>
          <w:fldChar w:fldCharType="end"/>
        </w:r>
      </w:hyperlink>
    </w:p>
    <w:p w14:paraId="7CBCA523" w14:textId="64D3EC71"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311" w:history="1">
        <w:r w:rsidR="0019572B" w:rsidRPr="00D6259F">
          <w:rPr>
            <w:rStyle w:val="Hyperlink"/>
            <w:noProof/>
            <w:color w:val="000000" w:themeColor="text1"/>
          </w:rPr>
          <w:t>Note 25: Employee benefit liabilities and provisions</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_Toc179890311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74</w:t>
        </w:r>
        <w:r w:rsidR="0019572B" w:rsidRPr="00D6259F">
          <w:rPr>
            <w:noProof/>
            <w:webHidden/>
            <w:color w:val="000000" w:themeColor="text1"/>
          </w:rPr>
          <w:fldChar w:fldCharType="end"/>
        </w:r>
      </w:hyperlink>
    </w:p>
    <w:p w14:paraId="6C18372F" w14:textId="187B554F"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312" w:history="1">
        <w:r w:rsidR="0019572B" w:rsidRPr="00D6259F">
          <w:rPr>
            <w:rStyle w:val="Hyperlink"/>
            <w:noProof/>
            <w:color w:val="000000" w:themeColor="text1"/>
          </w:rPr>
          <w:t>Note 26: Provisions for other liabilities</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_Toc179890312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75</w:t>
        </w:r>
        <w:r w:rsidR="0019572B" w:rsidRPr="00D6259F">
          <w:rPr>
            <w:noProof/>
            <w:webHidden/>
            <w:color w:val="000000" w:themeColor="text1"/>
          </w:rPr>
          <w:fldChar w:fldCharType="end"/>
        </w:r>
      </w:hyperlink>
    </w:p>
    <w:p w14:paraId="7809EF7F" w14:textId="14D23780"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313" w:history="1">
        <w:r w:rsidR="0019572B" w:rsidRPr="00D6259F">
          <w:rPr>
            <w:rStyle w:val="Hyperlink"/>
            <w:noProof/>
            <w:color w:val="000000" w:themeColor="text1"/>
          </w:rPr>
          <w:t>Note 27: Deferred tax</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_Toc179890313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79</w:t>
        </w:r>
        <w:r w:rsidR="0019572B" w:rsidRPr="00D6259F">
          <w:rPr>
            <w:noProof/>
            <w:webHidden/>
            <w:color w:val="000000" w:themeColor="text1"/>
          </w:rPr>
          <w:fldChar w:fldCharType="end"/>
        </w:r>
      </w:hyperlink>
    </w:p>
    <w:p w14:paraId="3035CADB" w14:textId="3D7FCC56" w:rsidR="0019572B" w:rsidRPr="00D6259F" w:rsidRDefault="00351416">
      <w:pPr>
        <w:pStyle w:val="TOC1"/>
        <w:rPr>
          <w:rFonts w:asciiTheme="minorHAnsi" w:hAnsiTheme="minorHAnsi" w:cstheme="minorBidi"/>
          <w:b w:val="0"/>
          <w:color w:val="000000" w:themeColor="text1"/>
          <w:kern w:val="2"/>
          <w:lang w:eastAsia="en-NZ"/>
          <w14:ligatures w14:val="standardContextual"/>
        </w:rPr>
      </w:pPr>
      <w:hyperlink w:anchor="_Toc179890314" w:history="1">
        <w:r w:rsidR="0019572B" w:rsidRPr="00D6259F">
          <w:rPr>
            <w:rStyle w:val="Hyperlink"/>
            <w:color w:val="000000" w:themeColor="text1"/>
          </w:rPr>
          <w:t>Statement of Changes in Equity</w:t>
        </w:r>
        <w:r w:rsidR="0019572B" w:rsidRPr="00D6259F">
          <w:rPr>
            <w:webHidden/>
            <w:color w:val="000000" w:themeColor="text1"/>
          </w:rPr>
          <w:tab/>
        </w:r>
        <w:r w:rsidR="0019572B" w:rsidRPr="00D6259F">
          <w:rPr>
            <w:webHidden/>
            <w:color w:val="000000" w:themeColor="text1"/>
          </w:rPr>
          <w:fldChar w:fldCharType="begin"/>
        </w:r>
        <w:r w:rsidR="0019572B" w:rsidRPr="00D6259F">
          <w:rPr>
            <w:webHidden/>
            <w:color w:val="000000" w:themeColor="text1"/>
          </w:rPr>
          <w:instrText xml:space="preserve"> PAGEREF _Toc179890314 \h </w:instrText>
        </w:r>
        <w:r w:rsidR="0019572B" w:rsidRPr="00D6259F">
          <w:rPr>
            <w:webHidden/>
            <w:color w:val="000000" w:themeColor="text1"/>
          </w:rPr>
        </w:r>
        <w:r w:rsidR="0019572B" w:rsidRPr="00D6259F">
          <w:rPr>
            <w:webHidden/>
            <w:color w:val="000000" w:themeColor="text1"/>
          </w:rPr>
          <w:fldChar w:fldCharType="separate"/>
        </w:r>
        <w:r w:rsidR="004E4845" w:rsidRPr="00D6259F">
          <w:rPr>
            <w:webHidden/>
            <w:color w:val="000000" w:themeColor="text1"/>
          </w:rPr>
          <w:t>81</w:t>
        </w:r>
        <w:r w:rsidR="0019572B" w:rsidRPr="00D6259F">
          <w:rPr>
            <w:webHidden/>
            <w:color w:val="000000" w:themeColor="text1"/>
          </w:rPr>
          <w:fldChar w:fldCharType="end"/>
        </w:r>
      </w:hyperlink>
    </w:p>
    <w:p w14:paraId="1AB406CE" w14:textId="395F9D82"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315" w:history="1">
        <w:r w:rsidR="0019572B" w:rsidRPr="00D6259F">
          <w:rPr>
            <w:rStyle w:val="Hyperlink"/>
            <w:rFonts w:cs="Calibri"/>
            <w:noProof/>
            <w:color w:val="000000" w:themeColor="text1"/>
            <w:lang w:eastAsia="en-NZ"/>
          </w:rPr>
          <w:t>Statement of Changes in Equity – Major budget variations</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_Toc179890315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82</w:t>
        </w:r>
        <w:r w:rsidR="0019572B" w:rsidRPr="00D6259F">
          <w:rPr>
            <w:noProof/>
            <w:webHidden/>
            <w:color w:val="000000" w:themeColor="text1"/>
          </w:rPr>
          <w:fldChar w:fldCharType="end"/>
        </w:r>
      </w:hyperlink>
    </w:p>
    <w:p w14:paraId="0775DF1C" w14:textId="39372E2C"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316" w:history="1">
        <w:r w:rsidR="0019572B" w:rsidRPr="00D6259F">
          <w:rPr>
            <w:rStyle w:val="Hyperlink"/>
            <w:noProof/>
            <w:color w:val="000000" w:themeColor="text1"/>
          </w:rPr>
          <w:t>Note 28: Revaluation reserves</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_Toc179890316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84</w:t>
        </w:r>
        <w:r w:rsidR="0019572B" w:rsidRPr="00D6259F">
          <w:rPr>
            <w:noProof/>
            <w:webHidden/>
            <w:color w:val="000000" w:themeColor="text1"/>
          </w:rPr>
          <w:fldChar w:fldCharType="end"/>
        </w:r>
      </w:hyperlink>
    </w:p>
    <w:p w14:paraId="4FFCF995" w14:textId="2463F643"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317" w:history="1">
        <w:r w:rsidR="0019572B" w:rsidRPr="00D6259F">
          <w:rPr>
            <w:rStyle w:val="Hyperlink"/>
            <w:noProof/>
            <w:color w:val="000000" w:themeColor="text1"/>
          </w:rPr>
          <w:t>Note 29: Hedging reserve</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_Toc179890317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86</w:t>
        </w:r>
        <w:r w:rsidR="0019572B" w:rsidRPr="00D6259F">
          <w:rPr>
            <w:noProof/>
            <w:webHidden/>
            <w:color w:val="000000" w:themeColor="text1"/>
          </w:rPr>
          <w:fldChar w:fldCharType="end"/>
        </w:r>
      </w:hyperlink>
    </w:p>
    <w:p w14:paraId="36FF9CC0" w14:textId="5C53B268"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318" w:history="1">
        <w:r w:rsidR="0019572B" w:rsidRPr="00D6259F">
          <w:rPr>
            <w:rStyle w:val="Hyperlink"/>
            <w:noProof/>
            <w:color w:val="000000" w:themeColor="text1"/>
          </w:rPr>
          <w:t>Note 30: Fair value through other comprehensive revenue and expense reserve</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_Toc179890318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87</w:t>
        </w:r>
        <w:r w:rsidR="0019572B" w:rsidRPr="00D6259F">
          <w:rPr>
            <w:noProof/>
            <w:webHidden/>
            <w:color w:val="000000" w:themeColor="text1"/>
          </w:rPr>
          <w:fldChar w:fldCharType="end"/>
        </w:r>
      </w:hyperlink>
    </w:p>
    <w:p w14:paraId="072D4081" w14:textId="27C290DE"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319" w:history="1">
        <w:r w:rsidR="0019572B" w:rsidRPr="00D6259F">
          <w:rPr>
            <w:rStyle w:val="Hyperlink"/>
            <w:noProof/>
            <w:color w:val="000000" w:themeColor="text1"/>
          </w:rPr>
          <w:t>Note 31: Restricted funds</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_Toc179890319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87</w:t>
        </w:r>
        <w:r w:rsidR="0019572B" w:rsidRPr="00D6259F">
          <w:rPr>
            <w:noProof/>
            <w:webHidden/>
            <w:color w:val="000000" w:themeColor="text1"/>
          </w:rPr>
          <w:fldChar w:fldCharType="end"/>
        </w:r>
      </w:hyperlink>
    </w:p>
    <w:p w14:paraId="6E1044AA" w14:textId="162EE387" w:rsidR="0019572B" w:rsidRPr="00D6259F" w:rsidRDefault="00351416">
      <w:pPr>
        <w:pStyle w:val="TOC1"/>
        <w:rPr>
          <w:rFonts w:asciiTheme="minorHAnsi" w:hAnsiTheme="minorHAnsi" w:cstheme="minorBidi"/>
          <w:b w:val="0"/>
          <w:color w:val="000000" w:themeColor="text1"/>
          <w:kern w:val="2"/>
          <w:lang w:eastAsia="en-NZ"/>
          <w14:ligatures w14:val="standardContextual"/>
        </w:rPr>
      </w:pPr>
      <w:hyperlink w:anchor="_Toc179890320" w:history="1">
        <w:r w:rsidR="0019572B" w:rsidRPr="00D6259F">
          <w:rPr>
            <w:rStyle w:val="Hyperlink"/>
            <w:color w:val="000000" w:themeColor="text1"/>
          </w:rPr>
          <w:t>Statement of Cash Flows</w:t>
        </w:r>
        <w:r w:rsidR="0019572B" w:rsidRPr="00D6259F">
          <w:rPr>
            <w:webHidden/>
            <w:color w:val="000000" w:themeColor="text1"/>
          </w:rPr>
          <w:tab/>
        </w:r>
        <w:r w:rsidR="0019572B" w:rsidRPr="00D6259F">
          <w:rPr>
            <w:webHidden/>
            <w:color w:val="000000" w:themeColor="text1"/>
          </w:rPr>
          <w:fldChar w:fldCharType="begin"/>
        </w:r>
        <w:r w:rsidR="0019572B" w:rsidRPr="00D6259F">
          <w:rPr>
            <w:webHidden/>
            <w:color w:val="000000" w:themeColor="text1"/>
          </w:rPr>
          <w:instrText xml:space="preserve"> PAGEREF _Toc179890320 \h </w:instrText>
        </w:r>
        <w:r w:rsidR="0019572B" w:rsidRPr="00D6259F">
          <w:rPr>
            <w:webHidden/>
            <w:color w:val="000000" w:themeColor="text1"/>
          </w:rPr>
        </w:r>
        <w:r w:rsidR="0019572B" w:rsidRPr="00D6259F">
          <w:rPr>
            <w:webHidden/>
            <w:color w:val="000000" w:themeColor="text1"/>
          </w:rPr>
          <w:fldChar w:fldCharType="separate"/>
        </w:r>
        <w:r w:rsidR="004E4845" w:rsidRPr="00D6259F">
          <w:rPr>
            <w:webHidden/>
            <w:color w:val="000000" w:themeColor="text1"/>
          </w:rPr>
          <w:t>90</w:t>
        </w:r>
        <w:r w:rsidR="0019572B" w:rsidRPr="00D6259F">
          <w:rPr>
            <w:webHidden/>
            <w:color w:val="000000" w:themeColor="text1"/>
          </w:rPr>
          <w:fldChar w:fldCharType="end"/>
        </w:r>
      </w:hyperlink>
    </w:p>
    <w:p w14:paraId="0127299E" w14:textId="7DEB71E3"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321" w:history="1">
        <w:r w:rsidR="0019572B" w:rsidRPr="00D6259F">
          <w:rPr>
            <w:rStyle w:val="Hyperlink"/>
            <w:rFonts w:cs="Calibri"/>
            <w:noProof/>
            <w:color w:val="000000" w:themeColor="text1"/>
            <w:lang w:eastAsia="en-NZ"/>
          </w:rPr>
          <w:t>Statement of Cash Flows – Major budget variations</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_Toc179890321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92</w:t>
        </w:r>
        <w:r w:rsidR="0019572B" w:rsidRPr="00D6259F">
          <w:rPr>
            <w:noProof/>
            <w:webHidden/>
            <w:color w:val="000000" w:themeColor="text1"/>
          </w:rPr>
          <w:fldChar w:fldCharType="end"/>
        </w:r>
      </w:hyperlink>
    </w:p>
    <w:p w14:paraId="56744F9D" w14:textId="7658D4FB"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322" w:history="1">
        <w:r w:rsidR="0019572B" w:rsidRPr="00D6259F">
          <w:rPr>
            <w:rStyle w:val="Hyperlink"/>
            <w:noProof/>
            <w:color w:val="000000" w:themeColor="text1"/>
          </w:rPr>
          <w:t>Note 32: Reconciliation of cash flows</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_Toc179890322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93</w:t>
        </w:r>
        <w:r w:rsidR="0019572B" w:rsidRPr="00D6259F">
          <w:rPr>
            <w:noProof/>
            <w:webHidden/>
            <w:color w:val="000000" w:themeColor="text1"/>
          </w:rPr>
          <w:fldChar w:fldCharType="end"/>
        </w:r>
      </w:hyperlink>
    </w:p>
    <w:p w14:paraId="471F233C" w14:textId="5DE27223" w:rsidR="0019572B" w:rsidRPr="00D6259F" w:rsidRDefault="00351416">
      <w:pPr>
        <w:pStyle w:val="TOC1"/>
        <w:rPr>
          <w:rFonts w:asciiTheme="minorHAnsi" w:hAnsiTheme="minorHAnsi" w:cstheme="minorBidi"/>
          <w:b w:val="0"/>
          <w:color w:val="000000" w:themeColor="text1"/>
          <w:kern w:val="2"/>
          <w:lang w:eastAsia="en-NZ"/>
          <w14:ligatures w14:val="standardContextual"/>
        </w:rPr>
      </w:pPr>
      <w:hyperlink w:anchor="_Toc179890323" w:history="1">
        <w:r w:rsidR="0019572B" w:rsidRPr="00D6259F">
          <w:rPr>
            <w:rStyle w:val="Hyperlink"/>
            <w:color w:val="000000" w:themeColor="text1"/>
          </w:rPr>
          <w:t>Other Disclosures</w:t>
        </w:r>
        <w:r w:rsidR="0019572B" w:rsidRPr="00D6259F">
          <w:rPr>
            <w:webHidden/>
            <w:color w:val="000000" w:themeColor="text1"/>
          </w:rPr>
          <w:tab/>
        </w:r>
        <w:r w:rsidR="0019572B" w:rsidRPr="00D6259F">
          <w:rPr>
            <w:webHidden/>
            <w:color w:val="000000" w:themeColor="text1"/>
          </w:rPr>
          <w:fldChar w:fldCharType="begin"/>
        </w:r>
        <w:r w:rsidR="0019572B" w:rsidRPr="00D6259F">
          <w:rPr>
            <w:webHidden/>
            <w:color w:val="000000" w:themeColor="text1"/>
          </w:rPr>
          <w:instrText xml:space="preserve"> PAGEREF _Toc179890323 \h </w:instrText>
        </w:r>
        <w:r w:rsidR="0019572B" w:rsidRPr="00D6259F">
          <w:rPr>
            <w:webHidden/>
            <w:color w:val="000000" w:themeColor="text1"/>
          </w:rPr>
        </w:r>
        <w:r w:rsidR="0019572B" w:rsidRPr="00D6259F">
          <w:rPr>
            <w:webHidden/>
            <w:color w:val="000000" w:themeColor="text1"/>
          </w:rPr>
          <w:fldChar w:fldCharType="separate"/>
        </w:r>
        <w:r w:rsidR="004E4845" w:rsidRPr="00D6259F">
          <w:rPr>
            <w:webHidden/>
            <w:color w:val="000000" w:themeColor="text1"/>
          </w:rPr>
          <w:t>95</w:t>
        </w:r>
        <w:r w:rsidR="0019572B" w:rsidRPr="00D6259F">
          <w:rPr>
            <w:webHidden/>
            <w:color w:val="000000" w:themeColor="text1"/>
          </w:rPr>
          <w:fldChar w:fldCharType="end"/>
        </w:r>
      </w:hyperlink>
    </w:p>
    <w:p w14:paraId="10979B01" w14:textId="18CB32C1"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324" w:history="1">
        <w:r w:rsidR="0019572B" w:rsidRPr="00D6259F">
          <w:rPr>
            <w:rStyle w:val="Hyperlink"/>
            <w:noProof/>
            <w:color w:val="000000" w:themeColor="text1"/>
          </w:rPr>
          <w:t>Note 33: Financial instruments</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_Toc179890324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95</w:t>
        </w:r>
        <w:r w:rsidR="0019572B" w:rsidRPr="00D6259F">
          <w:rPr>
            <w:noProof/>
            <w:webHidden/>
            <w:color w:val="000000" w:themeColor="text1"/>
          </w:rPr>
          <w:fldChar w:fldCharType="end"/>
        </w:r>
      </w:hyperlink>
    </w:p>
    <w:p w14:paraId="23221F8D" w14:textId="3265E222"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325" w:history="1">
        <w:r w:rsidR="0019572B" w:rsidRPr="00D6259F">
          <w:rPr>
            <w:rStyle w:val="Hyperlink"/>
            <w:noProof/>
            <w:color w:val="000000" w:themeColor="text1"/>
          </w:rPr>
          <w:t>Note 34: Commitments</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_Toc179890325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106</w:t>
        </w:r>
        <w:r w:rsidR="0019572B" w:rsidRPr="00D6259F">
          <w:rPr>
            <w:noProof/>
            <w:webHidden/>
            <w:color w:val="000000" w:themeColor="text1"/>
          </w:rPr>
          <w:fldChar w:fldCharType="end"/>
        </w:r>
      </w:hyperlink>
    </w:p>
    <w:p w14:paraId="6F2121D0" w14:textId="08A7FE21"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326" w:history="1">
        <w:r w:rsidR="0019572B" w:rsidRPr="00D6259F">
          <w:rPr>
            <w:rStyle w:val="Hyperlink"/>
            <w:noProof/>
            <w:color w:val="000000" w:themeColor="text1"/>
          </w:rPr>
          <w:t>Note 35: Contingencies</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_Toc179890326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108</w:t>
        </w:r>
        <w:r w:rsidR="0019572B" w:rsidRPr="00D6259F">
          <w:rPr>
            <w:noProof/>
            <w:webHidden/>
            <w:color w:val="000000" w:themeColor="text1"/>
          </w:rPr>
          <w:fldChar w:fldCharType="end"/>
        </w:r>
      </w:hyperlink>
    </w:p>
    <w:p w14:paraId="651B0E3D" w14:textId="38315F99"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327" w:history="1">
        <w:r w:rsidR="0019572B" w:rsidRPr="00D6259F">
          <w:rPr>
            <w:rStyle w:val="Hyperlink"/>
            <w:noProof/>
            <w:color w:val="000000" w:themeColor="text1"/>
          </w:rPr>
          <w:t>Note 36: Joint operations</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_Toc179890327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110</w:t>
        </w:r>
        <w:r w:rsidR="0019572B" w:rsidRPr="00D6259F">
          <w:rPr>
            <w:noProof/>
            <w:webHidden/>
            <w:color w:val="000000" w:themeColor="text1"/>
          </w:rPr>
          <w:fldChar w:fldCharType="end"/>
        </w:r>
      </w:hyperlink>
    </w:p>
    <w:p w14:paraId="59FE26BB" w14:textId="7061B904"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328" w:history="1">
        <w:r w:rsidR="0019572B" w:rsidRPr="00D6259F">
          <w:rPr>
            <w:rStyle w:val="Hyperlink"/>
            <w:noProof/>
            <w:color w:val="000000" w:themeColor="text1"/>
          </w:rPr>
          <w:t>Note 37: Related party disclosures</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_Toc179890328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110</w:t>
        </w:r>
        <w:r w:rsidR="0019572B" w:rsidRPr="00D6259F">
          <w:rPr>
            <w:noProof/>
            <w:webHidden/>
            <w:color w:val="000000" w:themeColor="text1"/>
          </w:rPr>
          <w:fldChar w:fldCharType="end"/>
        </w:r>
      </w:hyperlink>
    </w:p>
    <w:p w14:paraId="0620B558" w14:textId="56290574"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329" w:history="1">
        <w:r w:rsidR="0019572B" w:rsidRPr="00D6259F">
          <w:rPr>
            <w:rStyle w:val="Hyperlink"/>
            <w:noProof/>
            <w:color w:val="000000" w:themeColor="text1"/>
          </w:rPr>
          <w:t>Note 38: Remuneration and staffing</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_Toc179890329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116</w:t>
        </w:r>
        <w:r w:rsidR="0019572B" w:rsidRPr="00D6259F">
          <w:rPr>
            <w:noProof/>
            <w:webHidden/>
            <w:color w:val="000000" w:themeColor="text1"/>
          </w:rPr>
          <w:fldChar w:fldCharType="end"/>
        </w:r>
      </w:hyperlink>
    </w:p>
    <w:p w14:paraId="2FD9A98A" w14:textId="77FDE0B4" w:rsidR="0019572B" w:rsidRPr="00D6259F" w:rsidRDefault="00351416">
      <w:pPr>
        <w:pStyle w:val="TOC2"/>
        <w:rPr>
          <w:rFonts w:asciiTheme="minorHAnsi" w:hAnsiTheme="minorHAnsi" w:cstheme="minorBidi"/>
          <w:noProof/>
          <w:color w:val="000000" w:themeColor="text1"/>
          <w:kern w:val="2"/>
          <w:lang w:eastAsia="en-NZ"/>
          <w14:ligatures w14:val="standardContextual"/>
        </w:rPr>
      </w:pPr>
      <w:hyperlink w:anchor="_Toc179890330" w:history="1">
        <w:r w:rsidR="0019572B" w:rsidRPr="00D6259F">
          <w:rPr>
            <w:rStyle w:val="Hyperlink"/>
            <w:noProof/>
            <w:color w:val="000000" w:themeColor="text1"/>
          </w:rPr>
          <w:t>Note 39: Events after the end of the reporting period</w:t>
        </w:r>
        <w:r w:rsidR="0019572B" w:rsidRPr="00D6259F">
          <w:rPr>
            <w:noProof/>
            <w:webHidden/>
            <w:color w:val="000000" w:themeColor="text1"/>
          </w:rPr>
          <w:tab/>
        </w:r>
        <w:r w:rsidR="0019572B" w:rsidRPr="00D6259F">
          <w:rPr>
            <w:noProof/>
            <w:webHidden/>
            <w:color w:val="000000" w:themeColor="text1"/>
          </w:rPr>
          <w:fldChar w:fldCharType="begin"/>
        </w:r>
        <w:r w:rsidR="0019572B" w:rsidRPr="00D6259F">
          <w:rPr>
            <w:noProof/>
            <w:webHidden/>
            <w:color w:val="000000" w:themeColor="text1"/>
          </w:rPr>
          <w:instrText xml:space="preserve"> PAGEREF _Toc179890330 \h </w:instrText>
        </w:r>
        <w:r w:rsidR="0019572B" w:rsidRPr="00D6259F">
          <w:rPr>
            <w:noProof/>
            <w:webHidden/>
            <w:color w:val="000000" w:themeColor="text1"/>
          </w:rPr>
        </w:r>
        <w:r w:rsidR="0019572B" w:rsidRPr="00D6259F">
          <w:rPr>
            <w:noProof/>
            <w:webHidden/>
            <w:color w:val="000000" w:themeColor="text1"/>
          </w:rPr>
          <w:fldChar w:fldCharType="separate"/>
        </w:r>
        <w:r w:rsidR="004E4845" w:rsidRPr="00D6259F">
          <w:rPr>
            <w:noProof/>
            <w:webHidden/>
            <w:color w:val="000000" w:themeColor="text1"/>
          </w:rPr>
          <w:t>122</w:t>
        </w:r>
        <w:r w:rsidR="0019572B" w:rsidRPr="00D6259F">
          <w:rPr>
            <w:noProof/>
            <w:webHidden/>
            <w:color w:val="000000" w:themeColor="text1"/>
          </w:rPr>
          <w:fldChar w:fldCharType="end"/>
        </w:r>
      </w:hyperlink>
    </w:p>
    <w:p w14:paraId="4C49F24B" w14:textId="7B115E1F" w:rsidR="0019572B" w:rsidRPr="00D6259F" w:rsidRDefault="00351416">
      <w:pPr>
        <w:pStyle w:val="TOC1"/>
        <w:rPr>
          <w:rFonts w:asciiTheme="minorHAnsi" w:hAnsiTheme="minorHAnsi" w:cstheme="minorBidi"/>
          <w:b w:val="0"/>
          <w:color w:val="000000" w:themeColor="text1"/>
          <w:kern w:val="2"/>
          <w:lang w:eastAsia="en-NZ"/>
          <w14:ligatures w14:val="standardContextual"/>
        </w:rPr>
      </w:pPr>
      <w:hyperlink w:anchor="_Toc179890331" w:history="1">
        <w:r w:rsidR="0019572B" w:rsidRPr="00D6259F">
          <w:rPr>
            <w:rStyle w:val="Hyperlink"/>
            <w:color w:val="000000" w:themeColor="text1"/>
          </w:rPr>
          <w:t>Financial Prudence</w:t>
        </w:r>
        <w:r w:rsidR="0019572B" w:rsidRPr="00D6259F">
          <w:rPr>
            <w:webHidden/>
            <w:color w:val="000000" w:themeColor="text1"/>
          </w:rPr>
          <w:tab/>
        </w:r>
        <w:r w:rsidR="0019572B" w:rsidRPr="00D6259F">
          <w:rPr>
            <w:webHidden/>
            <w:color w:val="000000" w:themeColor="text1"/>
          </w:rPr>
          <w:fldChar w:fldCharType="begin"/>
        </w:r>
        <w:r w:rsidR="0019572B" w:rsidRPr="00D6259F">
          <w:rPr>
            <w:webHidden/>
            <w:color w:val="000000" w:themeColor="text1"/>
          </w:rPr>
          <w:instrText xml:space="preserve"> PAGEREF _Toc179890331 \h </w:instrText>
        </w:r>
        <w:r w:rsidR="0019572B" w:rsidRPr="00D6259F">
          <w:rPr>
            <w:webHidden/>
            <w:color w:val="000000" w:themeColor="text1"/>
          </w:rPr>
        </w:r>
        <w:r w:rsidR="0019572B" w:rsidRPr="00D6259F">
          <w:rPr>
            <w:webHidden/>
            <w:color w:val="000000" w:themeColor="text1"/>
          </w:rPr>
          <w:fldChar w:fldCharType="separate"/>
        </w:r>
        <w:r w:rsidR="004E4845" w:rsidRPr="00D6259F">
          <w:rPr>
            <w:webHidden/>
            <w:color w:val="000000" w:themeColor="text1"/>
          </w:rPr>
          <w:t>123</w:t>
        </w:r>
        <w:r w:rsidR="0019572B" w:rsidRPr="00D6259F">
          <w:rPr>
            <w:webHidden/>
            <w:color w:val="000000" w:themeColor="text1"/>
          </w:rPr>
          <w:fldChar w:fldCharType="end"/>
        </w:r>
      </w:hyperlink>
    </w:p>
    <w:p w14:paraId="7050B90C" w14:textId="4BE0F4F2" w:rsidR="00A86DA1" w:rsidRPr="00D6259F" w:rsidRDefault="0071255B" w:rsidP="00704FA9">
      <w:pPr>
        <w:rPr>
          <w:color w:val="000000" w:themeColor="text1"/>
        </w:rPr>
      </w:pPr>
      <w:r w:rsidRPr="00D6259F">
        <w:rPr>
          <w:rFonts w:cs="Calibri"/>
          <w:b/>
          <w:noProof/>
          <w:color w:val="000000" w:themeColor="text1"/>
        </w:rPr>
        <w:fldChar w:fldCharType="end"/>
      </w:r>
    </w:p>
    <w:p w14:paraId="63D7F5CC" w14:textId="77777777" w:rsidR="00F60E89" w:rsidRPr="00D6259F" w:rsidRDefault="00F60E89" w:rsidP="00704FA9">
      <w:pPr>
        <w:rPr>
          <w:color w:val="000000" w:themeColor="text1"/>
        </w:rPr>
      </w:pPr>
    </w:p>
    <w:p w14:paraId="6EFD7770" w14:textId="77777777" w:rsidR="00F60E89" w:rsidRPr="00D6259F" w:rsidRDefault="00F60E89" w:rsidP="00704FA9">
      <w:pPr>
        <w:rPr>
          <w:color w:val="000000" w:themeColor="text1"/>
        </w:rPr>
      </w:pPr>
    </w:p>
    <w:p w14:paraId="0CDBE5D9" w14:textId="77777777" w:rsidR="00F60E89" w:rsidRPr="00D6259F" w:rsidRDefault="00F60E89" w:rsidP="00704FA9">
      <w:pPr>
        <w:rPr>
          <w:color w:val="000000" w:themeColor="text1"/>
        </w:rPr>
      </w:pPr>
    </w:p>
    <w:p w14:paraId="6B0D6782" w14:textId="77777777" w:rsidR="00F60E89" w:rsidRPr="00D6259F" w:rsidRDefault="00F60E89" w:rsidP="00704FA9">
      <w:pPr>
        <w:rPr>
          <w:color w:val="000000" w:themeColor="text1"/>
        </w:rPr>
      </w:pPr>
    </w:p>
    <w:p w14:paraId="7C48D079" w14:textId="77777777" w:rsidR="00A86DA1" w:rsidRPr="00D6259F" w:rsidRDefault="00A86DA1" w:rsidP="00704FA9">
      <w:pPr>
        <w:rPr>
          <w:rFonts w:ascii="Cambria" w:eastAsiaTheme="majorEastAsia" w:hAnsi="Cambria"/>
          <w:color w:val="000000" w:themeColor="text1"/>
        </w:rPr>
      </w:pPr>
      <w:r w:rsidRPr="00D6259F">
        <w:rPr>
          <w:color w:val="000000" w:themeColor="text1"/>
        </w:rPr>
        <w:br w:type="page"/>
      </w:r>
    </w:p>
    <w:p w14:paraId="523C8E9F" w14:textId="77777777" w:rsidR="0081176D" w:rsidRPr="00D6259F" w:rsidRDefault="0081176D" w:rsidP="00D6259F">
      <w:pPr>
        <w:pStyle w:val="Heading1"/>
      </w:pPr>
      <w:bookmarkStart w:id="9" w:name="_Toc179890276"/>
      <w:bookmarkStart w:id="10" w:name="_Hlk163475737"/>
      <w:r w:rsidRPr="00D6259F">
        <w:lastRenderedPageBreak/>
        <w:t>Statement of Compliance and Responsibility</w:t>
      </w:r>
      <w:bookmarkEnd w:id="9"/>
    </w:p>
    <w:p w14:paraId="17B11A95" w14:textId="77777777" w:rsidR="0081176D" w:rsidRPr="00D6259F" w:rsidRDefault="0081176D" w:rsidP="0081176D">
      <w:pPr>
        <w:pStyle w:val="Heading3"/>
        <w:spacing w:line="264" w:lineRule="auto"/>
      </w:pPr>
      <w:r w:rsidRPr="00D6259F">
        <w:t>Compliance</w:t>
      </w:r>
    </w:p>
    <w:p w14:paraId="0055805A" w14:textId="008D0E9F" w:rsidR="0081176D" w:rsidRPr="00D6259F" w:rsidRDefault="0081176D" w:rsidP="0081176D">
      <w:pPr>
        <w:rPr>
          <w:color w:val="000000" w:themeColor="text1"/>
        </w:rPr>
      </w:pPr>
      <w:r w:rsidRPr="00D6259F">
        <w:rPr>
          <w:color w:val="000000" w:themeColor="text1"/>
        </w:rPr>
        <w:t xml:space="preserve">The </w:t>
      </w:r>
      <w:r w:rsidR="00866B27" w:rsidRPr="00D6259F">
        <w:rPr>
          <w:color w:val="000000" w:themeColor="text1"/>
        </w:rPr>
        <w:t xml:space="preserve">Governing Body </w:t>
      </w:r>
      <w:r w:rsidRPr="00D6259F">
        <w:rPr>
          <w:color w:val="000000" w:themeColor="text1"/>
        </w:rPr>
        <w:t xml:space="preserve">and management of </w:t>
      </w:r>
      <w:r w:rsidR="00866B27" w:rsidRPr="00D6259F">
        <w:rPr>
          <w:color w:val="000000" w:themeColor="text1"/>
        </w:rPr>
        <w:t>Wellington City</w:t>
      </w:r>
      <w:r w:rsidR="00E56200" w:rsidRPr="00D6259F">
        <w:rPr>
          <w:color w:val="000000" w:themeColor="text1"/>
        </w:rPr>
        <w:t xml:space="preserve"> </w:t>
      </w:r>
      <w:r w:rsidRPr="00D6259F">
        <w:rPr>
          <w:color w:val="000000" w:themeColor="text1"/>
        </w:rPr>
        <w:t>Council confirm that all the statutory requirements in relation to the Annual Report, as outlined in Schedule 10 of the LGA 2002, including the requirement to comply with New Zealand Generally Accepted Accounting Practice (NZ GAAP) have been complied with. Reporting obligations in relation to the Local Government (Financial Reporting and Prudence) Regulations 2014 have been met.</w:t>
      </w:r>
      <w:r w:rsidR="00A736BB" w:rsidRPr="00D6259F">
        <w:rPr>
          <w:color w:val="000000" w:themeColor="text1"/>
        </w:rPr>
        <w:t xml:space="preserve"> </w:t>
      </w:r>
    </w:p>
    <w:p w14:paraId="6B29B557" w14:textId="0BE3D684" w:rsidR="0081176D" w:rsidRPr="00D6259F" w:rsidRDefault="0081176D" w:rsidP="0081176D">
      <w:pPr>
        <w:spacing w:line="264" w:lineRule="auto"/>
        <w:rPr>
          <w:color w:val="000000" w:themeColor="text1"/>
        </w:rPr>
      </w:pPr>
      <w:r w:rsidRPr="00D6259F">
        <w:rPr>
          <w:color w:val="000000" w:themeColor="text1"/>
        </w:rPr>
        <w:t>The financial statements have been prepared to comply with Public Sector Public Benefit Entity Accounting Standards (PBE Accounting Standards) for a Tier 1 entity</w:t>
      </w:r>
      <w:r w:rsidR="002371BB" w:rsidRPr="00D6259F">
        <w:rPr>
          <w:color w:val="000000" w:themeColor="text1"/>
        </w:rPr>
        <w:t xml:space="preserve"> </w:t>
      </w:r>
      <w:r w:rsidRPr="00D6259F">
        <w:rPr>
          <w:color w:val="000000" w:themeColor="text1"/>
        </w:rPr>
        <w:t xml:space="preserve">and were authorised for issue by the </w:t>
      </w:r>
      <w:r w:rsidR="00FB3DD3" w:rsidRPr="00D6259F">
        <w:rPr>
          <w:color w:val="000000" w:themeColor="text1"/>
        </w:rPr>
        <w:t xml:space="preserve">Wellington City </w:t>
      </w:r>
      <w:r w:rsidRPr="00D6259F">
        <w:rPr>
          <w:color w:val="000000" w:themeColor="text1"/>
        </w:rPr>
        <w:t xml:space="preserve">Council on </w:t>
      </w:r>
      <w:r w:rsidR="00714B7E" w:rsidRPr="00D6259F">
        <w:rPr>
          <w:color w:val="000000" w:themeColor="text1"/>
        </w:rPr>
        <w:t>31</w:t>
      </w:r>
      <w:r w:rsidRPr="00D6259F">
        <w:rPr>
          <w:color w:val="000000" w:themeColor="text1"/>
        </w:rPr>
        <w:t xml:space="preserve"> October 2024.</w:t>
      </w:r>
    </w:p>
    <w:p w14:paraId="3A1EB0BC" w14:textId="77777777" w:rsidR="0081176D" w:rsidRPr="00D6259F" w:rsidRDefault="0081176D" w:rsidP="0081176D">
      <w:pPr>
        <w:pStyle w:val="Heading3"/>
        <w:spacing w:line="264" w:lineRule="auto"/>
      </w:pPr>
      <w:r w:rsidRPr="00D6259F">
        <w:t>Responsibility</w:t>
      </w:r>
    </w:p>
    <w:p w14:paraId="466EF456" w14:textId="38C86235" w:rsidR="0081176D" w:rsidRPr="00D6259F" w:rsidRDefault="0081176D" w:rsidP="0081176D">
      <w:pPr>
        <w:rPr>
          <w:color w:val="000000" w:themeColor="text1"/>
        </w:rPr>
      </w:pPr>
      <w:r w:rsidRPr="00D6259F">
        <w:rPr>
          <w:color w:val="000000" w:themeColor="text1"/>
        </w:rPr>
        <w:t xml:space="preserve">The </w:t>
      </w:r>
      <w:r w:rsidR="00866B27" w:rsidRPr="00D6259F">
        <w:rPr>
          <w:color w:val="000000" w:themeColor="text1"/>
        </w:rPr>
        <w:t xml:space="preserve">Governing Body and </w:t>
      </w:r>
      <w:r w:rsidRPr="00D6259F">
        <w:rPr>
          <w:color w:val="000000" w:themeColor="text1"/>
        </w:rPr>
        <w:t xml:space="preserve">management </w:t>
      </w:r>
      <w:r w:rsidR="00866B27" w:rsidRPr="00D6259F">
        <w:rPr>
          <w:color w:val="000000" w:themeColor="text1"/>
        </w:rPr>
        <w:t xml:space="preserve">of Wellington City Council </w:t>
      </w:r>
      <w:r w:rsidRPr="00D6259F">
        <w:rPr>
          <w:color w:val="000000" w:themeColor="text1"/>
        </w:rPr>
        <w:t>accept responsibility for the preparation of the annual financial statements and judgements used in them. They also accept responsibility for establishing and maintaining a system of internal control designed to provide reasonable assurance as to the integrity and reliability of financial reporting.</w:t>
      </w:r>
    </w:p>
    <w:p w14:paraId="29A0717E" w14:textId="59B207BD" w:rsidR="0081176D" w:rsidRPr="00D6259F" w:rsidRDefault="0081176D" w:rsidP="0081176D">
      <w:pPr>
        <w:spacing w:after="0" w:line="6" w:lineRule="atLeast"/>
        <w:rPr>
          <w:color w:val="000000" w:themeColor="text1"/>
        </w:rPr>
      </w:pPr>
      <w:r w:rsidRPr="00D6259F">
        <w:rPr>
          <w:color w:val="000000" w:themeColor="text1"/>
        </w:rPr>
        <w:t xml:space="preserve">In the opinion of </w:t>
      </w:r>
      <w:r w:rsidR="00866B27" w:rsidRPr="00D6259F">
        <w:rPr>
          <w:color w:val="000000" w:themeColor="text1"/>
        </w:rPr>
        <w:t>Wellington City</w:t>
      </w:r>
      <w:r w:rsidRPr="00D6259F">
        <w:rPr>
          <w:color w:val="000000" w:themeColor="text1"/>
        </w:rPr>
        <w:t xml:space="preserve"> Counci</w:t>
      </w:r>
      <w:r w:rsidR="00866B27" w:rsidRPr="00D6259F">
        <w:rPr>
          <w:color w:val="000000" w:themeColor="text1"/>
        </w:rPr>
        <w:t>l</w:t>
      </w:r>
      <w:r w:rsidRPr="00D6259F">
        <w:rPr>
          <w:color w:val="000000" w:themeColor="text1"/>
        </w:rPr>
        <w:t xml:space="preserve">, the Annual Report for the year ended 30 June 2024 fairly reflects the financial position, results of operations and service performance achievements of </w:t>
      </w:r>
      <w:r w:rsidR="00E56200" w:rsidRPr="00D6259F">
        <w:rPr>
          <w:color w:val="000000" w:themeColor="text1"/>
        </w:rPr>
        <w:t>the</w:t>
      </w:r>
      <w:r w:rsidRPr="00D6259F">
        <w:rPr>
          <w:color w:val="000000" w:themeColor="text1"/>
        </w:rPr>
        <w:t xml:space="preserve"> </w:t>
      </w:r>
      <w:r w:rsidR="00FB3DD3" w:rsidRPr="00D6259F">
        <w:rPr>
          <w:color w:val="000000" w:themeColor="text1"/>
        </w:rPr>
        <w:t xml:space="preserve">Wellington City </w:t>
      </w:r>
      <w:r w:rsidRPr="00D6259F">
        <w:rPr>
          <w:color w:val="000000" w:themeColor="text1"/>
        </w:rPr>
        <w:t>Council</w:t>
      </w:r>
      <w:r w:rsidR="00FB3DD3" w:rsidRPr="00D6259F">
        <w:rPr>
          <w:color w:val="000000" w:themeColor="text1"/>
        </w:rPr>
        <w:t xml:space="preserve"> and</w:t>
      </w:r>
      <w:r w:rsidR="00866B27" w:rsidRPr="00D6259F">
        <w:rPr>
          <w:color w:val="000000" w:themeColor="text1"/>
        </w:rPr>
        <w:t xml:space="preserve"> </w:t>
      </w:r>
      <w:r w:rsidR="00FB3DD3" w:rsidRPr="00D6259F">
        <w:rPr>
          <w:color w:val="000000" w:themeColor="text1"/>
        </w:rPr>
        <w:t xml:space="preserve">Wellington City Council </w:t>
      </w:r>
      <w:r w:rsidRPr="00D6259F">
        <w:rPr>
          <w:color w:val="000000" w:themeColor="text1"/>
        </w:rPr>
        <w:t>Group.</w:t>
      </w:r>
    </w:p>
    <w:p w14:paraId="707558F7" w14:textId="77777777" w:rsidR="0026593B" w:rsidRPr="00D6259F" w:rsidRDefault="0026593B" w:rsidP="0081176D">
      <w:pPr>
        <w:spacing w:after="0" w:line="6" w:lineRule="atLeast"/>
        <w:rPr>
          <w:color w:val="000000" w:themeColor="text1"/>
        </w:rPr>
      </w:pPr>
    </w:p>
    <w:p w14:paraId="7CC52C1B" w14:textId="77777777" w:rsidR="0026593B" w:rsidRPr="00D6259F" w:rsidRDefault="0026593B" w:rsidP="0081176D">
      <w:pPr>
        <w:spacing w:after="0" w:line="6" w:lineRule="atLeast"/>
        <w:rPr>
          <w:color w:val="000000" w:themeColor="text1"/>
        </w:rPr>
      </w:pPr>
    </w:p>
    <w:p w14:paraId="559CBE0A" w14:textId="77777777" w:rsidR="0026593B" w:rsidRPr="00D6259F" w:rsidRDefault="0026593B" w:rsidP="0081176D">
      <w:pPr>
        <w:spacing w:after="0" w:line="6" w:lineRule="atLeast"/>
        <w:rPr>
          <w:color w:val="000000" w:themeColor="text1"/>
        </w:rPr>
      </w:pPr>
    </w:p>
    <w:p w14:paraId="0301D83F" w14:textId="77777777" w:rsidR="00807F1B" w:rsidRPr="00D6259F" w:rsidRDefault="00807F1B" w:rsidP="0081176D">
      <w:pPr>
        <w:spacing w:after="0" w:line="6" w:lineRule="atLeast"/>
        <w:rPr>
          <w:color w:val="000000" w:themeColor="text1"/>
        </w:rPr>
      </w:pPr>
    </w:p>
    <w:p w14:paraId="7E84D685" w14:textId="4EB5504F" w:rsidR="00807F1B" w:rsidRPr="00D6259F" w:rsidRDefault="0063244E" w:rsidP="0081176D">
      <w:pPr>
        <w:spacing w:after="0" w:line="6" w:lineRule="atLeast"/>
        <w:rPr>
          <w:color w:val="000000" w:themeColor="text1"/>
        </w:rPr>
      </w:pPr>
      <w:r w:rsidRPr="00D6259F">
        <w:rPr>
          <w:color w:val="000000" w:themeColor="text1"/>
        </w:rPr>
        <w:t xml:space="preserve">    </w:t>
      </w:r>
    </w:p>
    <w:p w14:paraId="6CBDB02A" w14:textId="77777777" w:rsidR="00807F1B" w:rsidRPr="00D6259F" w:rsidRDefault="00807F1B" w:rsidP="0081176D">
      <w:pPr>
        <w:spacing w:after="0" w:line="6" w:lineRule="atLeast"/>
        <w:rPr>
          <w:color w:val="000000" w:themeColor="text1"/>
        </w:rPr>
      </w:pPr>
    </w:p>
    <w:p w14:paraId="403BD164" w14:textId="77777777" w:rsidR="00A77852" w:rsidRPr="00D6259F" w:rsidRDefault="00A77852" w:rsidP="0081176D">
      <w:pPr>
        <w:spacing w:after="0" w:line="6" w:lineRule="atLeast"/>
        <w:rPr>
          <w:color w:val="000000" w:themeColor="text1"/>
        </w:rPr>
      </w:pPr>
    </w:p>
    <w:p w14:paraId="2837F1FC" w14:textId="77777777" w:rsidR="00A77852" w:rsidRPr="00D6259F" w:rsidRDefault="00A77852" w:rsidP="0081176D">
      <w:pPr>
        <w:spacing w:after="0" w:line="6" w:lineRule="atLeast"/>
        <w:rPr>
          <w:color w:val="000000" w:themeColor="text1"/>
        </w:rPr>
      </w:pPr>
    </w:p>
    <w:p w14:paraId="2E63F81F" w14:textId="77777777" w:rsidR="00A77852" w:rsidRPr="00D6259F" w:rsidRDefault="00A77852" w:rsidP="0081176D">
      <w:pPr>
        <w:spacing w:after="0" w:line="6" w:lineRule="atLeast"/>
        <w:rPr>
          <w:color w:val="000000" w:themeColor="text1"/>
        </w:rPr>
      </w:pPr>
    </w:p>
    <w:p w14:paraId="0608BEE6" w14:textId="77777777" w:rsidR="00807F1B" w:rsidRPr="00D6259F" w:rsidRDefault="00807F1B" w:rsidP="0081176D">
      <w:pPr>
        <w:spacing w:after="0" w:line="6" w:lineRule="atLeast"/>
        <w:rPr>
          <w:color w:val="000000" w:themeColor="text1"/>
        </w:rPr>
      </w:pPr>
    </w:p>
    <w:p w14:paraId="6C2F0EAD" w14:textId="77777777" w:rsidR="00807F1B" w:rsidRPr="00D6259F" w:rsidRDefault="00807F1B" w:rsidP="0081176D">
      <w:pPr>
        <w:spacing w:after="0" w:line="6" w:lineRule="atLeast"/>
        <w:rPr>
          <w:color w:val="000000" w:themeColor="text1"/>
        </w:rPr>
      </w:pPr>
    </w:p>
    <w:p w14:paraId="7D2645FE" w14:textId="77777777" w:rsidR="0026593B" w:rsidRPr="00D6259F" w:rsidRDefault="0026593B" w:rsidP="0081176D">
      <w:pPr>
        <w:spacing w:after="0" w:line="6" w:lineRule="atLeast"/>
        <w:rPr>
          <w:color w:val="000000" w:themeColor="text1"/>
        </w:rPr>
      </w:pPr>
    </w:p>
    <w:p w14:paraId="3DCFE1F8" w14:textId="77777777" w:rsidR="0026593B" w:rsidRPr="00D6259F" w:rsidRDefault="0026593B" w:rsidP="0081176D">
      <w:pPr>
        <w:spacing w:after="0" w:line="6" w:lineRule="atLeast"/>
        <w:rPr>
          <w:color w:val="000000" w:themeColor="text1"/>
        </w:rPr>
      </w:pPr>
    </w:p>
    <w:p w14:paraId="387A51AB" w14:textId="77777777" w:rsidR="0026593B" w:rsidRPr="00D6259F" w:rsidRDefault="0026593B" w:rsidP="0081176D">
      <w:pPr>
        <w:spacing w:after="0" w:line="6" w:lineRule="atLeast"/>
        <w:rPr>
          <w:color w:val="000000" w:themeColor="text1"/>
        </w:rPr>
      </w:pPr>
    </w:p>
    <w:tbl>
      <w:tblPr>
        <w:tblStyle w:val="TableGrid"/>
        <w:tblW w:w="971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308"/>
        <w:gridCol w:w="3285"/>
      </w:tblGrid>
      <w:tr w:rsidR="00D6259F" w:rsidRPr="00D6259F" w14:paraId="0E526392" w14:textId="77777777" w:rsidTr="001E47E4">
        <w:trPr>
          <w:trHeight w:val="461"/>
        </w:trPr>
        <w:tc>
          <w:tcPr>
            <w:tcW w:w="3119" w:type="dxa"/>
          </w:tcPr>
          <w:p w14:paraId="3F99D158" w14:textId="77777777" w:rsidR="002371BB" w:rsidRPr="00D6259F" w:rsidRDefault="002371BB" w:rsidP="001E47E4">
            <w:pPr>
              <w:spacing w:line="10" w:lineRule="atLeast"/>
              <w:rPr>
                <w:b/>
                <w:bCs/>
                <w:color w:val="000000" w:themeColor="text1"/>
                <w:sz w:val="18"/>
                <w:szCs w:val="18"/>
                <w:lang w:val="en-US"/>
              </w:rPr>
            </w:pPr>
          </w:p>
          <w:p w14:paraId="0B00E32E" w14:textId="77777777" w:rsidR="002371BB" w:rsidRPr="00D6259F" w:rsidRDefault="002371BB" w:rsidP="001E47E4">
            <w:pPr>
              <w:spacing w:line="10" w:lineRule="atLeast"/>
              <w:rPr>
                <w:b/>
                <w:bCs/>
                <w:color w:val="000000" w:themeColor="text1"/>
                <w:sz w:val="18"/>
                <w:szCs w:val="18"/>
                <w:lang w:val="en-US"/>
              </w:rPr>
            </w:pPr>
            <w:r w:rsidRPr="00D6259F">
              <w:rPr>
                <w:b/>
                <w:bCs/>
                <w:color w:val="000000" w:themeColor="text1"/>
                <w:sz w:val="18"/>
                <w:szCs w:val="18"/>
                <w:lang w:val="en-US"/>
              </w:rPr>
              <w:t>Tory Whanau</w:t>
            </w:r>
          </w:p>
          <w:p w14:paraId="3C1816C1" w14:textId="77777777" w:rsidR="002371BB" w:rsidRPr="00D6259F" w:rsidRDefault="002371BB" w:rsidP="001E47E4">
            <w:pPr>
              <w:spacing w:line="30" w:lineRule="atLeast"/>
              <w:rPr>
                <w:b/>
                <w:bCs/>
                <w:color w:val="000000" w:themeColor="text1"/>
                <w:sz w:val="18"/>
                <w:szCs w:val="18"/>
                <w:lang w:val="en-US"/>
              </w:rPr>
            </w:pPr>
            <w:r w:rsidRPr="00D6259F">
              <w:rPr>
                <w:b/>
                <w:bCs/>
                <w:color w:val="000000" w:themeColor="text1"/>
                <w:sz w:val="18"/>
                <w:szCs w:val="18"/>
                <w:lang w:val="en-US"/>
              </w:rPr>
              <w:t>Mayor</w:t>
            </w:r>
          </w:p>
        </w:tc>
        <w:tc>
          <w:tcPr>
            <w:tcW w:w="3308" w:type="dxa"/>
          </w:tcPr>
          <w:p w14:paraId="032DC90D" w14:textId="77777777" w:rsidR="002371BB" w:rsidRPr="00D6259F" w:rsidRDefault="002371BB" w:rsidP="001E47E4">
            <w:pPr>
              <w:spacing w:line="30" w:lineRule="atLeast"/>
              <w:rPr>
                <w:b/>
                <w:bCs/>
                <w:color w:val="000000" w:themeColor="text1"/>
                <w:sz w:val="18"/>
                <w:szCs w:val="18"/>
                <w:lang w:val="en-US"/>
              </w:rPr>
            </w:pPr>
          </w:p>
          <w:p w14:paraId="0E86B086" w14:textId="77777777" w:rsidR="002371BB" w:rsidRPr="00D6259F" w:rsidRDefault="002371BB" w:rsidP="001E47E4">
            <w:pPr>
              <w:spacing w:line="30" w:lineRule="atLeast"/>
              <w:rPr>
                <w:b/>
                <w:bCs/>
                <w:color w:val="000000" w:themeColor="text1"/>
                <w:sz w:val="18"/>
                <w:szCs w:val="18"/>
                <w:lang w:val="en-US"/>
              </w:rPr>
            </w:pPr>
            <w:r w:rsidRPr="00D6259F">
              <w:rPr>
                <w:b/>
                <w:bCs/>
                <w:color w:val="000000" w:themeColor="text1"/>
                <w:sz w:val="18"/>
                <w:szCs w:val="18"/>
                <w:lang w:val="en-US"/>
              </w:rPr>
              <w:t>Barbara McKerrow</w:t>
            </w:r>
          </w:p>
          <w:p w14:paraId="602EAC05" w14:textId="77777777" w:rsidR="002371BB" w:rsidRPr="00D6259F" w:rsidRDefault="002371BB" w:rsidP="001E47E4">
            <w:pPr>
              <w:spacing w:line="30" w:lineRule="atLeast"/>
              <w:rPr>
                <w:b/>
                <w:bCs/>
                <w:color w:val="000000" w:themeColor="text1"/>
                <w:sz w:val="18"/>
                <w:szCs w:val="18"/>
                <w:lang w:val="en-US"/>
              </w:rPr>
            </w:pPr>
            <w:r w:rsidRPr="00D6259F">
              <w:rPr>
                <w:b/>
                <w:bCs/>
                <w:color w:val="000000" w:themeColor="text1"/>
                <w:sz w:val="18"/>
                <w:szCs w:val="18"/>
                <w:lang w:val="en-US"/>
              </w:rPr>
              <w:t>Chief Executive</w:t>
            </w:r>
          </w:p>
        </w:tc>
        <w:tc>
          <w:tcPr>
            <w:tcW w:w="3285" w:type="dxa"/>
          </w:tcPr>
          <w:p w14:paraId="798A1427" w14:textId="77777777" w:rsidR="002371BB" w:rsidRPr="00D6259F" w:rsidRDefault="002371BB" w:rsidP="001E47E4">
            <w:pPr>
              <w:spacing w:line="30" w:lineRule="atLeast"/>
              <w:rPr>
                <w:b/>
                <w:bCs/>
                <w:color w:val="000000" w:themeColor="text1"/>
                <w:sz w:val="18"/>
                <w:szCs w:val="18"/>
                <w:lang w:val="en-US"/>
              </w:rPr>
            </w:pPr>
          </w:p>
          <w:p w14:paraId="4134224A" w14:textId="77777777" w:rsidR="002371BB" w:rsidRPr="00D6259F" w:rsidRDefault="002371BB" w:rsidP="001E47E4">
            <w:pPr>
              <w:spacing w:line="30" w:lineRule="atLeast"/>
              <w:rPr>
                <w:b/>
                <w:bCs/>
                <w:color w:val="000000" w:themeColor="text1"/>
                <w:sz w:val="18"/>
                <w:szCs w:val="18"/>
                <w:lang w:val="en-US"/>
              </w:rPr>
            </w:pPr>
            <w:r w:rsidRPr="00D6259F">
              <w:rPr>
                <w:b/>
                <w:bCs/>
                <w:color w:val="000000" w:themeColor="text1"/>
                <w:sz w:val="18"/>
                <w:szCs w:val="18"/>
                <w:lang w:val="en-US"/>
              </w:rPr>
              <w:t>Andrea Reeves</w:t>
            </w:r>
          </w:p>
          <w:p w14:paraId="0814501F" w14:textId="589BE752" w:rsidR="002371BB" w:rsidRPr="00D6259F" w:rsidRDefault="002371BB" w:rsidP="001E47E4">
            <w:pPr>
              <w:spacing w:line="30" w:lineRule="atLeast"/>
              <w:rPr>
                <w:b/>
                <w:bCs/>
                <w:color w:val="000000" w:themeColor="text1"/>
                <w:sz w:val="18"/>
                <w:szCs w:val="18"/>
                <w:lang w:val="en-US"/>
              </w:rPr>
            </w:pPr>
            <w:r w:rsidRPr="00D6259F">
              <w:rPr>
                <w:b/>
                <w:bCs/>
                <w:color w:val="000000" w:themeColor="text1"/>
                <w:sz w:val="18"/>
                <w:szCs w:val="18"/>
                <w:lang w:val="en-US"/>
              </w:rPr>
              <w:t xml:space="preserve">Chief </w:t>
            </w:r>
            <w:r w:rsidR="00950897" w:rsidRPr="00D6259F">
              <w:rPr>
                <w:b/>
                <w:bCs/>
                <w:color w:val="000000" w:themeColor="text1"/>
                <w:sz w:val="18"/>
                <w:szCs w:val="18"/>
                <w:lang w:val="en-US"/>
              </w:rPr>
              <w:t xml:space="preserve">Strategy and Finance </w:t>
            </w:r>
            <w:r w:rsidRPr="00D6259F">
              <w:rPr>
                <w:b/>
                <w:bCs/>
                <w:color w:val="000000" w:themeColor="text1"/>
                <w:sz w:val="18"/>
                <w:szCs w:val="18"/>
                <w:lang w:val="en-US"/>
              </w:rPr>
              <w:t>Officer</w:t>
            </w:r>
          </w:p>
        </w:tc>
      </w:tr>
      <w:tr w:rsidR="00D6259F" w:rsidRPr="00D6259F" w14:paraId="5D4B7C37" w14:textId="77777777" w:rsidTr="001E47E4">
        <w:trPr>
          <w:trHeight w:val="435"/>
        </w:trPr>
        <w:tc>
          <w:tcPr>
            <w:tcW w:w="3119" w:type="dxa"/>
            <w:vAlign w:val="center"/>
          </w:tcPr>
          <w:p w14:paraId="09C29542" w14:textId="77777777" w:rsidR="002371BB" w:rsidRPr="00D6259F" w:rsidRDefault="002371BB" w:rsidP="001E47E4">
            <w:pPr>
              <w:spacing w:line="360" w:lineRule="auto"/>
              <w:rPr>
                <w:color w:val="000000" w:themeColor="text1"/>
                <w:sz w:val="16"/>
                <w:szCs w:val="16"/>
              </w:rPr>
            </w:pPr>
          </w:p>
          <w:p w14:paraId="442EAF12" w14:textId="77777777" w:rsidR="0026593B" w:rsidRPr="00D6259F" w:rsidRDefault="0026593B" w:rsidP="001E47E4">
            <w:pPr>
              <w:spacing w:line="360" w:lineRule="auto"/>
              <w:rPr>
                <w:color w:val="000000" w:themeColor="text1"/>
                <w:sz w:val="16"/>
                <w:szCs w:val="16"/>
              </w:rPr>
            </w:pPr>
          </w:p>
          <w:p w14:paraId="519CC44E" w14:textId="77777777" w:rsidR="0026593B" w:rsidRPr="00D6259F" w:rsidRDefault="0026593B" w:rsidP="001E47E4">
            <w:pPr>
              <w:spacing w:line="360" w:lineRule="auto"/>
              <w:rPr>
                <w:color w:val="000000" w:themeColor="text1"/>
                <w:sz w:val="16"/>
                <w:szCs w:val="16"/>
              </w:rPr>
            </w:pPr>
          </w:p>
          <w:p w14:paraId="5E567A64" w14:textId="77777777" w:rsidR="00805AD3" w:rsidRPr="00D6259F" w:rsidRDefault="00805AD3" w:rsidP="001E47E4">
            <w:pPr>
              <w:spacing w:line="360" w:lineRule="auto"/>
              <w:rPr>
                <w:color w:val="000000" w:themeColor="text1"/>
                <w:sz w:val="16"/>
                <w:szCs w:val="16"/>
              </w:rPr>
            </w:pPr>
          </w:p>
          <w:p w14:paraId="225002C7" w14:textId="15DADA5C" w:rsidR="002371BB" w:rsidRPr="00D6259F" w:rsidRDefault="002371BB" w:rsidP="001E47E4">
            <w:pPr>
              <w:spacing w:line="360" w:lineRule="auto"/>
              <w:rPr>
                <w:color w:val="000000" w:themeColor="text1"/>
                <w:sz w:val="16"/>
                <w:szCs w:val="16"/>
              </w:rPr>
            </w:pPr>
            <w:r w:rsidRPr="00D6259F">
              <w:rPr>
                <w:color w:val="000000" w:themeColor="text1"/>
                <w:sz w:val="16"/>
                <w:szCs w:val="16"/>
              </w:rPr>
              <w:softHyphen/>
              <w:t>__________________</w:t>
            </w:r>
          </w:p>
          <w:p w14:paraId="08E4C7D1" w14:textId="1889FB29" w:rsidR="002371BB" w:rsidRPr="00D6259F" w:rsidRDefault="00714B7E" w:rsidP="001E47E4">
            <w:pPr>
              <w:rPr>
                <w:color w:val="000000" w:themeColor="text1"/>
                <w:sz w:val="16"/>
                <w:szCs w:val="16"/>
                <w:lang w:val="en-US"/>
              </w:rPr>
            </w:pPr>
            <w:r w:rsidRPr="00D6259F">
              <w:rPr>
                <w:color w:val="000000" w:themeColor="text1"/>
                <w:sz w:val="16"/>
                <w:szCs w:val="16"/>
              </w:rPr>
              <w:t>31</w:t>
            </w:r>
            <w:r w:rsidR="002371BB" w:rsidRPr="00D6259F">
              <w:rPr>
                <w:color w:val="000000" w:themeColor="text1"/>
                <w:sz w:val="16"/>
                <w:szCs w:val="16"/>
              </w:rPr>
              <w:t xml:space="preserve"> October 2024</w:t>
            </w:r>
          </w:p>
        </w:tc>
        <w:tc>
          <w:tcPr>
            <w:tcW w:w="3308" w:type="dxa"/>
            <w:vAlign w:val="center"/>
          </w:tcPr>
          <w:p w14:paraId="6958BE8A" w14:textId="77777777" w:rsidR="00805AD3" w:rsidRPr="00D6259F" w:rsidRDefault="00805AD3" w:rsidP="001E47E4">
            <w:pPr>
              <w:spacing w:line="360" w:lineRule="auto"/>
              <w:rPr>
                <w:color w:val="000000" w:themeColor="text1"/>
                <w:sz w:val="16"/>
                <w:szCs w:val="16"/>
              </w:rPr>
            </w:pPr>
          </w:p>
          <w:p w14:paraId="4CC83628" w14:textId="77777777" w:rsidR="002371BB" w:rsidRPr="00D6259F" w:rsidRDefault="002371BB" w:rsidP="001E47E4">
            <w:pPr>
              <w:spacing w:line="360" w:lineRule="auto"/>
              <w:rPr>
                <w:color w:val="000000" w:themeColor="text1"/>
                <w:sz w:val="16"/>
                <w:szCs w:val="16"/>
              </w:rPr>
            </w:pPr>
          </w:p>
          <w:p w14:paraId="22A5A8A5" w14:textId="77777777" w:rsidR="0026593B" w:rsidRPr="00D6259F" w:rsidRDefault="0026593B" w:rsidP="001E47E4">
            <w:pPr>
              <w:spacing w:line="360" w:lineRule="auto"/>
              <w:rPr>
                <w:color w:val="000000" w:themeColor="text1"/>
                <w:sz w:val="16"/>
                <w:szCs w:val="16"/>
              </w:rPr>
            </w:pPr>
          </w:p>
          <w:p w14:paraId="619CFD47" w14:textId="77777777" w:rsidR="0026593B" w:rsidRPr="00D6259F" w:rsidRDefault="0026593B" w:rsidP="001E47E4">
            <w:pPr>
              <w:spacing w:line="360" w:lineRule="auto"/>
              <w:rPr>
                <w:color w:val="000000" w:themeColor="text1"/>
                <w:sz w:val="16"/>
                <w:szCs w:val="16"/>
              </w:rPr>
            </w:pPr>
          </w:p>
          <w:p w14:paraId="2030AAE4" w14:textId="63842FD5" w:rsidR="002371BB" w:rsidRPr="00D6259F" w:rsidRDefault="002371BB" w:rsidP="001E47E4">
            <w:pPr>
              <w:spacing w:line="360" w:lineRule="auto"/>
              <w:rPr>
                <w:color w:val="000000" w:themeColor="text1"/>
                <w:sz w:val="16"/>
                <w:szCs w:val="16"/>
              </w:rPr>
            </w:pPr>
            <w:r w:rsidRPr="00D6259F">
              <w:rPr>
                <w:color w:val="000000" w:themeColor="text1"/>
                <w:sz w:val="16"/>
                <w:szCs w:val="16"/>
              </w:rPr>
              <w:t>_________________</w:t>
            </w:r>
          </w:p>
          <w:p w14:paraId="5E85CF89" w14:textId="14D4189B" w:rsidR="002371BB" w:rsidRPr="00D6259F" w:rsidRDefault="00714B7E" w:rsidP="001E47E4">
            <w:pPr>
              <w:rPr>
                <w:color w:val="000000" w:themeColor="text1"/>
                <w:sz w:val="16"/>
                <w:szCs w:val="16"/>
                <w:lang w:val="en-US"/>
              </w:rPr>
            </w:pPr>
            <w:r w:rsidRPr="00D6259F">
              <w:rPr>
                <w:color w:val="000000" w:themeColor="text1"/>
                <w:sz w:val="16"/>
                <w:szCs w:val="16"/>
              </w:rPr>
              <w:t>31</w:t>
            </w:r>
            <w:r w:rsidR="002371BB" w:rsidRPr="00D6259F">
              <w:rPr>
                <w:color w:val="000000" w:themeColor="text1"/>
                <w:sz w:val="16"/>
                <w:szCs w:val="16"/>
              </w:rPr>
              <w:t xml:space="preserve"> October 2024</w:t>
            </w:r>
          </w:p>
        </w:tc>
        <w:tc>
          <w:tcPr>
            <w:tcW w:w="3285" w:type="dxa"/>
            <w:vAlign w:val="center"/>
          </w:tcPr>
          <w:p w14:paraId="4E77AF6F" w14:textId="77777777" w:rsidR="002371BB" w:rsidRPr="00D6259F" w:rsidRDefault="002371BB" w:rsidP="001E47E4">
            <w:pPr>
              <w:spacing w:line="360" w:lineRule="auto"/>
              <w:rPr>
                <w:color w:val="000000" w:themeColor="text1"/>
                <w:sz w:val="16"/>
                <w:szCs w:val="16"/>
              </w:rPr>
            </w:pPr>
          </w:p>
          <w:p w14:paraId="753D652B" w14:textId="77777777" w:rsidR="0026593B" w:rsidRPr="00D6259F" w:rsidRDefault="0026593B" w:rsidP="001E47E4">
            <w:pPr>
              <w:spacing w:line="360" w:lineRule="auto"/>
              <w:rPr>
                <w:color w:val="000000" w:themeColor="text1"/>
                <w:sz w:val="16"/>
                <w:szCs w:val="16"/>
              </w:rPr>
            </w:pPr>
          </w:p>
          <w:p w14:paraId="716DEC4F" w14:textId="77777777" w:rsidR="00805AD3" w:rsidRPr="00D6259F" w:rsidRDefault="00805AD3" w:rsidP="001E47E4">
            <w:pPr>
              <w:spacing w:line="360" w:lineRule="auto"/>
              <w:rPr>
                <w:color w:val="000000" w:themeColor="text1"/>
                <w:sz w:val="16"/>
                <w:szCs w:val="16"/>
              </w:rPr>
            </w:pPr>
          </w:p>
          <w:p w14:paraId="7F0BE57B" w14:textId="77777777" w:rsidR="002371BB" w:rsidRPr="00D6259F" w:rsidRDefault="002371BB" w:rsidP="001E47E4">
            <w:pPr>
              <w:spacing w:line="360" w:lineRule="auto"/>
              <w:rPr>
                <w:color w:val="000000" w:themeColor="text1"/>
                <w:sz w:val="16"/>
                <w:szCs w:val="16"/>
              </w:rPr>
            </w:pPr>
          </w:p>
          <w:p w14:paraId="01B1EC19" w14:textId="6BF59849" w:rsidR="002371BB" w:rsidRPr="00D6259F" w:rsidRDefault="002371BB" w:rsidP="001E47E4">
            <w:pPr>
              <w:spacing w:line="360" w:lineRule="auto"/>
              <w:rPr>
                <w:color w:val="000000" w:themeColor="text1"/>
                <w:sz w:val="16"/>
                <w:szCs w:val="16"/>
              </w:rPr>
            </w:pPr>
            <w:r w:rsidRPr="00D6259F">
              <w:rPr>
                <w:color w:val="000000" w:themeColor="text1"/>
                <w:sz w:val="16"/>
                <w:szCs w:val="16"/>
              </w:rPr>
              <w:t>_________________</w:t>
            </w:r>
          </w:p>
          <w:p w14:paraId="6092080B" w14:textId="33AD408C" w:rsidR="002371BB" w:rsidRPr="00D6259F" w:rsidRDefault="00714B7E" w:rsidP="001E47E4">
            <w:pPr>
              <w:rPr>
                <w:color w:val="000000" w:themeColor="text1"/>
                <w:sz w:val="16"/>
                <w:szCs w:val="16"/>
                <w:lang w:val="en-US"/>
              </w:rPr>
            </w:pPr>
            <w:r w:rsidRPr="00D6259F">
              <w:rPr>
                <w:color w:val="000000" w:themeColor="text1"/>
                <w:sz w:val="16"/>
                <w:szCs w:val="16"/>
              </w:rPr>
              <w:t>31</w:t>
            </w:r>
            <w:r w:rsidR="002371BB" w:rsidRPr="00D6259F">
              <w:rPr>
                <w:color w:val="000000" w:themeColor="text1"/>
                <w:sz w:val="16"/>
                <w:szCs w:val="16"/>
              </w:rPr>
              <w:t xml:space="preserve"> October 2024</w:t>
            </w:r>
          </w:p>
        </w:tc>
      </w:tr>
    </w:tbl>
    <w:p w14:paraId="7F4C1D9D" w14:textId="77777777" w:rsidR="0026593B" w:rsidRPr="00D6259F" w:rsidRDefault="0026593B">
      <w:pPr>
        <w:rPr>
          <w:rFonts w:ascii="Cambria" w:eastAsiaTheme="majorEastAsia" w:hAnsi="Cambria"/>
          <w:b/>
          <w:bCs/>
          <w:color w:val="000000" w:themeColor="text1"/>
          <w:sz w:val="60"/>
          <w:szCs w:val="60"/>
        </w:rPr>
      </w:pPr>
      <w:bookmarkStart w:id="11" w:name="_Hlk174367879"/>
      <w:bookmarkStart w:id="12" w:name="_Toc55482628"/>
      <w:bookmarkStart w:id="13" w:name="_Toc55482834"/>
      <w:bookmarkStart w:id="14" w:name="_Toc55487227"/>
      <w:bookmarkStart w:id="15" w:name="_Toc58397814"/>
      <w:bookmarkStart w:id="16" w:name="_Toc61862879"/>
      <w:bookmarkEnd w:id="0"/>
      <w:bookmarkEnd w:id="1"/>
      <w:bookmarkEnd w:id="2"/>
      <w:bookmarkEnd w:id="3"/>
      <w:bookmarkEnd w:id="10"/>
      <w:r w:rsidRPr="00D6259F">
        <w:rPr>
          <w:color w:val="000000" w:themeColor="text1"/>
        </w:rPr>
        <w:br w:type="page"/>
      </w:r>
    </w:p>
    <w:p w14:paraId="7BD9844E" w14:textId="025B561F" w:rsidR="00A94B03" w:rsidRPr="00D6259F" w:rsidRDefault="00A94B03" w:rsidP="00D6259F">
      <w:pPr>
        <w:pStyle w:val="Heading1"/>
      </w:pPr>
      <w:bookmarkStart w:id="17" w:name="_Toc179890277"/>
      <w:r w:rsidRPr="00D6259F">
        <w:lastRenderedPageBreak/>
        <w:t xml:space="preserve">Basis of </w:t>
      </w:r>
      <w:r w:rsidR="007227DA" w:rsidRPr="00D6259F">
        <w:t>R</w:t>
      </w:r>
      <w:r w:rsidRPr="00D6259F">
        <w:t>eporting</w:t>
      </w:r>
      <w:bookmarkEnd w:id="17"/>
    </w:p>
    <w:p w14:paraId="01E8341E" w14:textId="77777777" w:rsidR="0026593B" w:rsidRPr="00D6259F" w:rsidRDefault="0026593B" w:rsidP="003E1E2E">
      <w:pPr>
        <w:pStyle w:val="Heading2"/>
      </w:pPr>
      <w:bookmarkStart w:id="18" w:name="_Toc179890278"/>
      <w:bookmarkEnd w:id="11"/>
      <w:r w:rsidRPr="00D6259F">
        <w:t>Reporting entity</w:t>
      </w:r>
      <w:bookmarkEnd w:id="18"/>
    </w:p>
    <w:p w14:paraId="442411A7" w14:textId="0F2AB60D" w:rsidR="0026593B" w:rsidRPr="00D6259F" w:rsidRDefault="0026593B" w:rsidP="0026593B">
      <w:pPr>
        <w:rPr>
          <w:color w:val="000000" w:themeColor="text1"/>
        </w:rPr>
      </w:pPr>
      <w:r w:rsidRPr="00D6259F">
        <w:rPr>
          <w:color w:val="000000" w:themeColor="text1"/>
        </w:rPr>
        <w:t xml:space="preserve">Wellington City Council </w:t>
      </w:r>
      <w:r w:rsidR="00FB3DD3" w:rsidRPr="00D6259F">
        <w:rPr>
          <w:color w:val="000000" w:themeColor="text1"/>
        </w:rPr>
        <w:t xml:space="preserve">(the Council) </w:t>
      </w:r>
      <w:r w:rsidRPr="00D6259F">
        <w:rPr>
          <w:color w:val="000000" w:themeColor="text1"/>
        </w:rPr>
        <w:t>is a territorial local authority established under the Local Government Act 2002 (LGA 2002) and is domiciled and operates in New Zealand. The relevant legislation governing the Council’s operations includes the LGA 2002 and the Local Government (Rating) Act 2002.</w:t>
      </w:r>
    </w:p>
    <w:p w14:paraId="36C61AB3" w14:textId="77777777" w:rsidR="0026593B" w:rsidRPr="00D6259F" w:rsidRDefault="0026593B" w:rsidP="0026593B">
      <w:pPr>
        <w:rPr>
          <w:color w:val="000000" w:themeColor="text1"/>
        </w:rPr>
      </w:pPr>
      <w:r w:rsidRPr="00D6259F">
        <w:rPr>
          <w:color w:val="000000" w:themeColor="text1"/>
        </w:rPr>
        <w:t>The primary purpose of the Council and Group is to provide goods or services for community or social benefits rather than making a financial return. As a defined public entity under the Public Audit Act 2001, the Council is audited by the Office of the Auditor General and is classed as a Public Sector Public Benefit Entity (PBE) for financial reporting purposes.</w:t>
      </w:r>
    </w:p>
    <w:p w14:paraId="68FB0623" w14:textId="6F801C9E" w:rsidR="0026593B" w:rsidRPr="00D6259F" w:rsidRDefault="0026593B" w:rsidP="0026593B">
      <w:pPr>
        <w:rPr>
          <w:color w:val="000000" w:themeColor="text1"/>
        </w:rPr>
      </w:pPr>
      <w:r w:rsidRPr="00D6259F">
        <w:rPr>
          <w:color w:val="000000" w:themeColor="text1"/>
        </w:rPr>
        <w:t xml:space="preserve">The reported Council figures include the results and operations of the Council’s interests </w:t>
      </w:r>
      <w:r w:rsidR="007227DA" w:rsidRPr="00D6259F">
        <w:rPr>
          <w:color w:val="000000" w:themeColor="text1"/>
        </w:rPr>
        <w:t xml:space="preserve">in joint operations </w:t>
      </w:r>
      <w:r w:rsidRPr="00D6259F">
        <w:rPr>
          <w:color w:val="000000" w:themeColor="text1"/>
        </w:rPr>
        <w:t xml:space="preserve">as disclosed in </w:t>
      </w:r>
      <w:r w:rsidRPr="00D6259F">
        <w:rPr>
          <w:i/>
          <w:iCs/>
          <w:color w:val="000000" w:themeColor="text1"/>
        </w:rPr>
        <w:t>Note 36: Joint operations</w:t>
      </w:r>
      <w:r w:rsidRPr="00D6259F">
        <w:rPr>
          <w:color w:val="000000" w:themeColor="text1"/>
        </w:rPr>
        <w:t xml:space="preserve"> (page </w:t>
      </w:r>
      <w:r w:rsidR="000F20D8" w:rsidRPr="00D6259F">
        <w:rPr>
          <w:color w:val="000000" w:themeColor="text1"/>
        </w:rPr>
        <w:t>110</w:t>
      </w:r>
      <w:r w:rsidRPr="00D6259F">
        <w:rPr>
          <w:color w:val="000000" w:themeColor="text1"/>
        </w:rPr>
        <w:t>).</w:t>
      </w:r>
    </w:p>
    <w:p w14:paraId="01276701" w14:textId="77AFA059" w:rsidR="0026593B" w:rsidRPr="00D6259F" w:rsidRDefault="0026593B" w:rsidP="0026593B">
      <w:pPr>
        <w:spacing w:line="264" w:lineRule="auto"/>
        <w:rPr>
          <w:color w:val="000000" w:themeColor="text1"/>
        </w:rPr>
      </w:pPr>
      <w:r w:rsidRPr="00D6259F">
        <w:rPr>
          <w:color w:val="000000" w:themeColor="text1"/>
        </w:rPr>
        <w:t xml:space="preserve">The reported Group figures include the Council, </w:t>
      </w:r>
      <w:r w:rsidR="00D5323D" w:rsidRPr="00D6259F">
        <w:rPr>
          <w:color w:val="000000" w:themeColor="text1"/>
        </w:rPr>
        <w:t>the Council’s</w:t>
      </w:r>
      <w:r w:rsidRPr="00D6259F">
        <w:rPr>
          <w:color w:val="000000" w:themeColor="text1"/>
        </w:rPr>
        <w:t xml:space="preserve"> controlled entities as disclosed in </w:t>
      </w:r>
      <w:r w:rsidRPr="00D6259F">
        <w:rPr>
          <w:i/>
          <w:iCs/>
          <w:color w:val="000000" w:themeColor="text1"/>
        </w:rPr>
        <w:t>Note 20: Investment in controlled entities</w:t>
      </w:r>
      <w:r w:rsidRPr="00D6259F">
        <w:rPr>
          <w:color w:val="000000" w:themeColor="text1"/>
        </w:rPr>
        <w:t xml:space="preserve"> (page </w:t>
      </w:r>
      <w:r w:rsidR="000F20D8" w:rsidRPr="00D6259F">
        <w:rPr>
          <w:color w:val="000000" w:themeColor="text1"/>
        </w:rPr>
        <w:t>61</w:t>
      </w:r>
      <w:r w:rsidRPr="00D6259F">
        <w:rPr>
          <w:color w:val="000000" w:themeColor="text1"/>
        </w:rPr>
        <w:t xml:space="preserve">) and the Council’s equity accounted interest in the associates and joint venture as disclosed in </w:t>
      </w:r>
      <w:r w:rsidRPr="00D6259F">
        <w:rPr>
          <w:i/>
          <w:iCs/>
          <w:color w:val="000000" w:themeColor="text1"/>
        </w:rPr>
        <w:t xml:space="preserve">Note 21: Investment in associates and joint venture </w:t>
      </w:r>
      <w:r w:rsidRPr="00D6259F">
        <w:rPr>
          <w:color w:val="000000" w:themeColor="text1"/>
        </w:rPr>
        <w:t xml:space="preserve">(page </w:t>
      </w:r>
      <w:r w:rsidR="000F20D8" w:rsidRPr="00D6259F">
        <w:rPr>
          <w:color w:val="000000" w:themeColor="text1"/>
        </w:rPr>
        <w:t>62</w:t>
      </w:r>
      <w:r w:rsidRPr="00D6259F">
        <w:rPr>
          <w:color w:val="000000" w:themeColor="text1"/>
        </w:rPr>
        <w:t xml:space="preserve">). A diagram of the Council and Group is included on page </w:t>
      </w:r>
      <w:r w:rsidR="000F20D8" w:rsidRPr="00D6259F">
        <w:rPr>
          <w:color w:val="000000" w:themeColor="text1"/>
        </w:rPr>
        <w:t>6</w:t>
      </w:r>
      <w:r w:rsidRPr="00D6259F">
        <w:rPr>
          <w:color w:val="000000" w:themeColor="text1"/>
        </w:rPr>
        <w:t xml:space="preserve">. </w:t>
      </w:r>
    </w:p>
    <w:p w14:paraId="5C95ECE8" w14:textId="5F43223F" w:rsidR="00BF3BDE" w:rsidRPr="00D6259F" w:rsidRDefault="00BF3BDE" w:rsidP="00BF3BDE">
      <w:pPr>
        <w:rPr>
          <w:color w:val="000000" w:themeColor="text1"/>
        </w:rPr>
      </w:pPr>
      <w:r w:rsidRPr="00D6259F">
        <w:rPr>
          <w:color w:val="000000" w:themeColor="text1"/>
        </w:rPr>
        <w:t>This section contains the significant accounting policies of</w:t>
      </w:r>
      <w:r w:rsidR="00E56200" w:rsidRPr="00D6259F">
        <w:rPr>
          <w:color w:val="000000" w:themeColor="text1"/>
        </w:rPr>
        <w:t xml:space="preserve"> the</w:t>
      </w:r>
      <w:r w:rsidRPr="00D6259F">
        <w:rPr>
          <w:color w:val="000000" w:themeColor="text1"/>
        </w:rPr>
        <w:t xml:space="preserve"> Council and Group that relate to the financial statements as a whole. They are additional to the significant accounting policies relating to specific account balances which are included in the related note disclosures. </w:t>
      </w:r>
    </w:p>
    <w:p w14:paraId="2C1A1986" w14:textId="77777777" w:rsidR="009E498D" w:rsidRPr="00D6259F" w:rsidRDefault="009E498D">
      <w:pPr>
        <w:rPr>
          <w:rFonts w:ascii="Cambria" w:eastAsiaTheme="majorEastAsia" w:hAnsi="Cambria"/>
          <w:b/>
          <w:bCs/>
          <w:color w:val="000000" w:themeColor="text1"/>
          <w:sz w:val="48"/>
          <w:szCs w:val="40"/>
        </w:rPr>
      </w:pPr>
      <w:r w:rsidRPr="00D6259F">
        <w:rPr>
          <w:color w:val="000000" w:themeColor="text1"/>
        </w:rPr>
        <w:br w:type="page"/>
      </w:r>
    </w:p>
    <w:p w14:paraId="02E94FAF" w14:textId="4296BE94" w:rsidR="00FA6D44" w:rsidRPr="00D6259F" w:rsidRDefault="00D422B1" w:rsidP="00704FA9">
      <w:pPr>
        <w:pStyle w:val="Heading2"/>
      </w:pPr>
      <w:bookmarkStart w:id="19" w:name="_Toc179890279"/>
      <w:r w:rsidRPr="00D6259F">
        <w:lastRenderedPageBreak/>
        <w:t xml:space="preserve">Council and </w:t>
      </w:r>
      <w:r w:rsidR="007C7055" w:rsidRPr="00D6259F">
        <w:t>Group</w:t>
      </w:r>
      <w:r w:rsidRPr="00D6259F">
        <w:t xml:space="preserve"> </w:t>
      </w:r>
      <w:bookmarkEnd w:id="12"/>
      <w:bookmarkEnd w:id="13"/>
      <w:bookmarkEnd w:id="14"/>
      <w:bookmarkEnd w:id="15"/>
      <w:bookmarkEnd w:id="16"/>
      <w:r w:rsidR="001C6956" w:rsidRPr="00D6259F">
        <w:t>structure</w:t>
      </w:r>
      <w:bookmarkEnd w:id="19"/>
      <w:r w:rsidR="001C6956" w:rsidRPr="00D6259F">
        <w:t xml:space="preserve"> </w:t>
      </w:r>
    </w:p>
    <w:p w14:paraId="6242ECCB" w14:textId="77777777" w:rsidR="00DD471E" w:rsidRPr="00D6259F" w:rsidRDefault="00FA6D44" w:rsidP="00704FA9">
      <w:pPr>
        <w:pStyle w:val="Caption"/>
        <w:rPr>
          <w:color w:val="000000" w:themeColor="text1"/>
        </w:rPr>
      </w:pPr>
      <w:r w:rsidRPr="00D6259F">
        <w:rPr>
          <w:color w:val="000000" w:themeColor="text1"/>
        </w:rPr>
        <w:t>Figure 1: Reporting entity structures</w:t>
      </w:r>
    </w:p>
    <w:p w14:paraId="4BA298C8" w14:textId="260E1FBF" w:rsidR="00D422B1" w:rsidRPr="00D6259F" w:rsidRDefault="00E073DE" w:rsidP="00704FA9">
      <w:pPr>
        <w:pStyle w:val="Caption"/>
        <w:rPr>
          <w:color w:val="000000" w:themeColor="text1"/>
        </w:rPr>
      </w:pPr>
      <w:r w:rsidRPr="00D6259F">
        <w:rPr>
          <w:noProof/>
          <w:color w:val="000000" w:themeColor="text1"/>
        </w:rPr>
        <w:drawing>
          <wp:inline distT="0" distB="0" distL="0" distR="0" wp14:anchorId="4E907F38" wp14:editId="282CB544">
            <wp:extent cx="6479540" cy="5872480"/>
            <wp:effectExtent l="0" t="0" r="0" b="0"/>
            <wp:docPr id="593238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9540" cy="5872480"/>
                    </a:xfrm>
                    <a:prstGeom prst="rect">
                      <a:avLst/>
                    </a:prstGeom>
                    <a:noFill/>
                    <a:ln>
                      <a:noFill/>
                    </a:ln>
                  </pic:spPr>
                </pic:pic>
              </a:graphicData>
            </a:graphic>
          </wp:inline>
        </w:drawing>
      </w:r>
    </w:p>
    <w:p w14:paraId="0DF10ED7" w14:textId="77777777" w:rsidR="00DD471E" w:rsidRPr="00D6259F" w:rsidRDefault="00DD471E" w:rsidP="00DD471E">
      <w:pPr>
        <w:rPr>
          <w:color w:val="000000" w:themeColor="text1"/>
          <w:lang w:eastAsia="en-NZ"/>
        </w:rPr>
      </w:pPr>
    </w:p>
    <w:p w14:paraId="079690D0" w14:textId="1F68DD07" w:rsidR="00164896" w:rsidRPr="00D6259F" w:rsidRDefault="00164896" w:rsidP="002A7D0F">
      <w:pPr>
        <w:pStyle w:val="ListParagraph"/>
        <w:numPr>
          <w:ilvl w:val="0"/>
          <w:numId w:val="56"/>
        </w:numPr>
        <w:rPr>
          <w:i/>
          <w:iCs/>
          <w:color w:val="000000" w:themeColor="text1"/>
          <w:sz w:val="16"/>
          <w:szCs w:val="16"/>
        </w:rPr>
      </w:pPr>
      <w:r w:rsidRPr="00D6259F">
        <w:rPr>
          <w:i/>
          <w:iCs/>
          <w:color w:val="000000" w:themeColor="text1"/>
          <w:sz w:val="16"/>
          <w:szCs w:val="16"/>
        </w:rPr>
        <w:t>The interest in Let’s Get Wellington Moving (LGWM) represents Council’s overall interest in this joint operation until the arrangement ceased on 31 March 2024.</w:t>
      </w:r>
    </w:p>
    <w:p w14:paraId="228523F7" w14:textId="5D3D9ACF" w:rsidR="00AF0561" w:rsidRPr="00D6259F" w:rsidRDefault="00AF0561" w:rsidP="002A7D0F">
      <w:pPr>
        <w:pStyle w:val="ListParagraph"/>
        <w:numPr>
          <w:ilvl w:val="0"/>
          <w:numId w:val="56"/>
        </w:numPr>
        <w:rPr>
          <w:i/>
          <w:iCs/>
          <w:color w:val="000000" w:themeColor="text1"/>
          <w:sz w:val="16"/>
          <w:szCs w:val="16"/>
        </w:rPr>
      </w:pPr>
      <w:r w:rsidRPr="00D6259F">
        <w:rPr>
          <w:i/>
          <w:iCs/>
          <w:color w:val="000000" w:themeColor="text1"/>
          <w:sz w:val="16"/>
          <w:szCs w:val="16"/>
        </w:rPr>
        <w:t xml:space="preserve">Te Toi </w:t>
      </w:r>
      <w:proofErr w:type="spellStart"/>
      <w:r w:rsidRPr="00D6259F">
        <w:rPr>
          <w:i/>
          <w:iCs/>
          <w:color w:val="000000" w:themeColor="text1"/>
          <w:sz w:val="16"/>
          <w:szCs w:val="16"/>
        </w:rPr>
        <w:t>Mahana</w:t>
      </w:r>
      <w:proofErr w:type="spellEnd"/>
      <w:r w:rsidRPr="00D6259F">
        <w:rPr>
          <w:i/>
          <w:iCs/>
          <w:color w:val="000000" w:themeColor="text1"/>
          <w:sz w:val="16"/>
          <w:szCs w:val="16"/>
        </w:rPr>
        <w:t xml:space="preserve"> was established as a Charitable Trust by the Council in February 2023. It became a registered Community Housing Provider with the Community Housing Regulatory Authority in July 2023. For the purposes of financial reporting, it meets the definition of a controlled entity pursuant to PBE IPSAS 35 Consolidated Financial Statements and therefore requires consolidation into the Group. However, Te Toi </w:t>
      </w:r>
      <w:proofErr w:type="spellStart"/>
      <w:r w:rsidRPr="00D6259F">
        <w:rPr>
          <w:i/>
          <w:iCs/>
          <w:color w:val="000000" w:themeColor="text1"/>
          <w:sz w:val="16"/>
          <w:szCs w:val="16"/>
        </w:rPr>
        <w:t>Mahana</w:t>
      </w:r>
      <w:proofErr w:type="spellEnd"/>
      <w:r w:rsidRPr="00D6259F">
        <w:rPr>
          <w:i/>
          <w:iCs/>
          <w:color w:val="000000" w:themeColor="text1"/>
          <w:sz w:val="16"/>
          <w:szCs w:val="16"/>
        </w:rPr>
        <w:t xml:space="preserve"> is not a Council-controlled organisation under the LGA 2002.</w:t>
      </w:r>
    </w:p>
    <w:p w14:paraId="549CDC69" w14:textId="2054FAC7" w:rsidR="00656A7A" w:rsidRPr="00D6259F" w:rsidRDefault="00AF0561" w:rsidP="001C6956">
      <w:pPr>
        <w:rPr>
          <w:color w:val="000000" w:themeColor="text1"/>
        </w:rPr>
      </w:pPr>
      <w:r w:rsidRPr="00D6259F">
        <w:rPr>
          <w:color w:val="000000" w:themeColor="text1"/>
        </w:rPr>
        <w:t>These</w:t>
      </w:r>
      <w:r w:rsidR="00E715CB" w:rsidRPr="00D6259F">
        <w:rPr>
          <w:color w:val="000000" w:themeColor="text1"/>
        </w:rPr>
        <w:t xml:space="preserve"> charts </w:t>
      </w:r>
      <w:r w:rsidR="00F908C4" w:rsidRPr="00D6259F">
        <w:rPr>
          <w:color w:val="000000" w:themeColor="text1"/>
        </w:rPr>
        <w:t xml:space="preserve">represent the Council and Group </w:t>
      </w:r>
      <w:r w:rsidR="00E715CB" w:rsidRPr="00D6259F">
        <w:rPr>
          <w:color w:val="000000" w:themeColor="text1"/>
        </w:rPr>
        <w:t xml:space="preserve">financial </w:t>
      </w:r>
      <w:r w:rsidR="00F908C4" w:rsidRPr="00D6259F">
        <w:rPr>
          <w:color w:val="000000" w:themeColor="text1"/>
        </w:rPr>
        <w:t>reporting structure.</w:t>
      </w:r>
      <w:r w:rsidRPr="00D6259F">
        <w:rPr>
          <w:color w:val="000000" w:themeColor="text1"/>
        </w:rPr>
        <w:t xml:space="preserve">  </w:t>
      </w:r>
    </w:p>
    <w:p w14:paraId="67846C9B" w14:textId="2A1A4CB3" w:rsidR="008F1BF8" w:rsidRPr="00D6259F" w:rsidRDefault="008F1BF8" w:rsidP="008F1BF8">
      <w:pPr>
        <w:rPr>
          <w:color w:val="000000" w:themeColor="text1"/>
        </w:rPr>
      </w:pPr>
      <w:r w:rsidRPr="00D6259F">
        <w:rPr>
          <w:color w:val="000000" w:themeColor="text1"/>
        </w:rPr>
        <w:t xml:space="preserve">All entities included within the Group are domiciled and operate in the Wellington region, New Zealand. </w:t>
      </w:r>
    </w:p>
    <w:p w14:paraId="0CBCD08C" w14:textId="5184B0AE" w:rsidR="00C740FB" w:rsidRPr="00D6259F" w:rsidRDefault="00D422B1" w:rsidP="00704FA9">
      <w:pPr>
        <w:rPr>
          <w:color w:val="000000" w:themeColor="text1"/>
        </w:rPr>
      </w:pPr>
      <w:r w:rsidRPr="00D6259F">
        <w:rPr>
          <w:color w:val="000000" w:themeColor="text1"/>
        </w:rPr>
        <w:t xml:space="preserve">The percentages </w:t>
      </w:r>
      <w:r w:rsidR="00E715CB" w:rsidRPr="00D6259F">
        <w:rPr>
          <w:color w:val="000000" w:themeColor="text1"/>
        </w:rPr>
        <w:t>quoted</w:t>
      </w:r>
      <w:r w:rsidRPr="00D6259F">
        <w:rPr>
          <w:color w:val="000000" w:themeColor="text1"/>
        </w:rPr>
        <w:t xml:space="preserve"> represent the Council’s interest and/or ownership (for accounting purposes) in each of the entities in the </w:t>
      </w:r>
      <w:r w:rsidR="00680F3C" w:rsidRPr="00D6259F">
        <w:rPr>
          <w:color w:val="000000" w:themeColor="text1"/>
        </w:rPr>
        <w:t>Group</w:t>
      </w:r>
      <w:r w:rsidRPr="00D6259F">
        <w:rPr>
          <w:color w:val="000000" w:themeColor="text1"/>
        </w:rPr>
        <w:t xml:space="preserve">. Refer to </w:t>
      </w:r>
      <w:r w:rsidRPr="00D6259F">
        <w:rPr>
          <w:i/>
          <w:iCs/>
          <w:color w:val="000000" w:themeColor="text1"/>
        </w:rPr>
        <w:t xml:space="preserve">Notes </w:t>
      </w:r>
      <w:r w:rsidR="00822AA7" w:rsidRPr="00D6259F">
        <w:rPr>
          <w:i/>
          <w:iCs/>
          <w:color w:val="000000" w:themeColor="text1"/>
        </w:rPr>
        <w:t>20</w:t>
      </w:r>
      <w:r w:rsidR="008B44C2" w:rsidRPr="00D6259F">
        <w:rPr>
          <w:i/>
          <w:iCs/>
          <w:color w:val="000000" w:themeColor="text1"/>
        </w:rPr>
        <w:t xml:space="preserve">, </w:t>
      </w:r>
      <w:r w:rsidRPr="00D6259F">
        <w:rPr>
          <w:i/>
          <w:iCs/>
          <w:color w:val="000000" w:themeColor="text1"/>
        </w:rPr>
        <w:t>2</w:t>
      </w:r>
      <w:r w:rsidR="00822AA7" w:rsidRPr="00D6259F">
        <w:rPr>
          <w:i/>
          <w:iCs/>
          <w:color w:val="000000" w:themeColor="text1"/>
        </w:rPr>
        <w:t>1</w:t>
      </w:r>
      <w:r w:rsidRPr="00D6259F">
        <w:rPr>
          <w:i/>
          <w:iCs/>
          <w:color w:val="000000" w:themeColor="text1"/>
        </w:rPr>
        <w:t xml:space="preserve"> </w:t>
      </w:r>
      <w:r w:rsidR="008B44C2" w:rsidRPr="00D6259F">
        <w:rPr>
          <w:i/>
          <w:iCs/>
          <w:color w:val="000000" w:themeColor="text1"/>
        </w:rPr>
        <w:t>and 3</w:t>
      </w:r>
      <w:r w:rsidR="00822AA7" w:rsidRPr="00D6259F">
        <w:rPr>
          <w:i/>
          <w:iCs/>
          <w:color w:val="000000" w:themeColor="text1"/>
        </w:rPr>
        <w:t>6</w:t>
      </w:r>
      <w:r w:rsidR="008B44C2" w:rsidRPr="00D6259F">
        <w:rPr>
          <w:color w:val="000000" w:themeColor="text1"/>
        </w:rPr>
        <w:t xml:space="preserve"> </w:t>
      </w:r>
      <w:r w:rsidRPr="00D6259F">
        <w:rPr>
          <w:color w:val="000000" w:themeColor="text1"/>
        </w:rPr>
        <w:t>(</w:t>
      </w:r>
      <w:r w:rsidR="009B1939" w:rsidRPr="00D6259F">
        <w:rPr>
          <w:color w:val="000000" w:themeColor="text1"/>
        </w:rPr>
        <w:t>p</w:t>
      </w:r>
      <w:r w:rsidR="00992BB3" w:rsidRPr="00D6259F">
        <w:rPr>
          <w:color w:val="000000" w:themeColor="text1"/>
        </w:rPr>
        <w:t>age</w:t>
      </w:r>
      <w:r w:rsidR="000F20D8" w:rsidRPr="00D6259F">
        <w:rPr>
          <w:color w:val="000000" w:themeColor="text1"/>
        </w:rPr>
        <w:t xml:space="preserve"> 61</w:t>
      </w:r>
      <w:r w:rsidR="00EF0402" w:rsidRPr="00D6259F">
        <w:rPr>
          <w:color w:val="000000" w:themeColor="text1"/>
        </w:rPr>
        <w:t xml:space="preserve">, </w:t>
      </w:r>
      <w:r w:rsidR="000F20D8" w:rsidRPr="00D6259F">
        <w:rPr>
          <w:color w:val="000000" w:themeColor="text1"/>
        </w:rPr>
        <w:t>62</w:t>
      </w:r>
      <w:r w:rsidR="00EF0402" w:rsidRPr="00D6259F">
        <w:rPr>
          <w:color w:val="000000" w:themeColor="text1"/>
        </w:rPr>
        <w:t xml:space="preserve"> </w:t>
      </w:r>
      <w:r w:rsidR="009B1939" w:rsidRPr="00D6259F">
        <w:rPr>
          <w:color w:val="000000" w:themeColor="text1"/>
        </w:rPr>
        <w:t xml:space="preserve">and </w:t>
      </w:r>
      <w:r w:rsidR="000F20D8" w:rsidRPr="00D6259F">
        <w:rPr>
          <w:color w:val="000000" w:themeColor="text1"/>
        </w:rPr>
        <w:t>110</w:t>
      </w:r>
      <w:r w:rsidRPr="00D6259F">
        <w:rPr>
          <w:color w:val="000000" w:themeColor="text1"/>
        </w:rPr>
        <w:t>) for more information</w:t>
      </w:r>
      <w:r w:rsidR="00F1606E" w:rsidRPr="00D6259F">
        <w:rPr>
          <w:color w:val="000000" w:themeColor="text1"/>
        </w:rPr>
        <w:t>.</w:t>
      </w:r>
      <w:r w:rsidR="00E67F3F" w:rsidRPr="00D6259F">
        <w:rPr>
          <w:color w:val="000000" w:themeColor="text1"/>
        </w:rPr>
        <w:t xml:space="preserve"> </w:t>
      </w:r>
    </w:p>
    <w:p w14:paraId="6E4268A2" w14:textId="120732EE" w:rsidR="00CE0FD6" w:rsidRPr="00D6259F" w:rsidRDefault="00CE0FD6" w:rsidP="00CD2F9E">
      <w:pPr>
        <w:pStyle w:val="Heading2"/>
      </w:pPr>
      <w:bookmarkStart w:id="20" w:name="_Toc179890280"/>
      <w:r w:rsidRPr="00D6259F">
        <w:lastRenderedPageBreak/>
        <w:t xml:space="preserve">Basis of </w:t>
      </w:r>
      <w:r w:rsidR="00880C5F" w:rsidRPr="00D6259F">
        <w:t>c</w:t>
      </w:r>
      <w:r w:rsidRPr="00D6259F">
        <w:t>onsolidation</w:t>
      </w:r>
      <w:bookmarkEnd w:id="20"/>
    </w:p>
    <w:p w14:paraId="77C0A00F" w14:textId="73DF3CFD" w:rsidR="002B13CF" w:rsidRPr="00D6259F" w:rsidRDefault="002B13CF" w:rsidP="002B13CF">
      <w:pPr>
        <w:rPr>
          <w:color w:val="000000" w:themeColor="text1"/>
        </w:rPr>
      </w:pPr>
      <w:r w:rsidRPr="00D6259F">
        <w:rPr>
          <w:color w:val="000000" w:themeColor="text1"/>
        </w:rPr>
        <w:t xml:space="preserve">The consolidated financial statements comprise the financial statements of the Council and its </w:t>
      </w:r>
      <w:r w:rsidR="00785CB8" w:rsidRPr="00D6259F">
        <w:rPr>
          <w:color w:val="000000" w:themeColor="text1"/>
        </w:rPr>
        <w:t>Group.</w:t>
      </w:r>
    </w:p>
    <w:p w14:paraId="57CEA5DB" w14:textId="77777777" w:rsidR="00D422B1" w:rsidRPr="00D6259F" w:rsidRDefault="00D422B1" w:rsidP="001C6956">
      <w:pPr>
        <w:pStyle w:val="Heading3"/>
      </w:pPr>
      <w:bookmarkStart w:id="21" w:name="_Toc55482632"/>
      <w:bookmarkStart w:id="22" w:name="_Toc121217068"/>
      <w:r w:rsidRPr="00D6259F">
        <w:t>Joint arrangements</w:t>
      </w:r>
      <w:bookmarkEnd w:id="21"/>
      <w:bookmarkEnd w:id="22"/>
    </w:p>
    <w:p w14:paraId="2DBDB619" w14:textId="33B04DA0" w:rsidR="00D422B1" w:rsidRPr="00D6259F" w:rsidRDefault="00D422B1" w:rsidP="00704FA9">
      <w:pPr>
        <w:rPr>
          <w:color w:val="000000" w:themeColor="text1"/>
        </w:rPr>
      </w:pPr>
      <w:r w:rsidRPr="00D6259F">
        <w:rPr>
          <w:color w:val="000000" w:themeColor="text1"/>
        </w:rPr>
        <w:t xml:space="preserve">Joint arrangements are arrangements where two or more parties have joint control. The accounting treatment can vary according to the structure of the arrangement. There are two types of joint arrangements, either a joint </w:t>
      </w:r>
      <w:r w:rsidR="00CA037F" w:rsidRPr="00D6259F">
        <w:rPr>
          <w:color w:val="000000" w:themeColor="text1"/>
        </w:rPr>
        <w:t>venture</w:t>
      </w:r>
      <w:r w:rsidRPr="00D6259F">
        <w:rPr>
          <w:color w:val="000000" w:themeColor="text1"/>
        </w:rPr>
        <w:t xml:space="preserve"> or a joint </w:t>
      </w:r>
      <w:r w:rsidR="00CA037F" w:rsidRPr="00D6259F">
        <w:rPr>
          <w:color w:val="000000" w:themeColor="text1"/>
        </w:rPr>
        <w:t>operation</w:t>
      </w:r>
      <w:r w:rsidRPr="00D6259F">
        <w:rPr>
          <w:color w:val="000000" w:themeColor="text1"/>
        </w:rPr>
        <w:t>.</w:t>
      </w:r>
    </w:p>
    <w:p w14:paraId="47D6396F" w14:textId="710A1F64" w:rsidR="007527EF" w:rsidRPr="00D6259F" w:rsidRDefault="007527EF" w:rsidP="007527EF">
      <w:pPr>
        <w:pStyle w:val="Heading4"/>
      </w:pPr>
      <w:r w:rsidRPr="00D6259F">
        <w:t>Joint venture</w:t>
      </w:r>
    </w:p>
    <w:p w14:paraId="61FFBA5E" w14:textId="0680466C" w:rsidR="00D422B1" w:rsidRPr="00D6259F" w:rsidRDefault="00D422B1" w:rsidP="00704FA9">
      <w:pPr>
        <w:rPr>
          <w:color w:val="000000" w:themeColor="text1"/>
        </w:rPr>
      </w:pPr>
      <w:r w:rsidRPr="00D6259F">
        <w:rPr>
          <w:color w:val="000000" w:themeColor="text1"/>
        </w:rPr>
        <w:t xml:space="preserve">A joint venture is a joint arrangement whereby the parties that have joint control of the arrangement have rights to the net assets of the arrangement. Joint control is the agreed sharing of control by way of a binding arrangement, which exists only when decisions about the relevant activities require the unanimous consent of the parties sharing control. </w:t>
      </w:r>
    </w:p>
    <w:p w14:paraId="2A9D8775" w14:textId="228D6D5C" w:rsidR="00D422B1" w:rsidRPr="00D6259F" w:rsidRDefault="00D422B1" w:rsidP="00704FA9">
      <w:pPr>
        <w:rPr>
          <w:color w:val="000000" w:themeColor="text1"/>
        </w:rPr>
      </w:pPr>
      <w:r w:rsidRPr="00D6259F">
        <w:rPr>
          <w:color w:val="000000" w:themeColor="text1"/>
        </w:rPr>
        <w:t>In the Council</w:t>
      </w:r>
      <w:r w:rsidR="00B71BB9" w:rsidRPr="00D6259F">
        <w:rPr>
          <w:color w:val="000000" w:themeColor="text1"/>
        </w:rPr>
        <w:t>’s</w:t>
      </w:r>
      <w:r w:rsidRPr="00D6259F">
        <w:rPr>
          <w:color w:val="000000" w:themeColor="text1"/>
        </w:rPr>
        <w:t xml:space="preserve"> financial statements, the investments in joint ventures are carried at cost. In the </w:t>
      </w:r>
      <w:r w:rsidR="00680F3C" w:rsidRPr="00D6259F">
        <w:rPr>
          <w:color w:val="000000" w:themeColor="text1"/>
        </w:rPr>
        <w:t>Group</w:t>
      </w:r>
      <w:r w:rsidRPr="00D6259F">
        <w:rPr>
          <w:color w:val="000000" w:themeColor="text1"/>
        </w:rPr>
        <w:t xml:space="preserve"> financial statements, the Council’s share of the assets, liabilities,</w:t>
      </w:r>
      <w:r w:rsidR="00680F3C" w:rsidRPr="00D6259F">
        <w:rPr>
          <w:color w:val="000000" w:themeColor="text1"/>
        </w:rPr>
        <w:t xml:space="preserve"> </w:t>
      </w:r>
      <w:r w:rsidRPr="00D6259F">
        <w:rPr>
          <w:color w:val="000000" w:themeColor="text1"/>
        </w:rPr>
        <w:t>revenue</w:t>
      </w:r>
      <w:r w:rsidR="00E56200" w:rsidRPr="00D6259F">
        <w:rPr>
          <w:color w:val="000000" w:themeColor="text1"/>
        </w:rPr>
        <w:t>s</w:t>
      </w:r>
      <w:r w:rsidR="00680F3C" w:rsidRPr="00D6259F">
        <w:rPr>
          <w:color w:val="000000" w:themeColor="text1"/>
        </w:rPr>
        <w:t xml:space="preserve">, </w:t>
      </w:r>
      <w:proofErr w:type="gramStart"/>
      <w:r w:rsidR="00680F3C" w:rsidRPr="00D6259F">
        <w:rPr>
          <w:color w:val="000000" w:themeColor="text1"/>
        </w:rPr>
        <w:t>expenses</w:t>
      </w:r>
      <w:proofErr w:type="gramEnd"/>
      <w:r w:rsidR="00680F3C" w:rsidRPr="00D6259F">
        <w:rPr>
          <w:color w:val="000000" w:themeColor="text1"/>
        </w:rPr>
        <w:t xml:space="preserve"> </w:t>
      </w:r>
      <w:r w:rsidRPr="00D6259F">
        <w:rPr>
          <w:color w:val="000000" w:themeColor="text1"/>
        </w:rPr>
        <w:t xml:space="preserve">and </w:t>
      </w:r>
      <w:r w:rsidR="00680F3C" w:rsidRPr="00D6259F">
        <w:rPr>
          <w:color w:val="000000" w:themeColor="text1"/>
        </w:rPr>
        <w:t>cash</w:t>
      </w:r>
      <w:r w:rsidR="0098222D" w:rsidRPr="00D6259F">
        <w:rPr>
          <w:color w:val="000000" w:themeColor="text1"/>
        </w:rPr>
        <w:t xml:space="preserve"> </w:t>
      </w:r>
      <w:r w:rsidR="00680F3C" w:rsidRPr="00D6259F">
        <w:rPr>
          <w:color w:val="000000" w:themeColor="text1"/>
        </w:rPr>
        <w:t>flow</w:t>
      </w:r>
      <w:r w:rsidR="00E56200" w:rsidRPr="00D6259F">
        <w:rPr>
          <w:color w:val="000000" w:themeColor="text1"/>
        </w:rPr>
        <w:t>s</w:t>
      </w:r>
      <w:r w:rsidRPr="00D6259F">
        <w:rPr>
          <w:color w:val="000000" w:themeColor="text1"/>
        </w:rPr>
        <w:t xml:space="preserve"> </w:t>
      </w:r>
      <w:r w:rsidR="001E0E28" w:rsidRPr="00D6259F">
        <w:rPr>
          <w:color w:val="000000" w:themeColor="text1"/>
        </w:rPr>
        <w:t>of a</w:t>
      </w:r>
      <w:r w:rsidRPr="00D6259F">
        <w:rPr>
          <w:color w:val="000000" w:themeColor="text1"/>
        </w:rPr>
        <w:t xml:space="preserve"> joint venture is included on an equity accounting basis as a single line</w:t>
      </w:r>
      <w:r w:rsidR="004727BF" w:rsidRPr="00D6259F">
        <w:rPr>
          <w:color w:val="000000" w:themeColor="text1"/>
        </w:rPr>
        <w:t xml:space="preserve"> in the relevant </w:t>
      </w:r>
      <w:r w:rsidR="00E56200" w:rsidRPr="00D6259F">
        <w:rPr>
          <w:color w:val="000000" w:themeColor="text1"/>
        </w:rPr>
        <w:t>primary</w:t>
      </w:r>
      <w:r w:rsidR="004727BF" w:rsidRPr="00D6259F">
        <w:rPr>
          <w:color w:val="000000" w:themeColor="text1"/>
        </w:rPr>
        <w:t xml:space="preserve"> statement</w:t>
      </w:r>
      <w:r w:rsidRPr="00D6259F">
        <w:rPr>
          <w:color w:val="000000" w:themeColor="text1"/>
        </w:rPr>
        <w:t xml:space="preserve">. </w:t>
      </w:r>
    </w:p>
    <w:p w14:paraId="4DD7642D" w14:textId="703682D6" w:rsidR="007527EF" w:rsidRPr="00D6259F" w:rsidRDefault="007527EF" w:rsidP="007527EF">
      <w:pPr>
        <w:pStyle w:val="Heading4"/>
      </w:pPr>
      <w:r w:rsidRPr="00D6259F">
        <w:t>Joint operation</w:t>
      </w:r>
    </w:p>
    <w:p w14:paraId="734E9789" w14:textId="26A9179F" w:rsidR="00D422B1" w:rsidRPr="00D6259F" w:rsidRDefault="00D422B1" w:rsidP="00704FA9">
      <w:pPr>
        <w:rPr>
          <w:color w:val="000000" w:themeColor="text1"/>
        </w:rPr>
      </w:pPr>
      <w:r w:rsidRPr="00D6259F">
        <w:rPr>
          <w:color w:val="000000" w:themeColor="text1"/>
        </w:rPr>
        <w:t xml:space="preserve">A joint operation is a joint arrangement whereby the parties that have joint control of the arrangement have rights to the assets, and obligations for the liabilities, relating to the arrangement. For a joint operation the Council </w:t>
      </w:r>
      <w:r w:rsidR="00547DD4" w:rsidRPr="00D6259F">
        <w:rPr>
          <w:color w:val="000000" w:themeColor="text1"/>
        </w:rPr>
        <w:t xml:space="preserve">reflects its </w:t>
      </w:r>
      <w:r w:rsidR="002B13CF" w:rsidRPr="00D6259F">
        <w:rPr>
          <w:color w:val="000000" w:themeColor="text1"/>
        </w:rPr>
        <w:t>share</w:t>
      </w:r>
      <w:r w:rsidR="00547DD4" w:rsidRPr="00D6259F">
        <w:rPr>
          <w:color w:val="000000" w:themeColor="text1"/>
        </w:rPr>
        <w:t xml:space="preserve"> of </w:t>
      </w:r>
      <w:r w:rsidR="002B13CF" w:rsidRPr="00D6259F">
        <w:rPr>
          <w:color w:val="000000" w:themeColor="text1"/>
        </w:rPr>
        <w:t>any</w:t>
      </w:r>
      <w:r w:rsidRPr="00D6259F">
        <w:rPr>
          <w:color w:val="000000" w:themeColor="text1"/>
        </w:rPr>
        <w:t xml:space="preserve"> </w:t>
      </w:r>
      <w:r w:rsidR="002B13CF" w:rsidRPr="00D6259F">
        <w:rPr>
          <w:color w:val="000000" w:themeColor="text1"/>
        </w:rPr>
        <w:t>surplus</w:t>
      </w:r>
      <w:r w:rsidR="00547DD4" w:rsidRPr="00D6259F">
        <w:rPr>
          <w:color w:val="000000" w:themeColor="text1"/>
        </w:rPr>
        <w:t xml:space="preserve"> or deficit. </w:t>
      </w:r>
      <w:r w:rsidRPr="00D6259F">
        <w:rPr>
          <w:color w:val="000000" w:themeColor="text1"/>
        </w:rPr>
        <w:t>The Council’s proportionate interest in the assets, liabilities, revenue</w:t>
      </w:r>
      <w:r w:rsidR="00E56200" w:rsidRPr="00D6259F">
        <w:rPr>
          <w:color w:val="000000" w:themeColor="text1"/>
        </w:rPr>
        <w:t>s</w:t>
      </w:r>
      <w:r w:rsidR="00680F3C" w:rsidRPr="00D6259F">
        <w:rPr>
          <w:color w:val="000000" w:themeColor="text1"/>
        </w:rPr>
        <w:t xml:space="preserve">, </w:t>
      </w:r>
      <w:proofErr w:type="gramStart"/>
      <w:r w:rsidR="00680F3C" w:rsidRPr="00D6259F">
        <w:rPr>
          <w:color w:val="000000" w:themeColor="text1"/>
        </w:rPr>
        <w:t>expenses</w:t>
      </w:r>
      <w:proofErr w:type="gramEnd"/>
      <w:r w:rsidR="00680F3C" w:rsidRPr="00D6259F">
        <w:rPr>
          <w:color w:val="000000" w:themeColor="text1"/>
        </w:rPr>
        <w:t xml:space="preserve"> </w:t>
      </w:r>
      <w:r w:rsidRPr="00D6259F">
        <w:rPr>
          <w:color w:val="000000" w:themeColor="text1"/>
        </w:rPr>
        <w:t xml:space="preserve">and </w:t>
      </w:r>
      <w:r w:rsidR="00680F3C" w:rsidRPr="00D6259F">
        <w:rPr>
          <w:color w:val="000000" w:themeColor="text1"/>
        </w:rPr>
        <w:t>cash</w:t>
      </w:r>
      <w:r w:rsidR="0098222D" w:rsidRPr="00D6259F">
        <w:rPr>
          <w:color w:val="000000" w:themeColor="text1"/>
        </w:rPr>
        <w:t xml:space="preserve"> </w:t>
      </w:r>
      <w:r w:rsidR="00680F3C" w:rsidRPr="00D6259F">
        <w:rPr>
          <w:color w:val="000000" w:themeColor="text1"/>
        </w:rPr>
        <w:t>flows</w:t>
      </w:r>
      <w:r w:rsidRPr="00D6259F">
        <w:rPr>
          <w:color w:val="000000" w:themeColor="text1"/>
        </w:rPr>
        <w:t xml:space="preserve"> of joint operations is included in the financial statements of the Council and </w:t>
      </w:r>
      <w:r w:rsidR="00680F3C" w:rsidRPr="00D6259F">
        <w:rPr>
          <w:color w:val="000000" w:themeColor="text1"/>
        </w:rPr>
        <w:t>Group</w:t>
      </w:r>
      <w:r w:rsidRPr="00D6259F">
        <w:rPr>
          <w:color w:val="000000" w:themeColor="text1"/>
        </w:rPr>
        <w:t xml:space="preserve"> on a line-by-line basis.</w:t>
      </w:r>
    </w:p>
    <w:p w14:paraId="29184C7F" w14:textId="77777777" w:rsidR="00D422B1" w:rsidRPr="00D6259F" w:rsidRDefault="00D422B1" w:rsidP="001C6956">
      <w:pPr>
        <w:pStyle w:val="Heading3"/>
      </w:pPr>
      <w:bookmarkStart w:id="23" w:name="_Toc55482633"/>
      <w:bookmarkStart w:id="24" w:name="_Toc121217069"/>
      <w:r w:rsidRPr="00D6259F">
        <w:t>Controlled entities</w:t>
      </w:r>
      <w:bookmarkEnd w:id="23"/>
      <w:bookmarkEnd w:id="24"/>
    </w:p>
    <w:p w14:paraId="243B6301" w14:textId="066B87D3" w:rsidR="00D422B1" w:rsidRPr="00D6259F" w:rsidRDefault="00D422B1" w:rsidP="00704FA9">
      <w:pPr>
        <w:rPr>
          <w:color w:val="000000" w:themeColor="text1"/>
        </w:rPr>
      </w:pPr>
      <w:r w:rsidRPr="00D6259F">
        <w:rPr>
          <w:color w:val="000000" w:themeColor="text1"/>
        </w:rPr>
        <w:t xml:space="preserve">Controlled entities are entities that are controlled by the Council. Control </w:t>
      </w:r>
      <w:r w:rsidR="0098222D" w:rsidRPr="00D6259F">
        <w:rPr>
          <w:color w:val="000000" w:themeColor="text1"/>
        </w:rPr>
        <w:t>over an entity is determined when</w:t>
      </w:r>
      <w:r w:rsidRPr="00D6259F">
        <w:rPr>
          <w:color w:val="000000" w:themeColor="text1"/>
        </w:rPr>
        <w:t xml:space="preserve"> the Council </w:t>
      </w:r>
      <w:r w:rsidR="0098222D" w:rsidRPr="00D6259F">
        <w:rPr>
          <w:color w:val="000000" w:themeColor="text1"/>
        </w:rPr>
        <w:t>has exposure</w:t>
      </w:r>
      <w:r w:rsidRPr="00D6259F">
        <w:rPr>
          <w:color w:val="000000" w:themeColor="text1"/>
        </w:rPr>
        <w:t xml:space="preserve">, or rights, to variable benefits (either financial or non-financial) </w:t>
      </w:r>
      <w:r w:rsidR="0098222D" w:rsidRPr="00D6259F">
        <w:rPr>
          <w:color w:val="000000" w:themeColor="text1"/>
        </w:rPr>
        <w:t xml:space="preserve">from its involvement with the entity and </w:t>
      </w:r>
      <w:proofErr w:type="gramStart"/>
      <w:r w:rsidR="0098222D" w:rsidRPr="00D6259F">
        <w:rPr>
          <w:color w:val="000000" w:themeColor="text1"/>
        </w:rPr>
        <w:t>has the ability to</w:t>
      </w:r>
      <w:proofErr w:type="gramEnd"/>
      <w:r w:rsidR="0098222D" w:rsidRPr="00D6259F">
        <w:rPr>
          <w:color w:val="000000" w:themeColor="text1"/>
        </w:rPr>
        <w:t xml:space="preserve"> </w:t>
      </w:r>
      <w:r w:rsidRPr="00D6259F">
        <w:rPr>
          <w:color w:val="000000" w:themeColor="text1"/>
        </w:rPr>
        <w:t xml:space="preserve">affect the nature </w:t>
      </w:r>
      <w:r w:rsidR="0098222D" w:rsidRPr="00D6259F">
        <w:rPr>
          <w:color w:val="000000" w:themeColor="text1"/>
        </w:rPr>
        <w:t>or</w:t>
      </w:r>
      <w:r w:rsidRPr="00D6259F">
        <w:rPr>
          <w:color w:val="000000" w:themeColor="text1"/>
        </w:rPr>
        <w:t xml:space="preserve"> amount of those benefits </w:t>
      </w:r>
      <w:r w:rsidR="0098222D" w:rsidRPr="00D6259F">
        <w:rPr>
          <w:color w:val="000000" w:themeColor="text1"/>
        </w:rPr>
        <w:t>through</w:t>
      </w:r>
      <w:r w:rsidRPr="00D6259F">
        <w:rPr>
          <w:color w:val="000000" w:themeColor="text1"/>
        </w:rPr>
        <w:t xml:space="preserve"> its power over the </w:t>
      </w:r>
      <w:r w:rsidR="0098222D" w:rsidRPr="00D6259F">
        <w:rPr>
          <w:color w:val="000000" w:themeColor="text1"/>
        </w:rPr>
        <w:t xml:space="preserve">other </w:t>
      </w:r>
      <w:r w:rsidRPr="00D6259F">
        <w:rPr>
          <w:color w:val="000000" w:themeColor="text1"/>
        </w:rPr>
        <w:t xml:space="preserve">entity. </w:t>
      </w:r>
      <w:r w:rsidR="0098222D" w:rsidRPr="00D6259F">
        <w:rPr>
          <w:color w:val="000000" w:themeColor="text1"/>
        </w:rPr>
        <w:t xml:space="preserve">The Council considers all relevant facts and circumstances in assessing whether it has power over another entity. </w:t>
      </w:r>
      <w:r w:rsidRPr="00D6259F">
        <w:rPr>
          <w:color w:val="000000" w:themeColor="text1"/>
        </w:rPr>
        <w:t xml:space="preserve">Power can exist over an entity if, by virtue of its purpose and design, the relevant </w:t>
      </w:r>
      <w:proofErr w:type="gramStart"/>
      <w:r w:rsidRPr="00D6259F">
        <w:rPr>
          <w:color w:val="000000" w:themeColor="text1"/>
        </w:rPr>
        <w:t>activities</w:t>
      </w:r>
      <w:proofErr w:type="gramEnd"/>
      <w:r w:rsidRPr="00D6259F">
        <w:rPr>
          <w:color w:val="000000" w:themeColor="text1"/>
        </w:rPr>
        <w:t xml:space="preserve"> and the way in which the relevant activities of the entity can be directed has been predetermined by the Council.</w:t>
      </w:r>
      <w:r w:rsidR="0098222D" w:rsidRPr="00D6259F">
        <w:rPr>
          <w:color w:val="000000" w:themeColor="text1"/>
        </w:rPr>
        <w:t xml:space="preserve"> </w:t>
      </w:r>
    </w:p>
    <w:p w14:paraId="4D7BC912" w14:textId="6B094872" w:rsidR="00B9066C" w:rsidRPr="00D6259F" w:rsidRDefault="00B9066C" w:rsidP="00121954">
      <w:pPr>
        <w:rPr>
          <w:color w:val="000000" w:themeColor="text1"/>
        </w:rPr>
      </w:pPr>
      <w:r w:rsidRPr="00D6259F">
        <w:rPr>
          <w:color w:val="000000" w:themeColor="text1"/>
        </w:rPr>
        <w:t>In the Council financial statements, the investments in controlled entities are carried at cost. In the Group financial statements, controlled entities are accounted for using the purchase method where assets, liabilities, revenue</w:t>
      </w:r>
      <w:r w:rsidR="00BC302F" w:rsidRPr="00D6259F">
        <w:rPr>
          <w:color w:val="000000" w:themeColor="text1"/>
        </w:rPr>
        <w:t>,</w:t>
      </w:r>
      <w:r w:rsidRPr="00D6259F">
        <w:rPr>
          <w:color w:val="000000" w:themeColor="text1"/>
        </w:rPr>
        <w:t xml:space="preserve"> </w:t>
      </w:r>
      <w:proofErr w:type="gramStart"/>
      <w:r w:rsidRPr="00D6259F">
        <w:rPr>
          <w:color w:val="000000" w:themeColor="text1"/>
        </w:rPr>
        <w:t>expenditure</w:t>
      </w:r>
      <w:proofErr w:type="gramEnd"/>
      <w:r w:rsidR="00BC302F" w:rsidRPr="00D6259F">
        <w:rPr>
          <w:color w:val="000000" w:themeColor="text1"/>
        </w:rPr>
        <w:t xml:space="preserve"> and cash flows</w:t>
      </w:r>
      <w:r w:rsidRPr="00D6259F">
        <w:rPr>
          <w:color w:val="000000" w:themeColor="text1"/>
        </w:rPr>
        <w:t xml:space="preserve"> are added on a line-by-line basis. Where a non-controlling interest is held by another party in a Council-controlled entity, the controlled entity is consolidated as if it was fully controlled and the share of any surplus or deficit attributable to the non-controlling interest is disclosed within the Statement of Comprehensive Revenue and Expense. </w:t>
      </w:r>
    </w:p>
    <w:p w14:paraId="3FB42700" w14:textId="33FDF44E" w:rsidR="0098222D" w:rsidRPr="00D6259F" w:rsidRDefault="00121954" w:rsidP="00121954">
      <w:pPr>
        <w:rPr>
          <w:color w:val="000000" w:themeColor="text1"/>
        </w:rPr>
      </w:pPr>
      <w:r w:rsidRPr="00D6259F">
        <w:rPr>
          <w:color w:val="000000" w:themeColor="text1"/>
        </w:rPr>
        <w:t>All significant transactions between Group entities, other than rates, are eliminated on consolidation. Rates are charged on an arm’s-length basis and are not eliminated to ensure that reported costs and revenues are consistent with the Council’s Long-term Plan (LTP) or Annual Plan</w:t>
      </w:r>
      <w:r w:rsidR="00BC302F" w:rsidRPr="00D6259F">
        <w:rPr>
          <w:color w:val="000000" w:themeColor="text1"/>
        </w:rPr>
        <w:t xml:space="preserve"> (AP)</w:t>
      </w:r>
      <w:r w:rsidRPr="00D6259F">
        <w:rPr>
          <w:color w:val="000000" w:themeColor="text1"/>
        </w:rPr>
        <w:t xml:space="preserve">. </w:t>
      </w:r>
    </w:p>
    <w:p w14:paraId="6F7F387C" w14:textId="77777777" w:rsidR="00D422B1" w:rsidRPr="00D6259F" w:rsidRDefault="00D422B1" w:rsidP="001C6956">
      <w:pPr>
        <w:pStyle w:val="Heading3"/>
      </w:pPr>
      <w:bookmarkStart w:id="25" w:name="_Toc55482634"/>
      <w:bookmarkStart w:id="26" w:name="_Toc121217070"/>
      <w:r w:rsidRPr="00D6259F">
        <w:lastRenderedPageBreak/>
        <w:t>Associates</w:t>
      </w:r>
      <w:bookmarkEnd w:id="25"/>
      <w:bookmarkEnd w:id="26"/>
    </w:p>
    <w:p w14:paraId="5A8AE974" w14:textId="30921FF1" w:rsidR="00991FEA" w:rsidRPr="00D6259F" w:rsidRDefault="00B9066C" w:rsidP="00991FEA">
      <w:pPr>
        <w:rPr>
          <w:color w:val="000000" w:themeColor="text1"/>
        </w:rPr>
      </w:pPr>
      <w:r w:rsidRPr="00D6259F">
        <w:rPr>
          <w:color w:val="000000" w:themeColor="text1"/>
        </w:rPr>
        <w:t>Associates are entities where the Council has significant influence over their operating and financial policies, but they are not controlled entities or joint ventures. In the Council financial statements, the investments in associates are carried at cost. In the Group financial statements, the Council’s share of the asset</w:t>
      </w:r>
      <w:r w:rsidR="00E57A15" w:rsidRPr="00D6259F">
        <w:rPr>
          <w:color w:val="000000" w:themeColor="text1"/>
        </w:rPr>
        <w:t xml:space="preserve">s, </w:t>
      </w:r>
      <w:r w:rsidRPr="00D6259F">
        <w:rPr>
          <w:color w:val="000000" w:themeColor="text1"/>
        </w:rPr>
        <w:t>liabilities, revenue</w:t>
      </w:r>
      <w:r w:rsidR="00E56200" w:rsidRPr="00D6259F">
        <w:rPr>
          <w:color w:val="000000" w:themeColor="text1"/>
        </w:rPr>
        <w:t>s,</w:t>
      </w:r>
      <w:r w:rsidRPr="00D6259F">
        <w:rPr>
          <w:color w:val="000000" w:themeColor="text1"/>
        </w:rPr>
        <w:t xml:space="preserve"> </w:t>
      </w:r>
      <w:proofErr w:type="gramStart"/>
      <w:r w:rsidRPr="00D6259F">
        <w:rPr>
          <w:color w:val="000000" w:themeColor="text1"/>
        </w:rPr>
        <w:t>expenditure</w:t>
      </w:r>
      <w:r w:rsidR="00E56200" w:rsidRPr="00D6259F">
        <w:rPr>
          <w:color w:val="000000" w:themeColor="text1"/>
        </w:rPr>
        <w:t>s</w:t>
      </w:r>
      <w:proofErr w:type="gramEnd"/>
      <w:r w:rsidR="00E56200" w:rsidRPr="00D6259F">
        <w:rPr>
          <w:color w:val="000000" w:themeColor="text1"/>
        </w:rPr>
        <w:t xml:space="preserve"> and cash</w:t>
      </w:r>
      <w:r w:rsidR="00BC302F" w:rsidRPr="00D6259F">
        <w:rPr>
          <w:color w:val="000000" w:themeColor="text1"/>
        </w:rPr>
        <w:t xml:space="preserve"> </w:t>
      </w:r>
      <w:r w:rsidR="00E56200" w:rsidRPr="00D6259F">
        <w:rPr>
          <w:color w:val="000000" w:themeColor="text1"/>
        </w:rPr>
        <w:t>flows</w:t>
      </w:r>
      <w:r w:rsidRPr="00D6259F">
        <w:rPr>
          <w:color w:val="000000" w:themeColor="text1"/>
        </w:rPr>
        <w:t xml:space="preserve"> of associates is included on an equity accounting basis as a single line</w:t>
      </w:r>
      <w:r w:rsidR="00E57A15" w:rsidRPr="00D6259F">
        <w:rPr>
          <w:color w:val="000000" w:themeColor="text1"/>
        </w:rPr>
        <w:t xml:space="preserve"> in the relevant primary statement</w:t>
      </w:r>
      <w:r w:rsidR="00991FEA" w:rsidRPr="00D6259F">
        <w:rPr>
          <w:color w:val="000000" w:themeColor="text1"/>
        </w:rPr>
        <w:t>.</w:t>
      </w:r>
    </w:p>
    <w:p w14:paraId="631122BE" w14:textId="1EF0A756" w:rsidR="00D422B1" w:rsidRPr="00D6259F" w:rsidRDefault="00257A05" w:rsidP="001C6956">
      <w:pPr>
        <w:pStyle w:val="Heading3"/>
      </w:pPr>
      <w:bookmarkStart w:id="27" w:name="_Toc55482635"/>
      <w:bookmarkStart w:id="28" w:name="_Toc121217071"/>
      <w:bookmarkStart w:id="29" w:name="_Hlk51916389"/>
      <w:bookmarkStart w:id="30" w:name="_Hlk124752977"/>
      <w:r w:rsidRPr="00D6259F">
        <w:t xml:space="preserve">Other Council and </w:t>
      </w:r>
      <w:r w:rsidR="00D422B1" w:rsidRPr="00D6259F">
        <w:t>Council</w:t>
      </w:r>
      <w:r w:rsidR="001C6956" w:rsidRPr="00D6259F">
        <w:t>-c</w:t>
      </w:r>
      <w:r w:rsidR="00D422B1" w:rsidRPr="00D6259F">
        <w:t xml:space="preserve">ontrolled </w:t>
      </w:r>
      <w:r w:rsidR="001C6956" w:rsidRPr="00D6259F">
        <w:t>o</w:t>
      </w:r>
      <w:r w:rsidR="00D422B1" w:rsidRPr="00D6259F">
        <w:t>rganisations</w:t>
      </w:r>
      <w:bookmarkEnd w:id="27"/>
      <w:bookmarkEnd w:id="28"/>
    </w:p>
    <w:p w14:paraId="236ECA16" w14:textId="6A622056" w:rsidR="00D422B1" w:rsidRPr="00D6259F" w:rsidRDefault="00D422B1" w:rsidP="00704FA9">
      <w:pPr>
        <w:rPr>
          <w:color w:val="000000" w:themeColor="text1"/>
        </w:rPr>
      </w:pPr>
      <w:r w:rsidRPr="00D6259F">
        <w:rPr>
          <w:color w:val="000000" w:themeColor="text1"/>
        </w:rPr>
        <w:t>The Council has established several Council</w:t>
      </w:r>
      <w:r w:rsidR="008105CC" w:rsidRPr="00D6259F">
        <w:rPr>
          <w:color w:val="000000" w:themeColor="text1"/>
        </w:rPr>
        <w:t>-c</w:t>
      </w:r>
      <w:r w:rsidRPr="00D6259F">
        <w:rPr>
          <w:color w:val="000000" w:themeColor="text1"/>
        </w:rPr>
        <w:t xml:space="preserve">ontrolled </w:t>
      </w:r>
      <w:r w:rsidR="008105CC" w:rsidRPr="00D6259F">
        <w:rPr>
          <w:color w:val="000000" w:themeColor="text1"/>
        </w:rPr>
        <w:t xml:space="preserve">organisations </w:t>
      </w:r>
      <w:r w:rsidRPr="00D6259F">
        <w:rPr>
          <w:color w:val="000000" w:themeColor="text1"/>
        </w:rPr>
        <w:t>(CCO) and Council</w:t>
      </w:r>
      <w:r w:rsidR="008105CC" w:rsidRPr="00D6259F">
        <w:rPr>
          <w:color w:val="000000" w:themeColor="text1"/>
        </w:rPr>
        <w:t>-c</w:t>
      </w:r>
      <w:r w:rsidRPr="00D6259F">
        <w:rPr>
          <w:color w:val="000000" w:themeColor="text1"/>
        </w:rPr>
        <w:t xml:space="preserve">ontrolled </w:t>
      </w:r>
      <w:r w:rsidR="008105CC" w:rsidRPr="00D6259F">
        <w:rPr>
          <w:color w:val="000000" w:themeColor="text1"/>
        </w:rPr>
        <w:t>t</w:t>
      </w:r>
      <w:r w:rsidRPr="00D6259F">
        <w:rPr>
          <w:color w:val="000000" w:themeColor="text1"/>
        </w:rPr>
        <w:t xml:space="preserve">rading </w:t>
      </w:r>
      <w:r w:rsidR="008105CC" w:rsidRPr="00D6259F">
        <w:rPr>
          <w:color w:val="000000" w:themeColor="text1"/>
        </w:rPr>
        <w:t>o</w:t>
      </w:r>
      <w:r w:rsidRPr="00D6259F">
        <w:rPr>
          <w:color w:val="000000" w:themeColor="text1"/>
        </w:rPr>
        <w:t xml:space="preserve">rganisations (CCTO) to help it achieve its goals for Wellington. These organisations were set up to independently manage Council facilities or deliver specific services and developments on behalf of Wellington residents. The performance of each CCO is reported on </w:t>
      </w:r>
      <w:r w:rsidR="0036264B" w:rsidRPr="00D6259F">
        <w:rPr>
          <w:color w:val="000000" w:themeColor="text1"/>
        </w:rPr>
        <w:t xml:space="preserve">in Volume 1 of the </w:t>
      </w:r>
      <w:r w:rsidR="00B3501C" w:rsidRPr="00D6259F">
        <w:rPr>
          <w:color w:val="000000" w:themeColor="text1"/>
        </w:rPr>
        <w:t>Annual Report</w:t>
      </w:r>
      <w:r w:rsidR="0036264B" w:rsidRPr="00D6259F">
        <w:rPr>
          <w:color w:val="000000" w:themeColor="text1"/>
        </w:rPr>
        <w:t xml:space="preserve"> in </w:t>
      </w:r>
      <w:r w:rsidR="005F1472" w:rsidRPr="00D6259F">
        <w:rPr>
          <w:color w:val="000000" w:themeColor="text1"/>
        </w:rPr>
        <w:t xml:space="preserve">Section </w:t>
      </w:r>
      <w:r w:rsidR="003365BF" w:rsidRPr="00D6259F">
        <w:rPr>
          <w:color w:val="000000" w:themeColor="text1"/>
        </w:rPr>
        <w:t xml:space="preserve">4: Our </w:t>
      </w:r>
      <w:r w:rsidR="00A416AE" w:rsidRPr="00D6259F">
        <w:rPr>
          <w:color w:val="000000" w:themeColor="text1"/>
        </w:rPr>
        <w:t>performance</w:t>
      </w:r>
      <w:r w:rsidR="003365BF" w:rsidRPr="00D6259F">
        <w:rPr>
          <w:color w:val="000000" w:themeColor="text1"/>
        </w:rPr>
        <w:t xml:space="preserve"> in </w:t>
      </w:r>
      <w:r w:rsidR="00A416AE" w:rsidRPr="00D6259F">
        <w:rPr>
          <w:color w:val="000000" w:themeColor="text1"/>
        </w:rPr>
        <w:t>detail</w:t>
      </w:r>
      <w:r w:rsidR="005F1472" w:rsidRPr="00D6259F">
        <w:rPr>
          <w:color w:val="000000" w:themeColor="text1"/>
        </w:rPr>
        <w:t xml:space="preserve"> page </w:t>
      </w:r>
      <w:r w:rsidR="00215DF4" w:rsidRPr="00D6259F">
        <w:rPr>
          <w:color w:val="000000" w:themeColor="text1"/>
        </w:rPr>
        <w:t>36</w:t>
      </w:r>
      <w:r w:rsidR="005F1472" w:rsidRPr="00D6259F">
        <w:rPr>
          <w:color w:val="000000" w:themeColor="text1"/>
        </w:rPr>
        <w:t xml:space="preserve"> to </w:t>
      </w:r>
      <w:r w:rsidR="00215DF4" w:rsidRPr="00D6259F">
        <w:rPr>
          <w:color w:val="000000" w:themeColor="text1"/>
        </w:rPr>
        <w:t>134</w:t>
      </w:r>
      <w:r w:rsidRPr="00D6259F">
        <w:rPr>
          <w:color w:val="000000" w:themeColor="text1"/>
        </w:rPr>
        <w:t xml:space="preserve">. </w:t>
      </w:r>
      <w:bookmarkEnd w:id="29"/>
      <w:r w:rsidR="008105CC" w:rsidRPr="00D6259F">
        <w:rPr>
          <w:color w:val="000000" w:themeColor="text1"/>
        </w:rPr>
        <w:t xml:space="preserve">The </w:t>
      </w:r>
      <w:r w:rsidRPr="00D6259F">
        <w:rPr>
          <w:color w:val="000000" w:themeColor="text1"/>
        </w:rPr>
        <w:t xml:space="preserve">Council has made appointments to other organisations, which make them Council </w:t>
      </w:r>
      <w:r w:rsidR="008105CC" w:rsidRPr="00D6259F">
        <w:rPr>
          <w:color w:val="000000" w:themeColor="text1"/>
        </w:rPr>
        <w:t>o</w:t>
      </w:r>
      <w:r w:rsidRPr="00D6259F">
        <w:rPr>
          <w:color w:val="000000" w:themeColor="text1"/>
        </w:rPr>
        <w:t>rganisations (as defined in the LGA 2002), but they are not Council</w:t>
      </w:r>
      <w:r w:rsidR="00B3501C" w:rsidRPr="00D6259F">
        <w:rPr>
          <w:color w:val="000000" w:themeColor="text1"/>
        </w:rPr>
        <w:t>-</w:t>
      </w:r>
      <w:r w:rsidRPr="00D6259F">
        <w:rPr>
          <w:color w:val="000000" w:themeColor="text1"/>
        </w:rPr>
        <w:t>controlled or part of the</w:t>
      </w:r>
      <w:r w:rsidR="006020F7" w:rsidRPr="00D6259F">
        <w:rPr>
          <w:color w:val="000000" w:themeColor="text1"/>
        </w:rPr>
        <w:t xml:space="preserve"> Group</w:t>
      </w:r>
      <w:r w:rsidR="00257A05" w:rsidRPr="00D6259F">
        <w:rPr>
          <w:color w:val="000000" w:themeColor="text1"/>
        </w:rPr>
        <w:t xml:space="preserve"> for financial reporting purposes</w:t>
      </w:r>
      <w:r w:rsidR="0071623A" w:rsidRPr="00D6259F">
        <w:rPr>
          <w:color w:val="000000" w:themeColor="text1"/>
        </w:rPr>
        <w:t xml:space="preserve"> (for example, Wellington Regional Stadium Trust).</w:t>
      </w:r>
    </w:p>
    <w:p w14:paraId="1862ADC5" w14:textId="1B79FA14" w:rsidR="00CE0FD6" w:rsidRPr="00D6259F" w:rsidRDefault="00CE0FD6" w:rsidP="00CD2F9E">
      <w:pPr>
        <w:pStyle w:val="Heading2"/>
      </w:pPr>
      <w:bookmarkStart w:id="31" w:name="_Toc179890281"/>
      <w:bookmarkEnd w:id="30"/>
      <w:r w:rsidRPr="00D6259F">
        <w:t xml:space="preserve">Basis of </w:t>
      </w:r>
      <w:r w:rsidR="00EC7BE8" w:rsidRPr="00D6259F">
        <w:t>p</w:t>
      </w:r>
      <w:r w:rsidRPr="00D6259F">
        <w:t>reparation</w:t>
      </w:r>
      <w:bookmarkEnd w:id="31"/>
    </w:p>
    <w:p w14:paraId="706753E6" w14:textId="77777777" w:rsidR="00D422B1" w:rsidRPr="00D6259F" w:rsidRDefault="00D422B1" w:rsidP="00AD0827">
      <w:pPr>
        <w:pStyle w:val="Heading4"/>
      </w:pPr>
      <w:r w:rsidRPr="00D6259F">
        <w:t>Measurement base</w:t>
      </w:r>
    </w:p>
    <w:p w14:paraId="470AA101" w14:textId="77777777" w:rsidR="00D422B1" w:rsidRPr="00D6259F" w:rsidRDefault="00D422B1" w:rsidP="00704FA9">
      <w:pPr>
        <w:rPr>
          <w:color w:val="000000" w:themeColor="text1"/>
        </w:rPr>
      </w:pPr>
      <w:r w:rsidRPr="00D6259F">
        <w:rPr>
          <w:color w:val="000000" w:themeColor="text1"/>
        </w:rPr>
        <w:t>The measurement basis applied is historical cost, modified by the revaluation of certain assets and liabilities as identified in the accounting policies. The accrual basis of accounting has been used unless otherwise stated.</w:t>
      </w:r>
    </w:p>
    <w:p w14:paraId="7DCF8657" w14:textId="77777777" w:rsidR="00D422B1" w:rsidRPr="00D6259F" w:rsidRDefault="00D422B1" w:rsidP="00704FA9">
      <w:pPr>
        <w:rPr>
          <w:color w:val="000000" w:themeColor="text1"/>
        </w:rPr>
      </w:pPr>
      <w:r w:rsidRPr="00D6259F">
        <w:rPr>
          <w:color w:val="000000" w:themeColor="text1"/>
        </w:rPr>
        <w:t>For the assets and liabilities recorded at fair value, fair value is defined as the amount for which an item could be exchanged, or a liability settled, between knowledgeable and willing parties in an arm’s-length transaction. For investment property, non-current assets classified as held for sale and items of property, plant and equipment which are revalued, the fair value is determined by reference to market value. The market value of a property is the estimated amount for which a property could be exchanged on the date of valuation between a willing buyer and a willing seller in an arm’s-length transaction.</w:t>
      </w:r>
    </w:p>
    <w:p w14:paraId="1D61B5CA" w14:textId="4A888AFF" w:rsidR="00D422B1" w:rsidRPr="00D6259F" w:rsidRDefault="00D422B1" w:rsidP="00704FA9">
      <w:pPr>
        <w:rPr>
          <w:color w:val="000000" w:themeColor="text1"/>
        </w:rPr>
      </w:pPr>
      <w:r w:rsidRPr="00D6259F">
        <w:rPr>
          <w:color w:val="000000" w:themeColor="text1"/>
        </w:rPr>
        <w:t xml:space="preserve">Amounts expected to be recovered or settled more than one year after the end of the reporting period are recognised at their present value. The present value of the estimated future cash flows is calculated using applicable inflation factors and a discount rate. </w:t>
      </w:r>
    </w:p>
    <w:p w14:paraId="6CF2D0F2" w14:textId="24F745DC" w:rsidR="00121954" w:rsidRPr="00D6259F" w:rsidRDefault="00121954" w:rsidP="00121954">
      <w:pPr>
        <w:rPr>
          <w:color w:val="000000" w:themeColor="text1"/>
        </w:rPr>
      </w:pPr>
      <w:r w:rsidRPr="00D6259F">
        <w:rPr>
          <w:color w:val="000000" w:themeColor="text1"/>
        </w:rPr>
        <w:t>The consolidated financial statements are presented in New Zealand dollars (</w:t>
      </w:r>
      <w:r w:rsidR="00B43C2A" w:rsidRPr="00D6259F">
        <w:rPr>
          <w:color w:val="000000" w:themeColor="text1"/>
        </w:rPr>
        <w:t>NZD</w:t>
      </w:r>
      <w:r w:rsidRPr="00D6259F">
        <w:rPr>
          <w:color w:val="000000" w:themeColor="text1"/>
        </w:rPr>
        <w:t>), rounded to the nearest thousand dollars ($000), unless stated otherwise.</w:t>
      </w:r>
    </w:p>
    <w:p w14:paraId="78CD74E9" w14:textId="02B7511F" w:rsidR="0071623A" w:rsidRPr="00D6259F" w:rsidRDefault="0071623A" w:rsidP="00CD2F9E">
      <w:pPr>
        <w:pStyle w:val="Heading2"/>
      </w:pPr>
      <w:bookmarkStart w:id="32" w:name="_Toc179890282"/>
      <w:r w:rsidRPr="00D6259F">
        <w:t xml:space="preserve">Other </w:t>
      </w:r>
      <w:r w:rsidR="00EC7BE8" w:rsidRPr="00D6259F">
        <w:t>significant accounting policies</w:t>
      </w:r>
      <w:bookmarkEnd w:id="32"/>
    </w:p>
    <w:p w14:paraId="6613D74E" w14:textId="4A17BDEC" w:rsidR="00FB3B39" w:rsidRPr="00D6259F" w:rsidRDefault="00121954" w:rsidP="00121954">
      <w:pPr>
        <w:rPr>
          <w:color w:val="000000" w:themeColor="text1"/>
        </w:rPr>
      </w:pPr>
      <w:r w:rsidRPr="00D6259F">
        <w:rPr>
          <w:color w:val="000000" w:themeColor="text1"/>
        </w:rPr>
        <w:t>The accounting policies set out below have been applied consistently to all periods presented in these consolidated financial statements.</w:t>
      </w:r>
      <w:r w:rsidR="00FB3B39" w:rsidRPr="00D6259F">
        <w:rPr>
          <w:color w:val="000000" w:themeColor="text1"/>
        </w:rPr>
        <w:t xml:space="preserve"> </w:t>
      </w:r>
    </w:p>
    <w:p w14:paraId="1B40152C" w14:textId="520CA4B6" w:rsidR="00D422B1" w:rsidRPr="00D6259F" w:rsidRDefault="00FB3B39" w:rsidP="00AD0827">
      <w:pPr>
        <w:pStyle w:val="Heading4"/>
      </w:pPr>
      <w:r w:rsidRPr="00D6259F">
        <w:lastRenderedPageBreak/>
        <w:t>Ex</w:t>
      </w:r>
      <w:r w:rsidR="00D422B1" w:rsidRPr="00D6259F">
        <w:t>change and non-exchange transactions</w:t>
      </w:r>
    </w:p>
    <w:p w14:paraId="0478F0BC" w14:textId="77777777" w:rsidR="00D422B1" w:rsidRPr="00D6259F" w:rsidRDefault="00D422B1" w:rsidP="006B2295">
      <w:pPr>
        <w:pStyle w:val="Heading5"/>
        <w:rPr>
          <w:color w:val="000000" w:themeColor="text1"/>
        </w:rPr>
      </w:pPr>
      <w:r w:rsidRPr="00D6259F">
        <w:rPr>
          <w:color w:val="000000" w:themeColor="text1"/>
        </w:rPr>
        <w:t>Revenue from exchange transactions</w:t>
      </w:r>
    </w:p>
    <w:p w14:paraId="2EB8152B" w14:textId="1FE51189" w:rsidR="00D422B1" w:rsidRPr="00D6259F" w:rsidRDefault="00D422B1" w:rsidP="00704FA9">
      <w:pPr>
        <w:rPr>
          <w:color w:val="000000" w:themeColor="text1"/>
        </w:rPr>
      </w:pPr>
      <w:r w:rsidRPr="00D6259F">
        <w:rPr>
          <w:color w:val="000000" w:themeColor="text1"/>
        </w:rPr>
        <w:t>Revenue from exchange transactions arises where the Council provides goods or services to another entity or individual and directly receives approximately equal value in a willing arm’s</w:t>
      </w:r>
      <w:r w:rsidR="0068582C" w:rsidRPr="00D6259F">
        <w:rPr>
          <w:color w:val="000000" w:themeColor="text1"/>
        </w:rPr>
        <w:t>-</w:t>
      </w:r>
      <w:r w:rsidRPr="00D6259F">
        <w:rPr>
          <w:color w:val="000000" w:themeColor="text1"/>
        </w:rPr>
        <w:t xml:space="preserve">length transaction (primarily in the form of cash in exchange). </w:t>
      </w:r>
    </w:p>
    <w:p w14:paraId="6710E74A" w14:textId="77777777" w:rsidR="00D422B1" w:rsidRPr="00D6259F" w:rsidRDefault="00D422B1" w:rsidP="006B2295">
      <w:pPr>
        <w:pStyle w:val="Heading5"/>
        <w:rPr>
          <w:color w:val="000000" w:themeColor="text1"/>
        </w:rPr>
      </w:pPr>
      <w:r w:rsidRPr="00D6259F">
        <w:rPr>
          <w:color w:val="000000" w:themeColor="text1"/>
        </w:rPr>
        <w:t>Revenue from non-exchange transactions</w:t>
      </w:r>
    </w:p>
    <w:p w14:paraId="0E85E577" w14:textId="06AF578C" w:rsidR="00D422B1" w:rsidRPr="00D6259F" w:rsidRDefault="00D422B1" w:rsidP="00704FA9">
      <w:pPr>
        <w:rPr>
          <w:color w:val="000000" w:themeColor="text1"/>
        </w:rPr>
      </w:pPr>
      <w:r w:rsidRPr="00D6259F">
        <w:rPr>
          <w:color w:val="000000" w:themeColor="text1"/>
        </w:rPr>
        <w:t>Revenue from non-exchange transactions arises from transactions that are not exchange transactions. Revenue from non-exchange transaction</w:t>
      </w:r>
      <w:r w:rsidR="00D62129" w:rsidRPr="00D6259F">
        <w:rPr>
          <w:color w:val="000000" w:themeColor="text1"/>
        </w:rPr>
        <w:t>s</w:t>
      </w:r>
      <w:r w:rsidRPr="00D6259F">
        <w:rPr>
          <w:color w:val="000000" w:themeColor="text1"/>
        </w:rPr>
        <w:t xml:space="preserve"> arises when the Council receives value from another party without giving approximately equal value directly in exchange for the value received. </w:t>
      </w:r>
    </w:p>
    <w:p w14:paraId="41C0C911" w14:textId="77777777" w:rsidR="00D422B1" w:rsidRPr="00D6259F" w:rsidRDefault="00D422B1" w:rsidP="00704FA9">
      <w:pPr>
        <w:rPr>
          <w:color w:val="000000" w:themeColor="text1"/>
        </w:rPr>
      </w:pPr>
      <w:r w:rsidRPr="00D6259F">
        <w:rPr>
          <w:color w:val="000000" w:themeColor="text1"/>
        </w:rPr>
        <w:t xml:space="preserve">An inflow of resources from a non-exchange transaction recognised as an asset, is recognised as revenue, except to the extent that a liability is also recognised in respect of the same inflow. </w:t>
      </w:r>
    </w:p>
    <w:p w14:paraId="1BEE6BEB" w14:textId="77777777" w:rsidR="00D422B1" w:rsidRPr="00D6259F" w:rsidRDefault="00D422B1" w:rsidP="00704FA9">
      <w:pPr>
        <w:rPr>
          <w:color w:val="000000" w:themeColor="text1"/>
        </w:rPr>
      </w:pPr>
      <w:r w:rsidRPr="00D6259F">
        <w:rPr>
          <w:color w:val="000000" w:themeColor="text1"/>
        </w:rPr>
        <w:t xml:space="preserve">As </w:t>
      </w:r>
      <w:r w:rsidR="001C6956" w:rsidRPr="00D6259F">
        <w:rPr>
          <w:color w:val="000000" w:themeColor="text1"/>
        </w:rPr>
        <w:t xml:space="preserve">the </w:t>
      </w:r>
      <w:r w:rsidRPr="00D6259F">
        <w:rPr>
          <w:color w:val="000000" w:themeColor="text1"/>
        </w:rPr>
        <w:t>Council satisfies a present obligation recognised as a liability in respect of an inflow of resources from a non-exchange transaction recognised as an asset, it reduces the carrying amount of the liability recognised and recognises an amount of revenue equal to that reduction</w:t>
      </w:r>
      <w:r w:rsidR="001C6956" w:rsidRPr="00D6259F">
        <w:rPr>
          <w:color w:val="000000" w:themeColor="text1"/>
        </w:rPr>
        <w:t>.</w:t>
      </w:r>
    </w:p>
    <w:p w14:paraId="24AEC893" w14:textId="77777777" w:rsidR="00D422B1" w:rsidRPr="00D6259F" w:rsidRDefault="00D422B1" w:rsidP="006B2295">
      <w:pPr>
        <w:pStyle w:val="Heading5"/>
        <w:rPr>
          <w:color w:val="000000" w:themeColor="text1"/>
        </w:rPr>
      </w:pPr>
      <w:r w:rsidRPr="00D6259F">
        <w:rPr>
          <w:color w:val="000000" w:themeColor="text1"/>
        </w:rPr>
        <w:t>Approximately equal value</w:t>
      </w:r>
    </w:p>
    <w:p w14:paraId="60517DB3" w14:textId="527E7A77" w:rsidR="00D422B1" w:rsidRPr="00D6259F" w:rsidRDefault="00D422B1" w:rsidP="00704FA9">
      <w:pPr>
        <w:rPr>
          <w:color w:val="000000" w:themeColor="text1"/>
        </w:rPr>
      </w:pPr>
      <w:r w:rsidRPr="00D6259F">
        <w:rPr>
          <w:color w:val="000000" w:themeColor="text1"/>
        </w:rPr>
        <w:t>Approximately equal value is considered to reflect a fair or market value, which is normally considered as an arm’s</w:t>
      </w:r>
      <w:r w:rsidR="0067602F" w:rsidRPr="00D6259F">
        <w:rPr>
          <w:color w:val="000000" w:themeColor="text1"/>
        </w:rPr>
        <w:t>-</w:t>
      </w:r>
      <w:r w:rsidRPr="00D6259F">
        <w:rPr>
          <w:color w:val="000000" w:themeColor="text1"/>
        </w:rPr>
        <w:t>length commercial transaction between a willing buyer and willing seller</w:t>
      </w:r>
      <w:r w:rsidR="006B53DA" w:rsidRPr="00D6259F">
        <w:rPr>
          <w:color w:val="000000" w:themeColor="text1"/>
        </w:rPr>
        <w:t xml:space="preserve">. </w:t>
      </w:r>
      <w:r w:rsidRPr="00D6259F">
        <w:rPr>
          <w:color w:val="000000" w:themeColor="text1"/>
        </w:rPr>
        <w:t xml:space="preserve">Some goods or services that </w:t>
      </w:r>
      <w:r w:rsidR="001C6956" w:rsidRPr="00D6259F">
        <w:rPr>
          <w:color w:val="000000" w:themeColor="text1"/>
        </w:rPr>
        <w:t xml:space="preserve">the </w:t>
      </w:r>
      <w:r w:rsidRPr="00D6259F">
        <w:rPr>
          <w:color w:val="000000" w:themeColor="text1"/>
        </w:rPr>
        <w:t>Council provides (</w:t>
      </w:r>
      <w:r w:rsidR="001C6956" w:rsidRPr="00D6259F">
        <w:rPr>
          <w:color w:val="000000" w:themeColor="text1"/>
        </w:rPr>
        <w:t xml:space="preserve">for example, </w:t>
      </w:r>
      <w:r w:rsidRPr="00D6259F">
        <w:rPr>
          <w:color w:val="000000" w:themeColor="text1"/>
        </w:rPr>
        <w:t xml:space="preserve">the sale of goods at market rates) are defined as being exchange transactions. Only a few services provided by </w:t>
      </w:r>
      <w:r w:rsidR="001C6956" w:rsidRPr="00D6259F">
        <w:rPr>
          <w:color w:val="000000" w:themeColor="text1"/>
        </w:rPr>
        <w:t xml:space="preserve">the </w:t>
      </w:r>
      <w:r w:rsidRPr="00D6259F">
        <w:rPr>
          <w:color w:val="000000" w:themeColor="text1"/>
        </w:rPr>
        <w:t xml:space="preserve">Council operate on a full user pays or breakeven basis </w:t>
      </w:r>
      <w:r w:rsidR="001B6EE2" w:rsidRPr="00D6259F">
        <w:rPr>
          <w:color w:val="000000" w:themeColor="text1"/>
        </w:rPr>
        <w:t xml:space="preserve">(for example, parking services) </w:t>
      </w:r>
      <w:r w:rsidRPr="00D6259F">
        <w:rPr>
          <w:color w:val="000000" w:themeColor="text1"/>
        </w:rPr>
        <w:t xml:space="preserve">and these </w:t>
      </w:r>
      <w:r w:rsidR="001C6956" w:rsidRPr="00D6259F">
        <w:rPr>
          <w:color w:val="000000" w:themeColor="text1"/>
        </w:rPr>
        <w:t>are</w:t>
      </w:r>
      <w:r w:rsidRPr="00D6259F">
        <w:rPr>
          <w:color w:val="000000" w:themeColor="text1"/>
        </w:rPr>
        <w:t xml:space="preserve"> exchange transactions unless they are provided at less than active and open market prices.</w:t>
      </w:r>
    </w:p>
    <w:p w14:paraId="3150351D" w14:textId="6127E77C" w:rsidR="00D422B1" w:rsidRPr="00D6259F" w:rsidRDefault="00D422B1" w:rsidP="00704FA9">
      <w:pPr>
        <w:rPr>
          <w:color w:val="000000" w:themeColor="text1"/>
        </w:rPr>
      </w:pPr>
      <w:r w:rsidRPr="00D6259F">
        <w:rPr>
          <w:color w:val="000000" w:themeColor="text1"/>
        </w:rPr>
        <w:t xml:space="preserve">Most of the services that </w:t>
      </w:r>
      <w:r w:rsidR="001C6956" w:rsidRPr="00D6259F">
        <w:rPr>
          <w:color w:val="000000" w:themeColor="text1"/>
        </w:rPr>
        <w:t xml:space="preserve">the </w:t>
      </w:r>
      <w:r w:rsidRPr="00D6259F">
        <w:rPr>
          <w:color w:val="000000" w:themeColor="text1"/>
        </w:rPr>
        <w:t>Council provides, for a fee, are subsidised by rates (</w:t>
      </w:r>
      <w:r w:rsidR="001C6956" w:rsidRPr="00D6259F">
        <w:rPr>
          <w:color w:val="000000" w:themeColor="text1"/>
        </w:rPr>
        <w:t>for example, the</w:t>
      </w:r>
      <w:r w:rsidRPr="00D6259F">
        <w:rPr>
          <w:color w:val="000000" w:themeColor="text1"/>
        </w:rPr>
        <w:t xml:space="preserve"> cost to swim in a </w:t>
      </w:r>
      <w:r w:rsidR="009E498D" w:rsidRPr="00D6259F">
        <w:rPr>
          <w:color w:val="000000" w:themeColor="text1"/>
        </w:rPr>
        <w:t>c</w:t>
      </w:r>
      <w:r w:rsidRPr="00D6259F">
        <w:rPr>
          <w:color w:val="000000" w:themeColor="text1"/>
        </w:rPr>
        <w:t xml:space="preserve">ouncil pool) and therefore do not constitute an approximately equal exchange. Accordingly, most of </w:t>
      </w:r>
      <w:r w:rsidR="004D607F" w:rsidRPr="00D6259F">
        <w:rPr>
          <w:color w:val="000000" w:themeColor="text1"/>
        </w:rPr>
        <w:t xml:space="preserve">the </w:t>
      </w:r>
      <w:r w:rsidRPr="00D6259F">
        <w:rPr>
          <w:color w:val="000000" w:themeColor="text1"/>
        </w:rPr>
        <w:t>Council’s revenue is categorised as non-exchange.</w:t>
      </w:r>
    </w:p>
    <w:p w14:paraId="4EA12B6C" w14:textId="77777777" w:rsidR="00FB3B39" w:rsidRPr="00D6259F" w:rsidRDefault="00FB3B39" w:rsidP="00FB3B39">
      <w:pPr>
        <w:pStyle w:val="Heading4"/>
      </w:pPr>
      <w:r w:rsidRPr="00D6259F">
        <w:t xml:space="preserve">Foreign currency balances and transactions </w:t>
      </w:r>
    </w:p>
    <w:p w14:paraId="01FEFAD3" w14:textId="6E3E0F62" w:rsidR="006623C7" w:rsidRPr="00D6259F" w:rsidRDefault="00FB3B39" w:rsidP="00FB3B39">
      <w:pPr>
        <w:rPr>
          <w:color w:val="000000" w:themeColor="text1"/>
        </w:rPr>
      </w:pPr>
      <w:r w:rsidRPr="00D6259F">
        <w:rPr>
          <w:color w:val="000000" w:themeColor="text1"/>
        </w:rPr>
        <w:t xml:space="preserve">Foreign currency transactions (including </w:t>
      </w:r>
      <w:proofErr w:type="gramStart"/>
      <w:r w:rsidRPr="00D6259F">
        <w:rPr>
          <w:color w:val="000000" w:themeColor="text1"/>
        </w:rPr>
        <w:t>those subject</w:t>
      </w:r>
      <w:proofErr w:type="gramEnd"/>
      <w:r w:rsidRPr="00D6259F">
        <w:rPr>
          <w:color w:val="000000" w:themeColor="text1"/>
        </w:rPr>
        <w:t xml:space="preserve"> to forward foreign exchange contracts) are translated into NZ</w:t>
      </w:r>
      <w:r w:rsidR="00B43C2A" w:rsidRPr="00D6259F">
        <w:rPr>
          <w:color w:val="000000" w:themeColor="text1"/>
        </w:rPr>
        <w:t>D</w:t>
      </w:r>
      <w:r w:rsidRPr="00D6259F">
        <w:rPr>
          <w:color w:val="000000" w:themeColor="text1"/>
        </w:rPr>
        <w:t xml:space="preserve"> using the spot exchange rate at the date of the transaction. Foreign exchange gains and losses resulting from the settlement of such transactions and from the translation at year-end exchange rates of monetary assets and liabilities denominated in foreign currencies are recognised in </w:t>
      </w:r>
      <w:r w:rsidR="00D62129" w:rsidRPr="00D6259F">
        <w:rPr>
          <w:color w:val="000000" w:themeColor="text1"/>
        </w:rPr>
        <w:t xml:space="preserve">the </w:t>
      </w:r>
      <w:r w:rsidRPr="00D6259F">
        <w:rPr>
          <w:color w:val="000000" w:themeColor="text1"/>
        </w:rPr>
        <w:t>surplus or deficit.</w:t>
      </w:r>
    </w:p>
    <w:p w14:paraId="6D126164" w14:textId="716F92CA" w:rsidR="00D422B1" w:rsidRPr="00D6259F" w:rsidRDefault="00D422B1" w:rsidP="00B43C2A">
      <w:pPr>
        <w:rPr>
          <w:rFonts w:eastAsiaTheme="majorEastAsia" w:cs="Calibri"/>
          <w:b/>
          <w:bCs/>
          <w:i/>
          <w:iCs/>
          <w:color w:val="000000" w:themeColor="text1"/>
          <w:sz w:val="28"/>
          <w:szCs w:val="28"/>
          <w:lang w:eastAsia="en-NZ"/>
        </w:rPr>
      </w:pPr>
      <w:r w:rsidRPr="00D6259F">
        <w:rPr>
          <w:rFonts w:eastAsiaTheme="majorEastAsia" w:cs="Calibri"/>
          <w:b/>
          <w:bCs/>
          <w:i/>
          <w:iCs/>
          <w:color w:val="000000" w:themeColor="text1"/>
          <w:sz w:val="28"/>
          <w:szCs w:val="28"/>
          <w:lang w:eastAsia="en-NZ"/>
        </w:rPr>
        <w:t>Change of accounting policies</w:t>
      </w:r>
    </w:p>
    <w:p w14:paraId="7A78E092" w14:textId="47103FD4" w:rsidR="0036482C" w:rsidRPr="00D6259F" w:rsidRDefault="00971A60" w:rsidP="0036482C">
      <w:pPr>
        <w:rPr>
          <w:color w:val="000000" w:themeColor="text1"/>
          <w:lang w:eastAsia="en-NZ"/>
        </w:rPr>
      </w:pPr>
      <w:r w:rsidRPr="00D6259F">
        <w:rPr>
          <w:color w:val="000000" w:themeColor="text1"/>
          <w:lang w:eastAsia="en-NZ"/>
        </w:rPr>
        <w:t xml:space="preserve">There </w:t>
      </w:r>
      <w:r w:rsidR="002C5F54" w:rsidRPr="00D6259F">
        <w:rPr>
          <w:color w:val="000000" w:themeColor="text1"/>
          <w:lang w:eastAsia="en-NZ"/>
        </w:rPr>
        <w:t xml:space="preserve">have been </w:t>
      </w:r>
      <w:r w:rsidRPr="00D6259F">
        <w:rPr>
          <w:color w:val="000000" w:themeColor="text1"/>
          <w:lang w:eastAsia="en-NZ"/>
        </w:rPr>
        <w:t xml:space="preserve">no </w:t>
      </w:r>
      <w:r w:rsidR="0077569D" w:rsidRPr="00D6259F">
        <w:rPr>
          <w:color w:val="000000" w:themeColor="text1"/>
          <w:lang w:eastAsia="en-NZ"/>
        </w:rPr>
        <w:t xml:space="preserve">changes to </w:t>
      </w:r>
      <w:r w:rsidRPr="00D6259F">
        <w:rPr>
          <w:color w:val="000000" w:themeColor="text1"/>
          <w:lang w:eastAsia="en-NZ"/>
        </w:rPr>
        <w:t xml:space="preserve">accounting policies </w:t>
      </w:r>
      <w:r w:rsidR="002C5F54" w:rsidRPr="00D6259F">
        <w:rPr>
          <w:color w:val="000000" w:themeColor="text1"/>
          <w:lang w:eastAsia="en-NZ"/>
        </w:rPr>
        <w:t>during the financial year.</w:t>
      </w:r>
    </w:p>
    <w:p w14:paraId="2B1BBDA4" w14:textId="17F64D60" w:rsidR="00D422B1" w:rsidRPr="00D6259F" w:rsidRDefault="00D422B1" w:rsidP="00AD0827">
      <w:pPr>
        <w:pStyle w:val="Heading4"/>
      </w:pPr>
      <w:r w:rsidRPr="00D6259F">
        <w:t>Changes to PBE accounting standards</w:t>
      </w:r>
    </w:p>
    <w:p w14:paraId="5EE5A683" w14:textId="686A50AC" w:rsidR="008305B1" w:rsidRPr="00D6259F" w:rsidRDefault="007A1EA9" w:rsidP="008305B1">
      <w:pPr>
        <w:pStyle w:val="Heading5"/>
        <w:rPr>
          <w:color w:val="000000" w:themeColor="text1"/>
        </w:rPr>
      </w:pPr>
      <w:r w:rsidRPr="00D6259F">
        <w:rPr>
          <w:color w:val="000000" w:themeColor="text1"/>
        </w:rPr>
        <w:t xml:space="preserve">Standards issued </w:t>
      </w:r>
      <w:r w:rsidR="00A3218C" w:rsidRPr="00D6259F">
        <w:rPr>
          <w:color w:val="000000" w:themeColor="text1"/>
        </w:rPr>
        <w:t xml:space="preserve">but </w:t>
      </w:r>
      <w:r w:rsidRPr="00D6259F">
        <w:rPr>
          <w:color w:val="000000" w:themeColor="text1"/>
        </w:rPr>
        <w:t xml:space="preserve">not yet effective, and not early </w:t>
      </w:r>
      <w:proofErr w:type="gramStart"/>
      <w:r w:rsidRPr="00D6259F">
        <w:rPr>
          <w:color w:val="000000" w:themeColor="text1"/>
        </w:rPr>
        <w:t>adopted</w:t>
      </w:r>
      <w:proofErr w:type="gramEnd"/>
    </w:p>
    <w:p w14:paraId="0924C861" w14:textId="32E4CD7F" w:rsidR="007A1EA9" w:rsidRPr="00D6259F" w:rsidRDefault="007A1EA9" w:rsidP="00BB0BEE">
      <w:pPr>
        <w:pStyle w:val="ListParagraph"/>
        <w:numPr>
          <w:ilvl w:val="0"/>
          <w:numId w:val="40"/>
        </w:numPr>
        <w:rPr>
          <w:color w:val="000000" w:themeColor="text1"/>
          <w:lang w:eastAsia="en-GB"/>
        </w:rPr>
      </w:pPr>
      <w:r w:rsidRPr="00D6259F">
        <w:rPr>
          <w:color w:val="000000" w:themeColor="text1"/>
          <w:lang w:eastAsia="en-GB"/>
        </w:rPr>
        <w:t>Disclosure of Fees for Audit Firms</w:t>
      </w:r>
      <w:r w:rsidR="00145404" w:rsidRPr="00D6259F">
        <w:rPr>
          <w:color w:val="000000" w:themeColor="text1"/>
          <w:lang w:eastAsia="en-GB"/>
        </w:rPr>
        <w:t>’</w:t>
      </w:r>
      <w:r w:rsidRPr="00D6259F">
        <w:rPr>
          <w:color w:val="000000" w:themeColor="text1"/>
          <w:lang w:eastAsia="en-GB"/>
        </w:rPr>
        <w:t xml:space="preserve"> Services (Amendments to </w:t>
      </w:r>
      <w:r w:rsidRPr="00D6259F">
        <w:rPr>
          <w:i/>
          <w:iCs/>
          <w:color w:val="000000" w:themeColor="text1"/>
          <w:lang w:eastAsia="en-GB"/>
        </w:rPr>
        <w:t xml:space="preserve">PBE IPSAS </w:t>
      </w:r>
      <w:r w:rsidR="008E4102" w:rsidRPr="00D6259F">
        <w:rPr>
          <w:i/>
          <w:iCs/>
          <w:color w:val="000000" w:themeColor="text1"/>
          <w:lang w:eastAsia="en-GB"/>
        </w:rPr>
        <w:t>1</w:t>
      </w:r>
      <w:r w:rsidRPr="00D6259F">
        <w:rPr>
          <w:i/>
          <w:iCs/>
          <w:color w:val="000000" w:themeColor="text1"/>
          <w:lang w:eastAsia="en-GB"/>
        </w:rPr>
        <w:t xml:space="preserve"> – Presentation of financial reports)</w:t>
      </w:r>
    </w:p>
    <w:p w14:paraId="42F0E523" w14:textId="77777777" w:rsidR="00400A3B" w:rsidRPr="00D6259F" w:rsidRDefault="00400A3B" w:rsidP="007A1EA9">
      <w:pPr>
        <w:rPr>
          <w:color w:val="000000" w:themeColor="text1"/>
        </w:rPr>
      </w:pPr>
    </w:p>
    <w:p w14:paraId="65EF21EF" w14:textId="77777777" w:rsidR="00400A3B" w:rsidRPr="00D6259F" w:rsidRDefault="00400A3B" w:rsidP="007A1EA9">
      <w:pPr>
        <w:rPr>
          <w:color w:val="000000" w:themeColor="text1"/>
        </w:rPr>
      </w:pPr>
    </w:p>
    <w:p w14:paraId="6327D62D" w14:textId="2E9359F7" w:rsidR="007A1EA9" w:rsidRPr="00D6259F" w:rsidRDefault="007A1EA9" w:rsidP="007A1EA9">
      <w:pPr>
        <w:rPr>
          <w:color w:val="000000" w:themeColor="text1"/>
        </w:rPr>
      </w:pPr>
      <w:r w:rsidRPr="00D6259F">
        <w:rPr>
          <w:color w:val="000000" w:themeColor="text1"/>
        </w:rPr>
        <w:lastRenderedPageBreak/>
        <w:t>The amendments require an entity to describe the services provided by its audit or review firm and to disclose the fees incurred by the entity for those services</w:t>
      </w:r>
      <w:r w:rsidR="009E498D" w:rsidRPr="00D6259F">
        <w:rPr>
          <w:color w:val="000000" w:themeColor="text1"/>
        </w:rPr>
        <w:t xml:space="preserve"> into specific categories</w:t>
      </w:r>
      <w:r w:rsidRPr="00D6259F">
        <w:rPr>
          <w:color w:val="000000" w:themeColor="text1"/>
        </w:rPr>
        <w:t xml:space="preserve">. The mandatory adoption date is </w:t>
      </w:r>
      <w:r w:rsidR="00BE3188" w:rsidRPr="00D6259F">
        <w:rPr>
          <w:color w:val="000000" w:themeColor="text1"/>
        </w:rPr>
        <w:t xml:space="preserve">for accounting periods beginning on or after </w:t>
      </w:r>
      <w:r w:rsidRPr="00D6259F">
        <w:rPr>
          <w:color w:val="000000" w:themeColor="text1"/>
        </w:rPr>
        <w:t>1 January 2024</w:t>
      </w:r>
      <w:r w:rsidR="00BE3188" w:rsidRPr="00D6259F">
        <w:rPr>
          <w:color w:val="000000" w:themeColor="text1"/>
        </w:rPr>
        <w:t xml:space="preserve">. </w:t>
      </w:r>
      <w:r w:rsidRPr="00D6259F">
        <w:rPr>
          <w:color w:val="000000" w:themeColor="text1"/>
        </w:rPr>
        <w:t xml:space="preserve">There will be no financial </w:t>
      </w:r>
      <w:r w:rsidR="009E498D" w:rsidRPr="00D6259F">
        <w:rPr>
          <w:color w:val="000000" w:themeColor="text1"/>
        </w:rPr>
        <w:t>impact</w:t>
      </w:r>
      <w:r w:rsidRPr="00D6259F">
        <w:rPr>
          <w:color w:val="000000" w:themeColor="text1"/>
        </w:rPr>
        <w:t xml:space="preserve"> on the financial statements as the requirement is only for greater disclosure of incurred expenses.</w:t>
      </w:r>
    </w:p>
    <w:p w14:paraId="1B61C292" w14:textId="6CD64551" w:rsidR="00DF3530" w:rsidRPr="00D6259F" w:rsidRDefault="00DF3530" w:rsidP="00DF3530">
      <w:pPr>
        <w:rPr>
          <w:color w:val="000000" w:themeColor="text1"/>
        </w:rPr>
      </w:pPr>
      <w:r w:rsidRPr="00D6259F">
        <w:rPr>
          <w:color w:val="000000" w:themeColor="text1"/>
          <w:lang w:eastAsia="en-GB"/>
        </w:rPr>
        <w:t>There are no other standards that have been issued but not yet effective that are expected to have a significant impact on these financial statements.</w:t>
      </w:r>
    </w:p>
    <w:p w14:paraId="0B776D52" w14:textId="77777777" w:rsidR="00D422B1" w:rsidRPr="00D6259F" w:rsidRDefault="00D422B1" w:rsidP="00AD0827">
      <w:pPr>
        <w:pStyle w:val="Heading4"/>
      </w:pPr>
      <w:r w:rsidRPr="00D6259F">
        <w:t>Judgements and estimations</w:t>
      </w:r>
    </w:p>
    <w:p w14:paraId="7FA9AAB7" w14:textId="4A5607E5" w:rsidR="00D422B1" w:rsidRPr="00D6259F" w:rsidRDefault="00D422B1" w:rsidP="00704FA9">
      <w:pPr>
        <w:rPr>
          <w:color w:val="000000" w:themeColor="text1"/>
        </w:rPr>
      </w:pPr>
      <w:r w:rsidRPr="00D6259F">
        <w:rPr>
          <w:color w:val="000000" w:themeColor="text1"/>
        </w:rPr>
        <w:t>The preparation of financial statements using PBE accounting standards requires the use of judg</w:t>
      </w:r>
      <w:r w:rsidR="00DF3530" w:rsidRPr="00D6259F">
        <w:rPr>
          <w:color w:val="000000" w:themeColor="text1"/>
        </w:rPr>
        <w:t>e</w:t>
      </w:r>
      <w:r w:rsidRPr="00D6259F">
        <w:rPr>
          <w:color w:val="000000" w:themeColor="text1"/>
        </w:rPr>
        <w:t>ments, estimates and assumptions. Where material, information on the main assumptions is provided in the relevant accounting policy or in the relevant note.</w:t>
      </w:r>
    </w:p>
    <w:p w14:paraId="4FBEA87D" w14:textId="219CC936" w:rsidR="00D422B1" w:rsidRPr="00D6259F" w:rsidRDefault="00D422B1" w:rsidP="00704FA9">
      <w:pPr>
        <w:rPr>
          <w:color w:val="000000" w:themeColor="text1"/>
        </w:rPr>
      </w:pPr>
      <w:r w:rsidRPr="00D6259F">
        <w:rPr>
          <w:color w:val="000000" w:themeColor="text1"/>
        </w:rPr>
        <w:t>The estimates and assumptions are based on historical experience as well as other factors that are believed to be reasonable under the circumstances. Subsequent actual results may differ from these estimates.</w:t>
      </w:r>
      <w:r w:rsidR="00C2642C" w:rsidRPr="00D6259F">
        <w:rPr>
          <w:color w:val="000000" w:themeColor="text1"/>
        </w:rPr>
        <w:t xml:space="preserve"> The </w:t>
      </w:r>
      <w:r w:rsidRPr="00D6259F">
        <w:rPr>
          <w:color w:val="000000" w:themeColor="text1"/>
        </w:rPr>
        <w:t xml:space="preserve">estimates and assumptions are </w:t>
      </w:r>
      <w:r w:rsidR="00C2642C" w:rsidRPr="00D6259F">
        <w:rPr>
          <w:color w:val="000000" w:themeColor="text1"/>
        </w:rPr>
        <w:t xml:space="preserve">also </w:t>
      </w:r>
      <w:r w:rsidRPr="00D6259F">
        <w:rPr>
          <w:color w:val="000000" w:themeColor="text1"/>
        </w:rPr>
        <w:t>reviewed on an ongoing basis and adjustments are made where necessary.</w:t>
      </w:r>
    </w:p>
    <w:p w14:paraId="6052B227" w14:textId="13955DCB" w:rsidR="00D422B1" w:rsidRPr="00D6259F" w:rsidRDefault="00D422B1" w:rsidP="00704FA9">
      <w:pPr>
        <w:rPr>
          <w:rFonts w:cs="Arial"/>
          <w:color w:val="000000" w:themeColor="text1"/>
          <w:lang w:eastAsia="en-GB"/>
        </w:rPr>
      </w:pPr>
      <w:r w:rsidRPr="00D6259F">
        <w:rPr>
          <w:color w:val="000000" w:themeColor="text1"/>
        </w:rPr>
        <w:t xml:space="preserve">Judgements that have a significant effect on the financial statements and estimates with a significant risk of material adjustment in the next year are discussed in the relevant notes. </w:t>
      </w:r>
      <w:r w:rsidR="00A4300B" w:rsidRPr="00D6259F">
        <w:rPr>
          <w:color w:val="000000" w:themeColor="text1"/>
        </w:rPr>
        <w:t>This includes</w:t>
      </w:r>
      <w:r w:rsidRPr="00D6259F">
        <w:rPr>
          <w:color w:val="000000" w:themeColor="text1"/>
        </w:rPr>
        <w:t xml:space="preserve"> landfill post-closure costs, asset revaluations, impairments, certain fair value calculations and provisions</w:t>
      </w:r>
      <w:r w:rsidRPr="00D6259F">
        <w:rPr>
          <w:rFonts w:cs="Arial"/>
          <w:color w:val="000000" w:themeColor="text1"/>
          <w:lang w:eastAsia="en-GB"/>
        </w:rPr>
        <w:t>.</w:t>
      </w:r>
    </w:p>
    <w:p w14:paraId="5EAB9997" w14:textId="38AA3504" w:rsidR="00C2642C" w:rsidRPr="00D6259F" w:rsidRDefault="00EC7BE8" w:rsidP="00704FA9">
      <w:pPr>
        <w:rPr>
          <w:rFonts w:cs="Arial"/>
          <w:color w:val="000000" w:themeColor="text1"/>
          <w:lang w:eastAsia="en-GB"/>
        </w:rPr>
      </w:pPr>
      <w:r w:rsidRPr="00D6259F">
        <w:rPr>
          <w:rFonts w:cs="Arial"/>
          <w:color w:val="000000" w:themeColor="text1"/>
          <w:lang w:eastAsia="en-GB"/>
        </w:rPr>
        <w:t>There</w:t>
      </w:r>
      <w:r w:rsidR="00FC10BF" w:rsidRPr="00D6259F">
        <w:rPr>
          <w:rFonts w:cs="Arial"/>
          <w:color w:val="000000" w:themeColor="text1"/>
          <w:lang w:eastAsia="en-GB"/>
        </w:rPr>
        <w:t xml:space="preserve"> </w:t>
      </w:r>
      <w:r w:rsidR="00FD387D" w:rsidRPr="00D6259F">
        <w:rPr>
          <w:rFonts w:cs="Arial"/>
          <w:color w:val="000000" w:themeColor="text1"/>
          <w:lang w:eastAsia="en-GB"/>
        </w:rPr>
        <w:t>have been no</w:t>
      </w:r>
      <w:r w:rsidR="00FC10BF" w:rsidRPr="00D6259F">
        <w:rPr>
          <w:rFonts w:cs="Arial"/>
          <w:color w:val="000000" w:themeColor="text1"/>
          <w:lang w:eastAsia="en-GB"/>
        </w:rPr>
        <w:t xml:space="preserve"> </w:t>
      </w:r>
      <w:r w:rsidR="00164896" w:rsidRPr="00D6259F">
        <w:rPr>
          <w:rFonts w:cs="Arial"/>
          <w:color w:val="000000" w:themeColor="text1"/>
          <w:lang w:eastAsia="en-GB"/>
        </w:rPr>
        <w:t xml:space="preserve">fundamental </w:t>
      </w:r>
      <w:r w:rsidR="00FC10BF" w:rsidRPr="00D6259F">
        <w:rPr>
          <w:rFonts w:cs="Arial"/>
          <w:color w:val="000000" w:themeColor="text1"/>
          <w:lang w:eastAsia="en-GB"/>
        </w:rPr>
        <w:t>changes to our approach for judgements and estimations</w:t>
      </w:r>
      <w:r w:rsidRPr="00D6259F">
        <w:rPr>
          <w:rFonts w:cs="Arial"/>
          <w:color w:val="000000" w:themeColor="text1"/>
          <w:lang w:eastAsia="en-GB"/>
        </w:rPr>
        <w:t xml:space="preserve"> for the year ended 30 June 2024</w:t>
      </w:r>
      <w:r w:rsidR="00FC10BF" w:rsidRPr="00D6259F">
        <w:rPr>
          <w:rFonts w:cs="Arial"/>
          <w:color w:val="000000" w:themeColor="text1"/>
          <w:lang w:eastAsia="en-GB"/>
        </w:rPr>
        <w:t xml:space="preserve">. </w:t>
      </w:r>
    </w:p>
    <w:p w14:paraId="5F896DD7" w14:textId="77777777" w:rsidR="00D422B1" w:rsidRPr="00D6259F" w:rsidRDefault="00D422B1" w:rsidP="00AD0827">
      <w:pPr>
        <w:pStyle w:val="Heading4"/>
      </w:pPr>
      <w:r w:rsidRPr="00D6259F">
        <w:t>Goods and Services Tax (GST)</w:t>
      </w:r>
    </w:p>
    <w:p w14:paraId="3647AB9F" w14:textId="6C0FCE35" w:rsidR="00D422B1" w:rsidRPr="00D6259F" w:rsidRDefault="00D422B1" w:rsidP="00704FA9">
      <w:pPr>
        <w:rPr>
          <w:color w:val="000000" w:themeColor="text1"/>
        </w:rPr>
      </w:pPr>
      <w:r w:rsidRPr="00D6259F">
        <w:rPr>
          <w:color w:val="000000" w:themeColor="text1"/>
        </w:rPr>
        <w:t xml:space="preserve">All items in the financial statements are exclusive of GST, </w:t>
      </w:r>
      <w:r w:rsidR="005E4223" w:rsidRPr="00D6259F">
        <w:rPr>
          <w:color w:val="000000" w:themeColor="text1"/>
        </w:rPr>
        <w:t>except for</w:t>
      </w:r>
      <w:r w:rsidRPr="00D6259F">
        <w:rPr>
          <w:color w:val="000000" w:themeColor="text1"/>
        </w:rPr>
        <w:t xml:space="preserve"> receivables</w:t>
      </w:r>
      <w:r w:rsidR="009A3708" w:rsidRPr="00D6259F">
        <w:rPr>
          <w:color w:val="000000" w:themeColor="text1"/>
        </w:rPr>
        <w:t xml:space="preserve"> </w:t>
      </w:r>
      <w:r w:rsidRPr="00D6259F">
        <w:rPr>
          <w:color w:val="000000" w:themeColor="text1"/>
        </w:rPr>
        <w:t>and payables, which are stated as GST inclusive. Where GST is not recoverable as an input tax, it is recognised as part of the related asset or expense.</w:t>
      </w:r>
    </w:p>
    <w:p w14:paraId="768FB66B" w14:textId="77777777" w:rsidR="00D422B1" w:rsidRPr="00D6259F" w:rsidRDefault="00D422B1" w:rsidP="00AD0827">
      <w:pPr>
        <w:pStyle w:val="Heading4"/>
      </w:pPr>
      <w:r w:rsidRPr="00D6259F">
        <w:t>Budget figures</w:t>
      </w:r>
    </w:p>
    <w:p w14:paraId="025627E7" w14:textId="5E332034" w:rsidR="00D422B1" w:rsidRPr="00D6259F" w:rsidRDefault="00D422B1" w:rsidP="00704FA9">
      <w:pPr>
        <w:rPr>
          <w:color w:val="000000" w:themeColor="text1"/>
        </w:rPr>
      </w:pPr>
      <w:r w:rsidRPr="00D6259F">
        <w:rPr>
          <w:color w:val="000000" w:themeColor="text1"/>
        </w:rPr>
        <w:t xml:space="preserve">The </w:t>
      </w:r>
      <w:r w:rsidR="00CA2A5B" w:rsidRPr="00D6259F">
        <w:rPr>
          <w:color w:val="000000" w:themeColor="text1"/>
        </w:rPr>
        <w:t>2023/24</w:t>
      </w:r>
      <w:r w:rsidR="007E3E58" w:rsidRPr="00D6259F">
        <w:rPr>
          <w:color w:val="000000" w:themeColor="text1"/>
        </w:rPr>
        <w:t xml:space="preserve"> A</w:t>
      </w:r>
      <w:r w:rsidR="005E291B" w:rsidRPr="00D6259F">
        <w:rPr>
          <w:color w:val="000000" w:themeColor="text1"/>
        </w:rPr>
        <w:t xml:space="preserve">P </w:t>
      </w:r>
      <w:r w:rsidRPr="00D6259F">
        <w:rPr>
          <w:color w:val="000000" w:themeColor="text1"/>
        </w:rPr>
        <w:t>budget figures included in these financial statements are for the Council as a separate entity. The</w:t>
      </w:r>
      <w:r w:rsidR="007E3E58" w:rsidRPr="00D6259F">
        <w:rPr>
          <w:color w:val="000000" w:themeColor="text1"/>
        </w:rPr>
        <w:t xml:space="preserve"> A</w:t>
      </w:r>
      <w:r w:rsidR="005E291B" w:rsidRPr="00D6259F">
        <w:rPr>
          <w:color w:val="000000" w:themeColor="text1"/>
        </w:rPr>
        <w:t>P</w:t>
      </w:r>
      <w:r w:rsidRPr="00D6259F">
        <w:rPr>
          <w:color w:val="000000" w:themeColor="text1"/>
        </w:rPr>
        <w:t xml:space="preserve"> figures do not include budget information relating to controlled entities</w:t>
      </w:r>
      <w:r w:rsidR="00EA3E48" w:rsidRPr="00D6259F">
        <w:rPr>
          <w:color w:val="000000" w:themeColor="text1"/>
        </w:rPr>
        <w:t>,</w:t>
      </w:r>
      <w:r w:rsidRPr="00D6259F">
        <w:rPr>
          <w:color w:val="000000" w:themeColor="text1"/>
        </w:rPr>
        <w:t xml:space="preserve"> </w:t>
      </w:r>
      <w:proofErr w:type="gramStart"/>
      <w:r w:rsidRPr="00D6259F">
        <w:rPr>
          <w:color w:val="000000" w:themeColor="text1"/>
        </w:rPr>
        <w:t>associates</w:t>
      </w:r>
      <w:proofErr w:type="gramEnd"/>
      <w:r w:rsidR="00EA3E48" w:rsidRPr="00D6259F">
        <w:rPr>
          <w:color w:val="000000" w:themeColor="text1"/>
        </w:rPr>
        <w:t xml:space="preserve"> or joint ventures</w:t>
      </w:r>
      <w:r w:rsidRPr="00D6259F">
        <w:rPr>
          <w:color w:val="000000" w:themeColor="text1"/>
        </w:rPr>
        <w:t xml:space="preserve">. These figures are those approved by the Council at the beginning of each financial year following a period of consultation with the public as part of the </w:t>
      </w:r>
      <w:r w:rsidR="005E291B" w:rsidRPr="00D6259F">
        <w:rPr>
          <w:color w:val="000000" w:themeColor="text1"/>
        </w:rPr>
        <w:t xml:space="preserve">LTP or </w:t>
      </w:r>
      <w:r w:rsidR="007E3E58" w:rsidRPr="00D6259F">
        <w:rPr>
          <w:color w:val="000000" w:themeColor="text1"/>
        </w:rPr>
        <w:t>A</w:t>
      </w:r>
      <w:r w:rsidRPr="00D6259F">
        <w:rPr>
          <w:color w:val="000000" w:themeColor="text1"/>
        </w:rPr>
        <w:t xml:space="preserve">P process. These figures do not include any additional expenditure subsequently approved by the Council outside the </w:t>
      </w:r>
      <w:r w:rsidR="005E291B" w:rsidRPr="00D6259F">
        <w:rPr>
          <w:color w:val="000000" w:themeColor="text1"/>
        </w:rPr>
        <w:t>LTP</w:t>
      </w:r>
      <w:r w:rsidRPr="00D6259F">
        <w:rPr>
          <w:color w:val="000000" w:themeColor="text1"/>
        </w:rPr>
        <w:t xml:space="preserve"> </w:t>
      </w:r>
      <w:r w:rsidR="00A3218C" w:rsidRPr="00D6259F">
        <w:rPr>
          <w:color w:val="000000" w:themeColor="text1"/>
        </w:rPr>
        <w:t xml:space="preserve">or AP </w:t>
      </w:r>
      <w:r w:rsidRPr="00D6259F">
        <w:rPr>
          <w:color w:val="000000" w:themeColor="text1"/>
        </w:rPr>
        <w:t xml:space="preserve">process. The </w:t>
      </w:r>
      <w:r w:rsidR="007E3E58" w:rsidRPr="00D6259F">
        <w:rPr>
          <w:color w:val="000000" w:themeColor="text1"/>
        </w:rPr>
        <w:t>A</w:t>
      </w:r>
      <w:r w:rsidR="005E291B" w:rsidRPr="00D6259F">
        <w:rPr>
          <w:color w:val="000000" w:themeColor="text1"/>
        </w:rPr>
        <w:t>P</w:t>
      </w:r>
      <w:r w:rsidRPr="00D6259F">
        <w:rPr>
          <w:color w:val="000000" w:themeColor="text1"/>
        </w:rPr>
        <w:t xml:space="preserve"> figures have been prepared in accordance with </w:t>
      </w:r>
      <w:r w:rsidR="001A7044" w:rsidRPr="00D6259F">
        <w:rPr>
          <w:color w:val="000000" w:themeColor="text1"/>
        </w:rPr>
        <w:t xml:space="preserve">NZ </w:t>
      </w:r>
      <w:r w:rsidRPr="00D6259F">
        <w:rPr>
          <w:color w:val="000000" w:themeColor="text1"/>
        </w:rPr>
        <w:t xml:space="preserve">GAAP and are consistent with the accounting policies adopted by the Council </w:t>
      </w:r>
      <w:r w:rsidR="009C7A8D" w:rsidRPr="00D6259F">
        <w:rPr>
          <w:color w:val="000000" w:themeColor="text1"/>
        </w:rPr>
        <w:t xml:space="preserve">in </w:t>
      </w:r>
      <w:r w:rsidRPr="00D6259F">
        <w:rPr>
          <w:color w:val="000000" w:themeColor="text1"/>
        </w:rPr>
        <w:t>the preparation of these financial statements.</w:t>
      </w:r>
    </w:p>
    <w:p w14:paraId="3E45744D" w14:textId="77777777" w:rsidR="00D422B1" w:rsidRPr="00D6259F" w:rsidRDefault="00D422B1" w:rsidP="00AD0827">
      <w:pPr>
        <w:pStyle w:val="Heading4"/>
      </w:pPr>
      <w:r w:rsidRPr="00D6259F">
        <w:t>Comparatives</w:t>
      </w:r>
    </w:p>
    <w:p w14:paraId="098B8E56" w14:textId="77777777" w:rsidR="00D422B1" w:rsidRPr="00D6259F" w:rsidRDefault="00D422B1" w:rsidP="00704FA9">
      <w:pPr>
        <w:rPr>
          <w:color w:val="000000" w:themeColor="text1"/>
        </w:rPr>
      </w:pPr>
      <w:r w:rsidRPr="00D6259F">
        <w:rPr>
          <w:color w:val="000000" w:themeColor="text1"/>
        </w:rPr>
        <w:t>To ensure consistency with the current year, certain comparative information has been reclassified where appropriate. This has occurred:</w:t>
      </w:r>
    </w:p>
    <w:p w14:paraId="49E033FC" w14:textId="0F8F70E6" w:rsidR="00D422B1" w:rsidRPr="00D6259F" w:rsidRDefault="00D422B1" w:rsidP="00E76A2E">
      <w:pPr>
        <w:pStyle w:val="ListParagraph"/>
        <w:numPr>
          <w:ilvl w:val="0"/>
          <w:numId w:val="12"/>
        </w:numPr>
        <w:rPr>
          <w:color w:val="000000" w:themeColor="text1"/>
        </w:rPr>
      </w:pPr>
      <w:r w:rsidRPr="00D6259F">
        <w:rPr>
          <w:color w:val="000000" w:themeColor="text1"/>
        </w:rPr>
        <w:t xml:space="preserve">where classifications have changed between </w:t>
      </w:r>
      <w:proofErr w:type="gramStart"/>
      <w:r w:rsidRPr="00D6259F">
        <w:rPr>
          <w:color w:val="000000" w:themeColor="text1"/>
        </w:rPr>
        <w:t>periods</w:t>
      </w:r>
      <w:r w:rsidR="00E56200" w:rsidRPr="00D6259F">
        <w:rPr>
          <w:color w:val="000000" w:themeColor="text1"/>
        </w:rPr>
        <w:t>;</w:t>
      </w:r>
      <w:proofErr w:type="gramEnd"/>
    </w:p>
    <w:p w14:paraId="393733F9" w14:textId="1B152F90" w:rsidR="00D422B1" w:rsidRPr="00D6259F" w:rsidRDefault="00D422B1" w:rsidP="00E76A2E">
      <w:pPr>
        <w:pStyle w:val="ListParagraph"/>
        <w:numPr>
          <w:ilvl w:val="0"/>
          <w:numId w:val="12"/>
        </w:numPr>
        <w:rPr>
          <w:color w:val="000000" w:themeColor="text1"/>
        </w:rPr>
      </w:pPr>
      <w:r w:rsidRPr="00D6259F">
        <w:rPr>
          <w:color w:val="000000" w:themeColor="text1"/>
        </w:rPr>
        <w:t xml:space="preserve">where the Council has made additional disclosure in the current year, and where a greater degree of disaggregation of prior year amounts and balances is therefore required; </w:t>
      </w:r>
      <w:r w:rsidR="009C7A8D" w:rsidRPr="00D6259F">
        <w:rPr>
          <w:color w:val="000000" w:themeColor="text1"/>
        </w:rPr>
        <w:t>or</w:t>
      </w:r>
      <w:r w:rsidRPr="00D6259F">
        <w:rPr>
          <w:color w:val="000000" w:themeColor="text1"/>
        </w:rPr>
        <w:t xml:space="preserve"> </w:t>
      </w:r>
    </w:p>
    <w:p w14:paraId="43AF1735" w14:textId="5DAA0C76" w:rsidR="00772C02" w:rsidRPr="00D6259F" w:rsidRDefault="003357E3" w:rsidP="00400A3B">
      <w:pPr>
        <w:pStyle w:val="ListParagraph"/>
        <w:numPr>
          <w:ilvl w:val="0"/>
          <w:numId w:val="12"/>
        </w:numPr>
        <w:rPr>
          <w:color w:val="000000" w:themeColor="text1"/>
        </w:rPr>
      </w:pPr>
      <w:r w:rsidRPr="00D6259F">
        <w:rPr>
          <w:color w:val="000000" w:themeColor="text1"/>
        </w:rPr>
        <w:t>where there has been a change of accounting policy.</w:t>
      </w:r>
      <w:bookmarkStart w:id="33" w:name="_Toc55482639"/>
      <w:bookmarkStart w:id="34" w:name="_Toc61862883"/>
    </w:p>
    <w:p w14:paraId="74B5B316" w14:textId="68D5F663" w:rsidR="00D422B1" w:rsidRPr="00D6259F" w:rsidRDefault="00D422B1" w:rsidP="00D6259F">
      <w:pPr>
        <w:pStyle w:val="Heading1"/>
      </w:pPr>
      <w:bookmarkStart w:id="35" w:name="_Toc179890283"/>
      <w:r w:rsidRPr="00D6259F">
        <w:lastRenderedPageBreak/>
        <w:t>Statement of Comprehensive Revenue and Expense</w:t>
      </w:r>
      <w:bookmarkEnd w:id="33"/>
      <w:bookmarkEnd w:id="34"/>
      <w:bookmarkEnd w:id="35"/>
    </w:p>
    <w:p w14:paraId="4E565516" w14:textId="3571B419" w:rsidR="00F75685" w:rsidRPr="00D6259F" w:rsidRDefault="000F20D8" w:rsidP="000F20D8">
      <w:pPr>
        <w:pStyle w:val="Body"/>
        <w:spacing w:after="0"/>
        <w:rPr>
          <w:color w:val="000000" w:themeColor="text1"/>
          <w:lang w:eastAsia="en-NZ"/>
        </w:rPr>
      </w:pPr>
      <w:r w:rsidRPr="00D6259F">
        <w:rPr>
          <w:noProof/>
          <w:color w:val="000000" w:themeColor="text1"/>
        </w:rPr>
        <w:object w:dxaOrig="12045" w:dyaOrig="12690" w14:anchorId="41E39F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624pt" o:ole="">
            <v:imagedata r:id="rId10" o:title=""/>
          </v:shape>
          <o:OLEObject Type="Link" ProgID="Excel.Sheet.12" ShapeID="_x0000_i1025" DrawAspect="Content" r:id="rId11" UpdateMode="Always">
            <o:LinkType>EnhancedMetaFile</o:LinkType>
            <o:LockedField>false</o:LockedField>
          </o:OLEObject>
        </w:object>
      </w:r>
      <w:r w:rsidR="00F75685" w:rsidRPr="00D6259F">
        <w:rPr>
          <w:color w:val="000000" w:themeColor="text1"/>
          <w:lang w:eastAsia="en-NZ"/>
        </w:rPr>
        <w:t xml:space="preserve"> </w:t>
      </w:r>
    </w:p>
    <w:p w14:paraId="24C171B7" w14:textId="25BD131E" w:rsidR="00F75685" w:rsidRPr="00D6259F" w:rsidRDefault="00F75685" w:rsidP="00F75685">
      <w:pPr>
        <w:pStyle w:val="Body"/>
        <w:rPr>
          <w:color w:val="000000" w:themeColor="text1"/>
          <w:sz w:val="20"/>
          <w:szCs w:val="20"/>
          <w:lang w:eastAsia="en-NZ"/>
        </w:rPr>
      </w:pPr>
      <w:r w:rsidRPr="00D6259F">
        <w:rPr>
          <w:color w:val="000000" w:themeColor="text1"/>
          <w:sz w:val="20"/>
          <w:szCs w:val="20"/>
          <w:lang w:eastAsia="en-NZ"/>
        </w:rPr>
        <w:lastRenderedPageBreak/>
        <w:t>The notes on page</w:t>
      </w:r>
      <w:r w:rsidR="00D127B4" w:rsidRPr="00D6259F">
        <w:rPr>
          <w:color w:val="000000" w:themeColor="text1"/>
          <w:sz w:val="20"/>
          <w:szCs w:val="20"/>
          <w:lang w:eastAsia="en-NZ"/>
        </w:rPr>
        <w:t xml:space="preserve"> 14</w:t>
      </w:r>
      <w:r w:rsidRPr="00D6259F">
        <w:rPr>
          <w:color w:val="000000" w:themeColor="text1"/>
          <w:sz w:val="20"/>
          <w:szCs w:val="20"/>
          <w:lang w:eastAsia="en-NZ"/>
        </w:rPr>
        <w:t xml:space="preserve"> to </w:t>
      </w:r>
      <w:r w:rsidR="00D127B4" w:rsidRPr="00D6259F">
        <w:rPr>
          <w:color w:val="000000" w:themeColor="text1"/>
          <w:sz w:val="20"/>
          <w:szCs w:val="20"/>
          <w:lang w:eastAsia="en-NZ"/>
        </w:rPr>
        <w:t>122</w:t>
      </w:r>
      <w:r w:rsidRPr="00D6259F">
        <w:rPr>
          <w:color w:val="000000" w:themeColor="text1"/>
          <w:sz w:val="20"/>
          <w:szCs w:val="20"/>
          <w:lang w:eastAsia="en-NZ"/>
        </w:rPr>
        <w:t xml:space="preserve"> form part of and should be read in conjunction with the financial statements.</w:t>
      </w:r>
    </w:p>
    <w:p w14:paraId="4A8ABC93" w14:textId="1C108414" w:rsidR="00F75685" w:rsidRPr="00D6259F" w:rsidRDefault="000F20D8" w:rsidP="00F75685">
      <w:pPr>
        <w:pStyle w:val="Body"/>
        <w:rPr>
          <w:color w:val="000000" w:themeColor="text1"/>
          <w:lang w:eastAsia="en-NZ"/>
        </w:rPr>
      </w:pPr>
      <w:r w:rsidRPr="00D6259F">
        <w:rPr>
          <w:color w:val="000000" w:themeColor="text1"/>
          <w:lang w:eastAsia="en-NZ"/>
        </w:rPr>
        <w:object w:dxaOrig="12045" w:dyaOrig="10755" w14:anchorId="03C2CB5C">
          <v:shape id="_x0000_i1026" type="#_x0000_t75" style="width:507pt;height:541pt" o:ole="">
            <v:imagedata r:id="rId12" o:title=""/>
          </v:shape>
          <o:OLEObject Type="Link" ProgID="Excel.Sheet.12" ShapeID="_x0000_i1026" DrawAspect="Content" r:id="rId13" UpdateMode="Always">
            <o:LinkType>EnhancedMetaFile</o:LinkType>
            <o:LockedField>false</o:LockedField>
          </o:OLEObject>
        </w:object>
      </w:r>
    </w:p>
    <w:p w14:paraId="2513D8F2" w14:textId="77777777" w:rsidR="00F75685" w:rsidRPr="00D6259F" w:rsidRDefault="00F75685" w:rsidP="00F75685">
      <w:pPr>
        <w:pStyle w:val="Body"/>
        <w:rPr>
          <w:color w:val="000000" w:themeColor="text1"/>
          <w:lang w:eastAsia="en-NZ"/>
        </w:rPr>
      </w:pPr>
    </w:p>
    <w:p w14:paraId="2B65A6EF" w14:textId="4AF3466C" w:rsidR="00D422B1" w:rsidRPr="00D6259F" w:rsidRDefault="00D422B1" w:rsidP="000030D8">
      <w:pPr>
        <w:pStyle w:val="ListParagraph"/>
        <w:numPr>
          <w:ilvl w:val="0"/>
          <w:numId w:val="56"/>
        </w:numPr>
        <w:rPr>
          <w:color w:val="000000" w:themeColor="text1"/>
          <w:sz w:val="16"/>
          <w:szCs w:val="16"/>
          <w:lang w:eastAsia="en-GB"/>
        </w:rPr>
      </w:pPr>
      <w:r w:rsidRPr="00D6259F">
        <w:rPr>
          <w:color w:val="000000" w:themeColor="text1"/>
          <w:sz w:val="16"/>
          <w:szCs w:val="16"/>
          <w:lang w:eastAsia="en-GB"/>
        </w:rPr>
        <w:t xml:space="preserve">Other comprehensive revenue </w:t>
      </w:r>
      <w:r w:rsidR="001B1A70" w:rsidRPr="00D6259F">
        <w:rPr>
          <w:color w:val="000000" w:themeColor="text1"/>
          <w:sz w:val="16"/>
          <w:szCs w:val="16"/>
          <w:lang w:eastAsia="en-GB"/>
        </w:rPr>
        <w:t>and</w:t>
      </w:r>
      <w:r w:rsidRPr="00D6259F">
        <w:rPr>
          <w:color w:val="000000" w:themeColor="text1"/>
          <w:sz w:val="16"/>
          <w:szCs w:val="16"/>
          <w:lang w:eastAsia="en-GB"/>
        </w:rPr>
        <w:t xml:space="preserve"> expense is non-cash in nature and only reflects changes in equity.</w:t>
      </w:r>
    </w:p>
    <w:p w14:paraId="75C1DDD6" w14:textId="04D0368A" w:rsidR="00D422B1" w:rsidRPr="00D6259F" w:rsidRDefault="00D422B1" w:rsidP="000030D8">
      <w:pPr>
        <w:pStyle w:val="ListParagraph"/>
        <w:numPr>
          <w:ilvl w:val="0"/>
          <w:numId w:val="56"/>
        </w:numPr>
        <w:rPr>
          <w:color w:val="000000" w:themeColor="text1"/>
          <w:sz w:val="16"/>
          <w:szCs w:val="16"/>
          <w:lang w:eastAsia="en-GB"/>
        </w:rPr>
      </w:pPr>
      <w:r w:rsidRPr="00D6259F">
        <w:rPr>
          <w:color w:val="000000" w:themeColor="text1"/>
          <w:sz w:val="16"/>
          <w:szCs w:val="16"/>
          <w:lang w:eastAsia="en-GB"/>
        </w:rPr>
        <w:t>Statement of Changes in Equity – see p</w:t>
      </w:r>
      <w:r w:rsidR="008C0060" w:rsidRPr="00D6259F">
        <w:rPr>
          <w:color w:val="000000" w:themeColor="text1"/>
          <w:sz w:val="16"/>
          <w:szCs w:val="16"/>
          <w:lang w:eastAsia="en-GB"/>
        </w:rPr>
        <w:t>age</w:t>
      </w:r>
      <w:r w:rsidRPr="00D6259F">
        <w:rPr>
          <w:color w:val="000000" w:themeColor="text1"/>
          <w:sz w:val="16"/>
          <w:szCs w:val="16"/>
          <w:lang w:eastAsia="en-GB"/>
        </w:rPr>
        <w:t xml:space="preserve"> </w:t>
      </w:r>
      <w:r w:rsidR="008B0E35" w:rsidRPr="00D6259F">
        <w:rPr>
          <w:color w:val="000000" w:themeColor="text1"/>
          <w:sz w:val="16"/>
          <w:szCs w:val="16"/>
          <w:lang w:eastAsia="en-GB"/>
        </w:rPr>
        <w:t>81.</w:t>
      </w:r>
    </w:p>
    <w:p w14:paraId="3029B7E3" w14:textId="77777777" w:rsidR="00A92158" w:rsidRPr="00D6259F" w:rsidRDefault="00A92158" w:rsidP="00704FA9">
      <w:pPr>
        <w:rPr>
          <w:color w:val="000000" w:themeColor="text1"/>
        </w:rPr>
      </w:pPr>
      <w:bookmarkStart w:id="36" w:name="_Hlk52194772"/>
    </w:p>
    <w:p w14:paraId="159AB50C" w14:textId="77777777" w:rsidR="00A92158" w:rsidRPr="00D6259F" w:rsidRDefault="00A92158" w:rsidP="00D127B4">
      <w:pPr>
        <w:spacing w:after="0"/>
        <w:rPr>
          <w:color w:val="000000" w:themeColor="text1"/>
        </w:rPr>
      </w:pPr>
    </w:p>
    <w:p w14:paraId="01C00FA9" w14:textId="77777777" w:rsidR="00D127B4" w:rsidRPr="00D6259F" w:rsidRDefault="00D127B4">
      <w:pPr>
        <w:rPr>
          <w:color w:val="000000" w:themeColor="text1"/>
          <w:sz w:val="20"/>
          <w:szCs w:val="20"/>
        </w:rPr>
      </w:pPr>
    </w:p>
    <w:p w14:paraId="30EEA3B3" w14:textId="530D64F8" w:rsidR="00F75685" w:rsidRPr="00D6259F" w:rsidRDefault="00390960">
      <w:pPr>
        <w:rPr>
          <w:color w:val="000000" w:themeColor="text1"/>
        </w:rPr>
      </w:pPr>
      <w:r w:rsidRPr="00D6259F">
        <w:rPr>
          <w:color w:val="000000" w:themeColor="text1"/>
          <w:sz w:val="20"/>
          <w:szCs w:val="20"/>
        </w:rPr>
        <w:t xml:space="preserve">The notes on </w:t>
      </w:r>
      <w:r w:rsidR="006F6060" w:rsidRPr="00D6259F">
        <w:rPr>
          <w:color w:val="000000" w:themeColor="text1"/>
          <w:sz w:val="20"/>
          <w:szCs w:val="20"/>
        </w:rPr>
        <w:t>page</w:t>
      </w:r>
      <w:r w:rsidR="009C1523" w:rsidRPr="00D6259F">
        <w:rPr>
          <w:color w:val="000000" w:themeColor="text1"/>
          <w:sz w:val="20"/>
          <w:szCs w:val="20"/>
        </w:rPr>
        <w:t xml:space="preserve"> </w:t>
      </w:r>
      <w:r w:rsidR="00D127B4" w:rsidRPr="00D6259F">
        <w:rPr>
          <w:color w:val="000000" w:themeColor="text1"/>
          <w:sz w:val="20"/>
          <w:szCs w:val="20"/>
        </w:rPr>
        <w:t>14</w:t>
      </w:r>
      <w:r w:rsidR="00237E17" w:rsidRPr="00D6259F">
        <w:rPr>
          <w:color w:val="000000" w:themeColor="text1"/>
          <w:sz w:val="20"/>
          <w:szCs w:val="20"/>
        </w:rPr>
        <w:t xml:space="preserve"> </w:t>
      </w:r>
      <w:r w:rsidR="00C80DA5" w:rsidRPr="00D6259F">
        <w:rPr>
          <w:color w:val="000000" w:themeColor="text1"/>
          <w:sz w:val="20"/>
          <w:szCs w:val="20"/>
        </w:rPr>
        <w:t xml:space="preserve">to </w:t>
      </w:r>
      <w:r w:rsidR="00D127B4" w:rsidRPr="00D6259F">
        <w:rPr>
          <w:color w:val="000000" w:themeColor="text1"/>
          <w:sz w:val="20"/>
          <w:szCs w:val="20"/>
        </w:rPr>
        <w:t>122</w:t>
      </w:r>
      <w:r w:rsidR="00237E17" w:rsidRPr="00D6259F">
        <w:rPr>
          <w:color w:val="000000" w:themeColor="text1"/>
          <w:sz w:val="20"/>
          <w:szCs w:val="20"/>
        </w:rPr>
        <w:t xml:space="preserve"> </w:t>
      </w:r>
      <w:r w:rsidRPr="00D6259F">
        <w:rPr>
          <w:color w:val="000000" w:themeColor="text1"/>
          <w:sz w:val="20"/>
          <w:szCs w:val="20"/>
        </w:rPr>
        <w:t xml:space="preserve">form part of and should be read in conjunction with the financial </w:t>
      </w:r>
      <w:r w:rsidR="00AE5FAA" w:rsidRPr="00D6259F">
        <w:rPr>
          <w:color w:val="000000" w:themeColor="text1"/>
          <w:sz w:val="20"/>
          <w:szCs w:val="20"/>
        </w:rPr>
        <w:t>statements</w:t>
      </w:r>
      <w:r w:rsidR="00AE5FAA" w:rsidRPr="00D6259F">
        <w:rPr>
          <w:color w:val="000000" w:themeColor="text1"/>
        </w:rPr>
        <w:t>.</w:t>
      </w:r>
      <w:bookmarkStart w:id="37" w:name="_Toc55482641"/>
      <w:r w:rsidR="00F75685" w:rsidRPr="00D6259F">
        <w:rPr>
          <w:rFonts w:cs="Calibri"/>
          <w:color w:val="000000" w:themeColor="text1"/>
          <w:sz w:val="40"/>
          <w:lang w:eastAsia="en-NZ"/>
        </w:rPr>
        <w:br w:type="page"/>
      </w:r>
    </w:p>
    <w:p w14:paraId="7CA1BE54" w14:textId="057692E9" w:rsidR="00D422B1" w:rsidRPr="00D6259F" w:rsidRDefault="00D422B1" w:rsidP="00391BA5">
      <w:pPr>
        <w:pStyle w:val="Heading2"/>
        <w:rPr>
          <w:rFonts w:eastAsiaTheme="minorEastAsia" w:cs="Calibri"/>
          <w:sz w:val="40"/>
          <w:lang w:eastAsia="en-NZ"/>
        </w:rPr>
      </w:pPr>
      <w:bookmarkStart w:id="38" w:name="_Toc179890284"/>
      <w:r w:rsidRPr="00D6259F">
        <w:rPr>
          <w:rFonts w:eastAsiaTheme="minorEastAsia" w:cs="Calibri"/>
          <w:sz w:val="40"/>
          <w:lang w:eastAsia="en-NZ"/>
        </w:rPr>
        <w:lastRenderedPageBreak/>
        <w:t>Statement of Comprehensive Revenue and Expense - Major budget variations</w:t>
      </w:r>
      <w:bookmarkEnd w:id="37"/>
      <w:bookmarkEnd w:id="38"/>
    </w:p>
    <w:p w14:paraId="2EE9869D" w14:textId="0B79DFBA" w:rsidR="008E5583" w:rsidRPr="00D6259F" w:rsidRDefault="008E5583" w:rsidP="008E5583">
      <w:pPr>
        <w:rPr>
          <w:color w:val="000000" w:themeColor="text1"/>
          <w:lang w:eastAsia="en-NZ"/>
        </w:rPr>
      </w:pPr>
      <w:r w:rsidRPr="00D6259F">
        <w:rPr>
          <w:color w:val="000000" w:themeColor="text1"/>
          <w:lang w:eastAsia="en-NZ"/>
        </w:rPr>
        <w:t xml:space="preserve">Budget figures are for </w:t>
      </w:r>
      <w:r w:rsidR="00E20D58" w:rsidRPr="00D6259F">
        <w:rPr>
          <w:color w:val="000000" w:themeColor="text1"/>
          <w:lang w:eastAsia="en-NZ"/>
        </w:rPr>
        <w:t xml:space="preserve">the </w:t>
      </w:r>
      <w:r w:rsidRPr="00D6259F">
        <w:rPr>
          <w:color w:val="000000" w:themeColor="text1"/>
          <w:lang w:eastAsia="en-NZ"/>
        </w:rPr>
        <w:t>Council only and not the</w:t>
      </w:r>
      <w:r w:rsidR="006020F7" w:rsidRPr="00D6259F">
        <w:rPr>
          <w:color w:val="000000" w:themeColor="text1"/>
          <w:lang w:eastAsia="en-NZ"/>
        </w:rPr>
        <w:t xml:space="preserve"> Group</w:t>
      </w:r>
      <w:r w:rsidRPr="00D6259F">
        <w:rPr>
          <w:color w:val="000000" w:themeColor="text1"/>
          <w:lang w:eastAsia="en-NZ"/>
        </w:rPr>
        <w:t>.</w:t>
      </w:r>
    </w:p>
    <w:bookmarkEnd w:id="36"/>
    <w:p w14:paraId="6C7DA304" w14:textId="77777777" w:rsidR="005B757A" w:rsidRPr="00D6259F" w:rsidRDefault="005B757A" w:rsidP="005B757A">
      <w:pPr>
        <w:pStyle w:val="Heading4"/>
      </w:pPr>
      <w:r w:rsidRPr="00D6259F">
        <w:t>Significant variations from budget are as follows:</w:t>
      </w:r>
    </w:p>
    <w:p w14:paraId="008391E3" w14:textId="77777777" w:rsidR="005B757A" w:rsidRPr="00D6259F" w:rsidRDefault="005B757A" w:rsidP="008F275A">
      <w:pPr>
        <w:spacing w:after="0"/>
        <w:rPr>
          <w:color w:val="000000" w:themeColor="text1"/>
        </w:rPr>
      </w:pPr>
    </w:p>
    <w:p w14:paraId="201C3A9E" w14:textId="378CB22C" w:rsidR="008F275A" w:rsidRPr="00D6259F" w:rsidRDefault="008F275A" w:rsidP="008F275A">
      <w:pPr>
        <w:spacing w:after="0"/>
        <w:rPr>
          <w:color w:val="000000" w:themeColor="text1"/>
        </w:rPr>
      </w:pPr>
      <w:r w:rsidRPr="00D6259F">
        <w:rPr>
          <w:color w:val="000000" w:themeColor="text1"/>
        </w:rPr>
        <w:t>Revenues were</w:t>
      </w:r>
      <w:r w:rsidR="009002ED" w:rsidRPr="00D6259F">
        <w:rPr>
          <w:color w:val="000000" w:themeColor="text1"/>
        </w:rPr>
        <w:t xml:space="preserve"> $3.</w:t>
      </w:r>
      <w:r w:rsidR="00A90166" w:rsidRPr="00D6259F">
        <w:rPr>
          <w:color w:val="000000" w:themeColor="text1"/>
        </w:rPr>
        <w:t>3</w:t>
      </w:r>
      <w:r w:rsidR="009002ED" w:rsidRPr="00D6259F">
        <w:rPr>
          <w:color w:val="000000" w:themeColor="text1"/>
        </w:rPr>
        <w:t xml:space="preserve">m higher </w:t>
      </w:r>
      <w:r w:rsidRPr="00D6259F">
        <w:rPr>
          <w:color w:val="000000" w:themeColor="text1"/>
        </w:rPr>
        <w:t xml:space="preserve">than budget. The major variances included: </w:t>
      </w:r>
    </w:p>
    <w:p w14:paraId="28A7B31D" w14:textId="77777777" w:rsidR="009002ED" w:rsidRPr="00D6259F" w:rsidRDefault="009002ED" w:rsidP="008F275A">
      <w:pPr>
        <w:spacing w:after="0"/>
        <w:rPr>
          <w:color w:val="000000" w:themeColor="text1"/>
        </w:rPr>
      </w:pPr>
    </w:p>
    <w:p w14:paraId="324A3917" w14:textId="51AB03A9" w:rsidR="0095057C" w:rsidRPr="00D6259F" w:rsidRDefault="009002ED" w:rsidP="00BB0BEE">
      <w:pPr>
        <w:pStyle w:val="ListParagraph"/>
        <w:numPr>
          <w:ilvl w:val="0"/>
          <w:numId w:val="42"/>
        </w:numPr>
        <w:spacing w:after="0"/>
        <w:rPr>
          <w:color w:val="000000" w:themeColor="text1"/>
        </w:rPr>
      </w:pPr>
      <w:r w:rsidRPr="00D6259F">
        <w:rPr>
          <w:color w:val="000000" w:themeColor="text1"/>
        </w:rPr>
        <w:t xml:space="preserve">Grants, </w:t>
      </w:r>
      <w:proofErr w:type="gramStart"/>
      <w:r w:rsidRPr="00D6259F">
        <w:rPr>
          <w:color w:val="000000" w:themeColor="text1"/>
        </w:rPr>
        <w:t>subsidies</w:t>
      </w:r>
      <w:proofErr w:type="gramEnd"/>
      <w:r w:rsidRPr="00D6259F">
        <w:rPr>
          <w:color w:val="000000" w:themeColor="text1"/>
        </w:rPr>
        <w:t xml:space="preserve"> and reimbursements were $46.6m lower than budget. This is primarily due t</w:t>
      </w:r>
      <w:r w:rsidR="004132F6" w:rsidRPr="00D6259F">
        <w:rPr>
          <w:color w:val="000000" w:themeColor="text1"/>
        </w:rPr>
        <w:t xml:space="preserve">o grant revenue </w:t>
      </w:r>
      <w:r w:rsidR="001E16BB" w:rsidRPr="00D6259F">
        <w:rPr>
          <w:color w:val="000000" w:themeColor="text1"/>
        </w:rPr>
        <w:t xml:space="preserve">from Sludge Finance LP </w:t>
      </w:r>
      <w:r w:rsidR="0095057C" w:rsidRPr="00D6259F">
        <w:rPr>
          <w:color w:val="000000" w:themeColor="text1"/>
        </w:rPr>
        <w:t>being $48</w:t>
      </w:r>
      <w:r w:rsidR="00145404" w:rsidRPr="00D6259F">
        <w:rPr>
          <w:color w:val="000000" w:themeColor="text1"/>
        </w:rPr>
        <w:t>.0</w:t>
      </w:r>
      <w:r w:rsidR="0095057C" w:rsidRPr="00D6259F">
        <w:rPr>
          <w:color w:val="000000" w:themeColor="text1"/>
        </w:rPr>
        <w:t xml:space="preserve">m below budget for </w:t>
      </w:r>
      <w:r w:rsidR="004132F6" w:rsidRPr="00D6259F">
        <w:rPr>
          <w:color w:val="000000" w:themeColor="text1"/>
        </w:rPr>
        <w:t xml:space="preserve">the construction of </w:t>
      </w:r>
      <w:r w:rsidR="008C26CA" w:rsidRPr="00D6259F">
        <w:rPr>
          <w:color w:val="000000" w:themeColor="text1"/>
        </w:rPr>
        <w:t>Te Whare Wai Para Nuku, the Sludge Minimisation Facility (SMF) located at Moa Point</w:t>
      </w:r>
      <w:r w:rsidR="0095057C" w:rsidRPr="00D6259F">
        <w:rPr>
          <w:color w:val="000000" w:themeColor="text1"/>
        </w:rPr>
        <w:t xml:space="preserve">. </w:t>
      </w:r>
      <w:r w:rsidR="008C26CA" w:rsidRPr="00D6259F">
        <w:rPr>
          <w:color w:val="000000" w:themeColor="text1"/>
        </w:rPr>
        <w:t>Timing of s</w:t>
      </w:r>
      <w:r w:rsidR="0095057C" w:rsidRPr="00D6259F">
        <w:rPr>
          <w:color w:val="000000" w:themeColor="text1"/>
        </w:rPr>
        <w:t>pend on th</w:t>
      </w:r>
      <w:r w:rsidR="008C26CA" w:rsidRPr="00D6259F">
        <w:rPr>
          <w:color w:val="000000" w:themeColor="text1"/>
        </w:rPr>
        <w:t>is</w:t>
      </w:r>
      <w:r w:rsidR="0095057C" w:rsidRPr="00D6259F">
        <w:rPr>
          <w:color w:val="000000" w:themeColor="text1"/>
        </w:rPr>
        <w:t xml:space="preserve"> capital project is be</w:t>
      </w:r>
      <w:r w:rsidR="008C26CA" w:rsidRPr="00D6259F">
        <w:rPr>
          <w:color w:val="000000" w:themeColor="text1"/>
        </w:rPr>
        <w:t>hind</w:t>
      </w:r>
      <w:r w:rsidR="0095057C" w:rsidRPr="00D6259F">
        <w:rPr>
          <w:color w:val="000000" w:themeColor="text1"/>
        </w:rPr>
        <w:t xml:space="preserve"> budget and</w:t>
      </w:r>
      <w:r w:rsidR="008C26CA" w:rsidRPr="00D6259F">
        <w:rPr>
          <w:color w:val="000000" w:themeColor="text1"/>
        </w:rPr>
        <w:t xml:space="preserve"> so the associated grant revenue is to</w:t>
      </w:r>
      <w:r w:rsidR="00707964" w:rsidRPr="00D6259F">
        <w:rPr>
          <w:color w:val="000000" w:themeColor="text1"/>
        </w:rPr>
        <w:t>o</w:t>
      </w:r>
      <w:r w:rsidR="008C26CA" w:rsidRPr="00D6259F">
        <w:rPr>
          <w:color w:val="000000" w:themeColor="text1"/>
        </w:rPr>
        <w:t>.</w:t>
      </w:r>
      <w:r w:rsidR="0095057C" w:rsidRPr="00D6259F">
        <w:rPr>
          <w:color w:val="000000" w:themeColor="text1"/>
        </w:rPr>
        <w:t xml:space="preserve"> </w:t>
      </w:r>
    </w:p>
    <w:p w14:paraId="329A6557" w14:textId="6E578643" w:rsidR="009002ED" w:rsidRPr="00D6259F" w:rsidRDefault="009002ED" w:rsidP="00BB0BEE">
      <w:pPr>
        <w:pStyle w:val="ListParagraph"/>
        <w:numPr>
          <w:ilvl w:val="0"/>
          <w:numId w:val="42"/>
        </w:numPr>
        <w:spacing w:after="0"/>
        <w:rPr>
          <w:color w:val="000000" w:themeColor="text1"/>
        </w:rPr>
      </w:pPr>
      <w:r w:rsidRPr="00D6259F">
        <w:rPr>
          <w:color w:val="000000" w:themeColor="text1"/>
        </w:rPr>
        <w:t>Vested assets and other revenue were $34.</w:t>
      </w:r>
      <w:r w:rsidR="00EF48FA" w:rsidRPr="00D6259F">
        <w:rPr>
          <w:color w:val="000000" w:themeColor="text1"/>
        </w:rPr>
        <w:t>7</w:t>
      </w:r>
      <w:r w:rsidRPr="00D6259F">
        <w:rPr>
          <w:color w:val="000000" w:themeColor="text1"/>
        </w:rPr>
        <w:t xml:space="preserve">m higher than budget. During the year we recognised vested asset revenue of $33.6m largely in relation to </w:t>
      </w:r>
      <w:r w:rsidR="008C26CA" w:rsidRPr="00D6259F">
        <w:rPr>
          <w:color w:val="000000" w:themeColor="text1"/>
        </w:rPr>
        <w:t xml:space="preserve">three </w:t>
      </w:r>
      <w:r w:rsidRPr="00D6259F">
        <w:rPr>
          <w:color w:val="000000" w:themeColor="text1"/>
        </w:rPr>
        <w:t xml:space="preserve">water assets </w:t>
      </w:r>
      <w:r w:rsidR="008C26CA" w:rsidRPr="00D6259F">
        <w:rPr>
          <w:color w:val="000000" w:themeColor="text1"/>
        </w:rPr>
        <w:t xml:space="preserve">from new subdivisions </w:t>
      </w:r>
      <w:r w:rsidRPr="00D6259F">
        <w:rPr>
          <w:color w:val="000000" w:themeColor="text1"/>
        </w:rPr>
        <w:t xml:space="preserve">and roading assets from the Let’s Get Wellington Moving partnership. Vested asset revenue is not budgeted for.  </w:t>
      </w:r>
    </w:p>
    <w:p w14:paraId="6DE10272" w14:textId="45DDFF29" w:rsidR="00EF48FA" w:rsidRPr="00D6259F" w:rsidRDefault="00EF48FA" w:rsidP="00BB0BEE">
      <w:pPr>
        <w:pStyle w:val="ListParagraph"/>
        <w:numPr>
          <w:ilvl w:val="0"/>
          <w:numId w:val="42"/>
        </w:numPr>
        <w:spacing w:after="0"/>
        <w:rPr>
          <w:color w:val="000000" w:themeColor="text1"/>
        </w:rPr>
      </w:pPr>
      <w:r w:rsidRPr="00D6259F">
        <w:rPr>
          <w:color w:val="000000" w:themeColor="text1"/>
        </w:rPr>
        <w:t>Fair value movement gains were $12.4m lower than budget. The budget assumed a $1</w:t>
      </w:r>
      <w:r w:rsidR="00A77852" w:rsidRPr="00D6259F">
        <w:rPr>
          <w:color w:val="000000" w:themeColor="text1"/>
        </w:rPr>
        <w:t>3.9</w:t>
      </w:r>
      <w:r w:rsidRPr="00D6259F">
        <w:rPr>
          <w:color w:val="000000" w:themeColor="text1"/>
        </w:rPr>
        <w:t xml:space="preserve">m </w:t>
      </w:r>
      <w:r w:rsidR="008C26CA" w:rsidRPr="00D6259F">
        <w:rPr>
          <w:color w:val="000000" w:themeColor="text1"/>
        </w:rPr>
        <w:t xml:space="preserve">fair value </w:t>
      </w:r>
      <w:r w:rsidRPr="00D6259F">
        <w:rPr>
          <w:color w:val="000000" w:themeColor="text1"/>
        </w:rPr>
        <w:t xml:space="preserve">increase in investment properties </w:t>
      </w:r>
      <w:r w:rsidR="009A569A" w:rsidRPr="00D6259F">
        <w:rPr>
          <w:color w:val="000000" w:themeColor="text1"/>
        </w:rPr>
        <w:t xml:space="preserve">from the annual revaluation. </w:t>
      </w:r>
      <w:r w:rsidR="008C26CA" w:rsidRPr="00D6259F">
        <w:rPr>
          <w:color w:val="000000" w:themeColor="text1"/>
        </w:rPr>
        <w:t>The actual result was a decrease in fair value of $20.4m</w:t>
      </w:r>
    </w:p>
    <w:p w14:paraId="4D7796A8" w14:textId="2FB5A1BD" w:rsidR="008F275A" w:rsidRPr="00D6259F" w:rsidRDefault="005F450D" w:rsidP="00BB0BEE">
      <w:pPr>
        <w:pStyle w:val="ListParagraph"/>
        <w:numPr>
          <w:ilvl w:val="0"/>
          <w:numId w:val="42"/>
        </w:numPr>
        <w:spacing w:after="0"/>
        <w:rPr>
          <w:color w:val="000000" w:themeColor="text1"/>
        </w:rPr>
      </w:pPr>
      <w:r w:rsidRPr="00D6259F">
        <w:rPr>
          <w:color w:val="000000" w:themeColor="text1"/>
        </w:rPr>
        <w:t xml:space="preserve">Finance revenue was $17.4m higher than budget. This is due to unbudgeted interest revenue of $17.0m. </w:t>
      </w:r>
      <w:r w:rsidR="008C26CA" w:rsidRPr="00D6259F">
        <w:rPr>
          <w:color w:val="000000" w:themeColor="text1"/>
        </w:rPr>
        <w:t xml:space="preserve">The net interest expense was $0.4m lower than budget. </w:t>
      </w:r>
      <w:r w:rsidRPr="00D6259F">
        <w:rPr>
          <w:color w:val="000000" w:themeColor="text1"/>
        </w:rPr>
        <w:t xml:space="preserve">In the budget, </w:t>
      </w:r>
      <w:r w:rsidR="00EF48FA" w:rsidRPr="00D6259F">
        <w:rPr>
          <w:color w:val="000000" w:themeColor="text1"/>
        </w:rPr>
        <w:t xml:space="preserve">only </w:t>
      </w:r>
      <w:r w:rsidRPr="00D6259F">
        <w:rPr>
          <w:color w:val="000000" w:themeColor="text1"/>
        </w:rPr>
        <w:t xml:space="preserve">net interest </w:t>
      </w:r>
      <w:r w:rsidR="008C26CA" w:rsidRPr="00D6259F">
        <w:rPr>
          <w:color w:val="000000" w:themeColor="text1"/>
        </w:rPr>
        <w:t>expense</w:t>
      </w:r>
      <w:r w:rsidRPr="00D6259F">
        <w:rPr>
          <w:color w:val="000000" w:themeColor="text1"/>
        </w:rPr>
        <w:t xml:space="preserve"> </w:t>
      </w:r>
      <w:proofErr w:type="gramStart"/>
      <w:r w:rsidRPr="00D6259F">
        <w:rPr>
          <w:color w:val="000000" w:themeColor="text1"/>
        </w:rPr>
        <w:t>are</w:t>
      </w:r>
      <w:proofErr w:type="gramEnd"/>
      <w:r w:rsidRPr="00D6259F">
        <w:rPr>
          <w:color w:val="000000" w:themeColor="text1"/>
        </w:rPr>
        <w:t xml:space="preserve"> recorded under finance expense.     </w:t>
      </w:r>
      <w:r w:rsidR="008F275A" w:rsidRPr="00D6259F">
        <w:rPr>
          <w:color w:val="000000" w:themeColor="text1"/>
        </w:rPr>
        <w:t xml:space="preserve"> </w:t>
      </w:r>
    </w:p>
    <w:p w14:paraId="7FDB8E02" w14:textId="77777777" w:rsidR="008F275A" w:rsidRPr="00D6259F" w:rsidRDefault="008F275A" w:rsidP="008F275A">
      <w:pPr>
        <w:pStyle w:val="ListParagraph"/>
        <w:spacing w:after="0"/>
        <w:rPr>
          <w:color w:val="000000" w:themeColor="text1"/>
        </w:rPr>
      </w:pPr>
    </w:p>
    <w:p w14:paraId="24E3E0E8" w14:textId="1D82AF3C" w:rsidR="008F275A" w:rsidRPr="00D6259F" w:rsidRDefault="008F275A" w:rsidP="008F275A">
      <w:pPr>
        <w:spacing w:after="0"/>
        <w:rPr>
          <w:color w:val="000000" w:themeColor="text1"/>
        </w:rPr>
      </w:pPr>
      <w:r w:rsidRPr="00D6259F">
        <w:rPr>
          <w:color w:val="000000" w:themeColor="text1"/>
        </w:rPr>
        <w:t>Expenses were</w:t>
      </w:r>
      <w:r w:rsidR="005F450D" w:rsidRPr="00D6259F">
        <w:rPr>
          <w:color w:val="000000" w:themeColor="text1"/>
        </w:rPr>
        <w:t xml:space="preserve"> $59.</w:t>
      </w:r>
      <w:r w:rsidR="00A90166" w:rsidRPr="00D6259F">
        <w:rPr>
          <w:color w:val="000000" w:themeColor="text1"/>
        </w:rPr>
        <w:t>5</w:t>
      </w:r>
      <w:r w:rsidR="005F450D" w:rsidRPr="00D6259F">
        <w:rPr>
          <w:color w:val="000000" w:themeColor="text1"/>
        </w:rPr>
        <w:t xml:space="preserve">m higher </w:t>
      </w:r>
      <w:r w:rsidRPr="00D6259F">
        <w:rPr>
          <w:color w:val="000000" w:themeColor="text1"/>
        </w:rPr>
        <w:t xml:space="preserve">than budget. The major variances included: </w:t>
      </w:r>
    </w:p>
    <w:p w14:paraId="388AB6F3" w14:textId="77777777" w:rsidR="005F450D" w:rsidRPr="00D6259F" w:rsidRDefault="005F450D" w:rsidP="005F450D">
      <w:pPr>
        <w:spacing w:after="0"/>
        <w:ind w:left="360"/>
        <w:rPr>
          <w:color w:val="000000" w:themeColor="text1"/>
        </w:rPr>
      </w:pPr>
    </w:p>
    <w:p w14:paraId="34D8F0A9" w14:textId="1E0C4563" w:rsidR="00A01820" w:rsidRPr="00D6259F" w:rsidRDefault="005F450D" w:rsidP="00BB0BEE">
      <w:pPr>
        <w:pStyle w:val="ListParagraph"/>
        <w:numPr>
          <w:ilvl w:val="0"/>
          <w:numId w:val="49"/>
        </w:numPr>
        <w:spacing w:after="0"/>
        <w:rPr>
          <w:color w:val="000000" w:themeColor="text1"/>
        </w:rPr>
      </w:pPr>
      <w:r w:rsidRPr="00D6259F">
        <w:rPr>
          <w:color w:val="000000" w:themeColor="text1"/>
        </w:rPr>
        <w:t xml:space="preserve">Fair value movement losses were $20.4m higher than budget. </w:t>
      </w:r>
      <w:r w:rsidR="00A01820" w:rsidRPr="00D6259F">
        <w:rPr>
          <w:color w:val="000000" w:themeColor="text1"/>
        </w:rPr>
        <w:t>This is due to investment property revaluation decreases</w:t>
      </w:r>
      <w:r w:rsidR="003C14A8" w:rsidRPr="00D6259F">
        <w:rPr>
          <w:color w:val="000000" w:themeColor="text1"/>
        </w:rPr>
        <w:t xml:space="preserve"> of $20.4m. As noted above, the budget assumed a fair value increase in</w:t>
      </w:r>
      <w:r w:rsidR="00F00BA2" w:rsidRPr="00D6259F">
        <w:rPr>
          <w:color w:val="000000" w:themeColor="text1"/>
        </w:rPr>
        <w:t xml:space="preserve"> </w:t>
      </w:r>
      <w:r w:rsidR="003C14A8" w:rsidRPr="00D6259F">
        <w:rPr>
          <w:color w:val="000000" w:themeColor="text1"/>
        </w:rPr>
        <w:t xml:space="preserve">investment properties. </w:t>
      </w:r>
      <w:r w:rsidR="00A01820" w:rsidRPr="00D6259F">
        <w:rPr>
          <w:color w:val="000000" w:themeColor="text1"/>
        </w:rPr>
        <w:t xml:space="preserve"> </w:t>
      </w:r>
    </w:p>
    <w:p w14:paraId="45250773" w14:textId="40AB3578" w:rsidR="008F275D" w:rsidRPr="00D6259F" w:rsidRDefault="008F275D" w:rsidP="00BB0BEE">
      <w:pPr>
        <w:pStyle w:val="ListParagraph"/>
        <w:numPr>
          <w:ilvl w:val="0"/>
          <w:numId w:val="49"/>
        </w:numPr>
        <w:spacing w:after="0"/>
        <w:rPr>
          <w:color w:val="000000" w:themeColor="text1"/>
        </w:rPr>
      </w:pPr>
      <w:r w:rsidRPr="00D6259F">
        <w:rPr>
          <w:color w:val="000000" w:themeColor="text1"/>
        </w:rPr>
        <w:t>Finance expenses were $17</w:t>
      </w:r>
      <w:r w:rsidR="0013315C" w:rsidRPr="00D6259F">
        <w:rPr>
          <w:color w:val="000000" w:themeColor="text1"/>
        </w:rPr>
        <w:t>.0</w:t>
      </w:r>
      <w:r w:rsidRPr="00D6259F">
        <w:rPr>
          <w:color w:val="000000" w:themeColor="text1"/>
        </w:rPr>
        <w:t xml:space="preserve">m higher than budget. As noted above, </w:t>
      </w:r>
      <w:r w:rsidR="00EF48FA" w:rsidRPr="00D6259F">
        <w:rPr>
          <w:color w:val="000000" w:themeColor="text1"/>
        </w:rPr>
        <w:t xml:space="preserve">only </w:t>
      </w:r>
      <w:r w:rsidRPr="00D6259F">
        <w:rPr>
          <w:color w:val="000000" w:themeColor="text1"/>
        </w:rPr>
        <w:t>net interest costs are budgeted under finance expense</w:t>
      </w:r>
      <w:r w:rsidR="0004187E" w:rsidRPr="00D6259F">
        <w:rPr>
          <w:color w:val="000000" w:themeColor="text1"/>
        </w:rPr>
        <w:t xml:space="preserve"> and actual net interest </w:t>
      </w:r>
      <w:r w:rsidR="008C26CA" w:rsidRPr="00D6259F">
        <w:rPr>
          <w:color w:val="000000" w:themeColor="text1"/>
        </w:rPr>
        <w:t>expense was $0.4m lower than budget</w:t>
      </w:r>
      <w:r w:rsidRPr="00D6259F">
        <w:rPr>
          <w:color w:val="000000" w:themeColor="text1"/>
        </w:rPr>
        <w:t xml:space="preserve">. </w:t>
      </w:r>
    </w:p>
    <w:p w14:paraId="1F6207AF" w14:textId="5E31A195" w:rsidR="002D6494" w:rsidRPr="00D6259F" w:rsidRDefault="008F275D" w:rsidP="00BB0BEE">
      <w:pPr>
        <w:pStyle w:val="ListParagraph"/>
        <w:numPr>
          <w:ilvl w:val="0"/>
          <w:numId w:val="49"/>
        </w:numPr>
        <w:spacing w:after="0"/>
        <w:rPr>
          <w:color w:val="000000" w:themeColor="text1"/>
        </w:rPr>
      </w:pPr>
      <w:r w:rsidRPr="00D6259F">
        <w:rPr>
          <w:color w:val="000000" w:themeColor="text1"/>
        </w:rPr>
        <w:t>Depreciation and amortisation expenses were $14.6m higher than budget.</w:t>
      </w:r>
      <w:r w:rsidR="0004187E" w:rsidRPr="00D6259F">
        <w:rPr>
          <w:color w:val="000000" w:themeColor="text1"/>
        </w:rPr>
        <w:t xml:space="preserve"> This is primarily due to</w:t>
      </w:r>
      <w:r w:rsidR="00145404" w:rsidRPr="00D6259F">
        <w:rPr>
          <w:color w:val="000000" w:themeColor="text1"/>
        </w:rPr>
        <w:t xml:space="preserve"> higher actual depreciation compared to the budget which was based on different assumptions </w:t>
      </w:r>
      <w:r w:rsidR="00EE1C57" w:rsidRPr="00D6259F">
        <w:rPr>
          <w:color w:val="000000" w:themeColor="text1"/>
        </w:rPr>
        <w:t xml:space="preserve">for </w:t>
      </w:r>
      <w:r w:rsidR="00145404" w:rsidRPr="00D6259F">
        <w:rPr>
          <w:color w:val="000000" w:themeColor="text1"/>
        </w:rPr>
        <w:t xml:space="preserve">asset valuations, useful </w:t>
      </w:r>
      <w:proofErr w:type="gramStart"/>
      <w:r w:rsidR="00145404" w:rsidRPr="00D6259F">
        <w:rPr>
          <w:color w:val="000000" w:themeColor="text1"/>
        </w:rPr>
        <w:t>lives</w:t>
      </w:r>
      <w:proofErr w:type="gramEnd"/>
      <w:r w:rsidR="00145404" w:rsidRPr="00D6259F">
        <w:rPr>
          <w:color w:val="000000" w:themeColor="text1"/>
        </w:rPr>
        <w:t xml:space="preserve"> and timing of capitalising work in progress. </w:t>
      </w:r>
      <w:r w:rsidR="00F00BA2" w:rsidRPr="00D6259F">
        <w:rPr>
          <w:rFonts w:eastAsia="Times New Roman"/>
          <w:color w:val="000000" w:themeColor="text1"/>
        </w:rPr>
        <w:t> </w:t>
      </w:r>
      <w:r w:rsidR="0039193C" w:rsidRPr="00D6259F">
        <w:rPr>
          <w:rFonts w:eastAsia="Times New Roman"/>
          <w:color w:val="000000" w:themeColor="text1"/>
        </w:rPr>
        <w:t xml:space="preserve"> </w:t>
      </w:r>
      <w:r w:rsidR="00815F01" w:rsidRPr="00D6259F">
        <w:rPr>
          <w:rFonts w:eastAsia="Times New Roman"/>
          <w:color w:val="000000" w:themeColor="text1"/>
        </w:rPr>
        <w:t xml:space="preserve"> </w:t>
      </w:r>
      <w:r w:rsidRPr="00D6259F">
        <w:rPr>
          <w:color w:val="000000" w:themeColor="text1"/>
        </w:rPr>
        <w:t xml:space="preserve">     </w:t>
      </w:r>
    </w:p>
    <w:p w14:paraId="65D78BF0" w14:textId="77777777" w:rsidR="0004187E" w:rsidRPr="00D6259F" w:rsidRDefault="0004187E" w:rsidP="0004187E">
      <w:pPr>
        <w:spacing w:after="0"/>
        <w:ind w:left="360"/>
        <w:rPr>
          <w:color w:val="000000" w:themeColor="text1"/>
        </w:rPr>
      </w:pPr>
    </w:p>
    <w:p w14:paraId="0DC70F91" w14:textId="427D4049" w:rsidR="008F275A" w:rsidRPr="00D6259F" w:rsidRDefault="008F275A" w:rsidP="008F275A">
      <w:pPr>
        <w:spacing w:after="0"/>
        <w:rPr>
          <w:color w:val="000000" w:themeColor="text1"/>
        </w:rPr>
      </w:pPr>
      <w:r w:rsidRPr="00D6259F">
        <w:rPr>
          <w:color w:val="000000" w:themeColor="text1"/>
        </w:rPr>
        <w:t>Other comprehensive revenue and expense</w:t>
      </w:r>
      <w:r w:rsidR="009C7A8D" w:rsidRPr="00D6259F">
        <w:rPr>
          <w:color w:val="000000" w:themeColor="text1"/>
        </w:rPr>
        <w:t xml:space="preserve"> was</w:t>
      </w:r>
      <w:r w:rsidRPr="00D6259F">
        <w:rPr>
          <w:color w:val="000000" w:themeColor="text1"/>
        </w:rPr>
        <w:t xml:space="preserve"> </w:t>
      </w:r>
      <w:r w:rsidR="0004187E" w:rsidRPr="00D6259F">
        <w:rPr>
          <w:color w:val="000000" w:themeColor="text1"/>
        </w:rPr>
        <w:t>$</w:t>
      </w:r>
      <w:r w:rsidR="00837EF0" w:rsidRPr="00D6259F">
        <w:rPr>
          <w:color w:val="000000" w:themeColor="text1"/>
        </w:rPr>
        <w:t>706.3</w:t>
      </w:r>
      <w:r w:rsidR="0004187E" w:rsidRPr="00D6259F">
        <w:rPr>
          <w:color w:val="000000" w:themeColor="text1"/>
        </w:rPr>
        <w:t xml:space="preserve">m higher than </w:t>
      </w:r>
      <w:r w:rsidRPr="00D6259F">
        <w:rPr>
          <w:color w:val="000000" w:themeColor="text1"/>
        </w:rPr>
        <w:t xml:space="preserve">budget. The major variances included:  </w:t>
      </w:r>
    </w:p>
    <w:p w14:paraId="11023952" w14:textId="77777777" w:rsidR="0004187E" w:rsidRPr="00D6259F" w:rsidRDefault="0004187E" w:rsidP="008F275A">
      <w:pPr>
        <w:spacing w:after="0"/>
        <w:rPr>
          <w:color w:val="000000" w:themeColor="text1"/>
        </w:rPr>
      </w:pPr>
    </w:p>
    <w:p w14:paraId="56871A8E" w14:textId="15FF2751" w:rsidR="0061099D" w:rsidRPr="00D6259F" w:rsidRDefault="00091FDD" w:rsidP="00BB0BEE">
      <w:pPr>
        <w:pStyle w:val="ListParagraph"/>
        <w:numPr>
          <w:ilvl w:val="0"/>
          <w:numId w:val="42"/>
        </w:numPr>
        <w:rPr>
          <w:color w:val="000000" w:themeColor="text1"/>
        </w:rPr>
      </w:pPr>
      <w:r w:rsidRPr="00D6259F">
        <w:rPr>
          <w:color w:val="000000" w:themeColor="text1"/>
        </w:rPr>
        <w:t xml:space="preserve">Fair value movement gains of </w:t>
      </w:r>
      <w:r w:rsidR="0004187E" w:rsidRPr="00D6259F">
        <w:rPr>
          <w:color w:val="000000" w:themeColor="text1"/>
        </w:rPr>
        <w:t>$</w:t>
      </w:r>
      <w:r w:rsidR="00837EF0" w:rsidRPr="00D6259F">
        <w:rPr>
          <w:color w:val="000000" w:themeColor="text1"/>
        </w:rPr>
        <w:t>713.8</w:t>
      </w:r>
      <w:r w:rsidR="0004187E" w:rsidRPr="00D6259F">
        <w:rPr>
          <w:color w:val="000000" w:themeColor="text1"/>
        </w:rPr>
        <w:t xml:space="preserve">m largely due to </w:t>
      </w:r>
      <w:r w:rsidR="00EE1C57" w:rsidRPr="00D6259F">
        <w:rPr>
          <w:color w:val="000000" w:themeColor="text1"/>
        </w:rPr>
        <w:t xml:space="preserve">the </w:t>
      </w:r>
      <w:r w:rsidR="0004187E" w:rsidRPr="00D6259F">
        <w:rPr>
          <w:color w:val="000000" w:themeColor="text1"/>
        </w:rPr>
        <w:t xml:space="preserve">revaluation of </w:t>
      </w:r>
      <w:r w:rsidR="008C26CA" w:rsidRPr="00D6259F">
        <w:rPr>
          <w:color w:val="000000" w:themeColor="text1"/>
        </w:rPr>
        <w:t xml:space="preserve">infrastructure </w:t>
      </w:r>
      <w:r w:rsidR="0004187E" w:rsidRPr="00D6259F">
        <w:rPr>
          <w:color w:val="000000" w:themeColor="text1"/>
        </w:rPr>
        <w:t xml:space="preserve">assets. </w:t>
      </w:r>
      <w:r w:rsidR="008010CA" w:rsidRPr="00D6259F">
        <w:rPr>
          <w:color w:val="000000" w:themeColor="text1"/>
        </w:rPr>
        <w:t xml:space="preserve">This was not </w:t>
      </w:r>
      <w:r w:rsidR="0004187E" w:rsidRPr="00D6259F">
        <w:rPr>
          <w:color w:val="000000" w:themeColor="text1"/>
        </w:rPr>
        <w:t>budget</w:t>
      </w:r>
      <w:r w:rsidR="008010CA" w:rsidRPr="00D6259F">
        <w:rPr>
          <w:color w:val="000000" w:themeColor="text1"/>
        </w:rPr>
        <w:t>ed</w:t>
      </w:r>
      <w:r w:rsidR="0004187E" w:rsidRPr="00D6259F">
        <w:rPr>
          <w:color w:val="000000" w:themeColor="text1"/>
        </w:rPr>
        <w:t xml:space="preserve"> for </w:t>
      </w:r>
      <w:r w:rsidR="0013315C" w:rsidRPr="00D6259F">
        <w:rPr>
          <w:color w:val="000000" w:themeColor="text1"/>
        </w:rPr>
        <w:t xml:space="preserve">since the revaluations were completed </w:t>
      </w:r>
      <w:r w:rsidR="008010CA" w:rsidRPr="00D6259F">
        <w:rPr>
          <w:color w:val="000000" w:themeColor="text1"/>
        </w:rPr>
        <w:t xml:space="preserve">in year 2 </w:t>
      </w:r>
      <w:r w:rsidR="008C26CA" w:rsidRPr="00D6259F">
        <w:rPr>
          <w:color w:val="000000" w:themeColor="text1"/>
        </w:rPr>
        <w:t xml:space="preserve">of </w:t>
      </w:r>
      <w:r w:rsidR="0013315C" w:rsidRPr="00D6259F">
        <w:rPr>
          <w:color w:val="000000" w:themeColor="text1"/>
        </w:rPr>
        <w:t>the normal 3-year</w:t>
      </w:r>
      <w:r w:rsidR="008C26CA" w:rsidRPr="00D6259F">
        <w:rPr>
          <w:color w:val="000000" w:themeColor="text1"/>
        </w:rPr>
        <w:t>ly</w:t>
      </w:r>
      <w:r w:rsidR="0013315C" w:rsidRPr="00D6259F">
        <w:rPr>
          <w:color w:val="000000" w:themeColor="text1"/>
        </w:rPr>
        <w:t xml:space="preserve"> cycle</w:t>
      </w:r>
      <w:r w:rsidR="008010CA" w:rsidRPr="00D6259F">
        <w:rPr>
          <w:color w:val="000000" w:themeColor="text1"/>
        </w:rPr>
        <w:t xml:space="preserve"> (refer note 19)</w:t>
      </w:r>
      <w:r w:rsidR="0004187E" w:rsidRPr="00D6259F">
        <w:rPr>
          <w:color w:val="000000" w:themeColor="text1"/>
        </w:rPr>
        <w:t xml:space="preserve">. </w:t>
      </w:r>
    </w:p>
    <w:p w14:paraId="5C652610" w14:textId="4B517A95" w:rsidR="0004187E" w:rsidRPr="00D6259F" w:rsidRDefault="00091FDD" w:rsidP="00BB0BEE">
      <w:pPr>
        <w:pStyle w:val="ListParagraph"/>
        <w:numPr>
          <w:ilvl w:val="0"/>
          <w:numId w:val="42"/>
        </w:numPr>
        <w:rPr>
          <w:color w:val="000000" w:themeColor="text1"/>
        </w:rPr>
      </w:pPr>
      <w:r w:rsidRPr="00D6259F">
        <w:rPr>
          <w:color w:val="000000" w:themeColor="text1"/>
        </w:rPr>
        <w:t>Cash flow hedge reserve m</w:t>
      </w:r>
      <w:r w:rsidR="00CA0826" w:rsidRPr="00D6259F">
        <w:rPr>
          <w:color w:val="000000" w:themeColor="text1"/>
        </w:rPr>
        <w:t xml:space="preserve">ovements of </w:t>
      </w:r>
      <w:r w:rsidR="00374C03" w:rsidRPr="00D6259F">
        <w:rPr>
          <w:color w:val="000000" w:themeColor="text1"/>
        </w:rPr>
        <w:t>$</w:t>
      </w:r>
      <w:r w:rsidR="000F1A69" w:rsidRPr="00D6259F">
        <w:rPr>
          <w:color w:val="000000" w:themeColor="text1"/>
        </w:rPr>
        <w:t>7.9</w:t>
      </w:r>
      <w:r w:rsidR="00374C03" w:rsidRPr="00D6259F">
        <w:rPr>
          <w:color w:val="000000" w:themeColor="text1"/>
        </w:rPr>
        <w:t xml:space="preserve">m </w:t>
      </w:r>
      <w:r w:rsidR="00CA0826" w:rsidRPr="00D6259F">
        <w:rPr>
          <w:color w:val="000000" w:themeColor="text1"/>
        </w:rPr>
        <w:t xml:space="preserve">largely comprising </w:t>
      </w:r>
      <w:r w:rsidR="00374C03" w:rsidRPr="00D6259F">
        <w:rPr>
          <w:color w:val="000000" w:themeColor="text1"/>
        </w:rPr>
        <w:t xml:space="preserve">fair value losses on cash flow hedges due to movements in floating interest rates. </w:t>
      </w:r>
      <w:r w:rsidRPr="00D6259F">
        <w:rPr>
          <w:color w:val="000000" w:themeColor="text1"/>
        </w:rPr>
        <w:t xml:space="preserve">Cash flow hedge movements </w:t>
      </w:r>
      <w:r w:rsidR="00FE030D" w:rsidRPr="00D6259F">
        <w:rPr>
          <w:color w:val="000000" w:themeColor="text1"/>
        </w:rPr>
        <w:t>are</w:t>
      </w:r>
      <w:r w:rsidRPr="00D6259F">
        <w:rPr>
          <w:color w:val="000000" w:themeColor="text1"/>
        </w:rPr>
        <w:t xml:space="preserve"> not budgeted for</w:t>
      </w:r>
      <w:r w:rsidR="00374C03" w:rsidRPr="00D6259F">
        <w:rPr>
          <w:color w:val="000000" w:themeColor="text1"/>
        </w:rPr>
        <w:t xml:space="preserve">. </w:t>
      </w:r>
    </w:p>
    <w:p w14:paraId="72CE3643" w14:textId="77777777" w:rsidR="004345BB" w:rsidRPr="00D6259F" w:rsidRDefault="004345BB" w:rsidP="00704FA9">
      <w:pPr>
        <w:rPr>
          <w:color w:val="000000" w:themeColor="text1"/>
        </w:rPr>
      </w:pPr>
    </w:p>
    <w:p w14:paraId="1D6EFA19" w14:textId="77777777" w:rsidR="00D422B1" w:rsidRPr="00D6259F" w:rsidRDefault="00D422B1" w:rsidP="006B2295">
      <w:pPr>
        <w:pStyle w:val="Heading2"/>
      </w:pPr>
      <w:bookmarkStart w:id="39" w:name="_Toc55482642"/>
      <w:bookmarkStart w:id="40" w:name="_Toc179890285"/>
      <w:r w:rsidRPr="00D6259F">
        <w:lastRenderedPageBreak/>
        <w:t xml:space="preserve">Note 1: Rates </w:t>
      </w:r>
      <w:proofErr w:type="gramStart"/>
      <w:r w:rsidRPr="00D6259F">
        <w:t>revenue</w:t>
      </w:r>
      <w:bookmarkEnd w:id="39"/>
      <w:bookmarkEnd w:id="40"/>
      <w:proofErr w:type="gramEnd"/>
    </w:p>
    <w:p w14:paraId="457D4D66" w14:textId="5B11EFD1" w:rsidR="008353EA" w:rsidRPr="00D6259F" w:rsidRDefault="000F20D8" w:rsidP="006B2295">
      <w:pPr>
        <w:rPr>
          <w:color w:val="000000" w:themeColor="text1"/>
          <w:lang w:eastAsia="en-NZ"/>
        </w:rPr>
      </w:pPr>
      <w:r w:rsidRPr="00D6259F">
        <w:rPr>
          <w:b/>
          <w:bCs/>
          <w:color w:val="000000" w:themeColor="text1"/>
          <w:lang w:val="en-US" w:eastAsia="en-NZ"/>
        </w:rPr>
        <w:object w:dxaOrig="10215" w:dyaOrig="3030" w14:anchorId="796D11D3">
          <v:shape id="_x0000_i1027" type="#_x0000_t75" style="width:500pt;height:167pt" o:ole="">
            <v:imagedata r:id="rId14" o:title=""/>
          </v:shape>
          <o:OLEObject Type="Link" ProgID="Excel.Sheet.12" ShapeID="_x0000_i1027" DrawAspect="Content" r:id="rId15" UpdateMode="Always">
            <o:LinkType>EnhancedMetaFile</o:LinkType>
            <o:LockedField>false</o:LockedField>
          </o:OLEObject>
        </w:object>
      </w:r>
    </w:p>
    <w:p w14:paraId="730F245C" w14:textId="6FD5D474" w:rsidR="00D422B1" w:rsidRPr="00D6259F" w:rsidRDefault="00D422B1" w:rsidP="006B2295">
      <w:pPr>
        <w:rPr>
          <w:color w:val="000000" w:themeColor="text1"/>
          <w:lang w:eastAsia="en-GB"/>
        </w:rPr>
      </w:pPr>
      <w:r w:rsidRPr="00D6259F">
        <w:rPr>
          <w:color w:val="000000" w:themeColor="text1"/>
          <w:lang w:eastAsia="en-GB"/>
        </w:rPr>
        <w:t xml:space="preserve">The total amount of rates charged on </w:t>
      </w:r>
      <w:r w:rsidR="00871B54" w:rsidRPr="00D6259F">
        <w:rPr>
          <w:color w:val="000000" w:themeColor="text1"/>
          <w:lang w:eastAsia="en-GB"/>
        </w:rPr>
        <w:t>Council-</w:t>
      </w:r>
      <w:r w:rsidRPr="00D6259F">
        <w:rPr>
          <w:color w:val="000000" w:themeColor="text1"/>
          <w:lang w:eastAsia="en-GB"/>
        </w:rPr>
        <w:t xml:space="preserve">owned properties that have not been eliminated from revenue and expenditure is </w:t>
      </w:r>
      <w:r w:rsidR="00A64A24" w:rsidRPr="00D6259F">
        <w:rPr>
          <w:color w:val="000000" w:themeColor="text1"/>
          <w:lang w:eastAsia="en-GB"/>
        </w:rPr>
        <w:t>$</w:t>
      </w:r>
      <w:r w:rsidR="003312A5" w:rsidRPr="00D6259F">
        <w:rPr>
          <w:color w:val="000000" w:themeColor="text1"/>
          <w:lang w:eastAsia="en-GB"/>
        </w:rPr>
        <w:t>19.</w:t>
      </w:r>
      <w:r w:rsidR="00ED1F53" w:rsidRPr="00D6259F">
        <w:rPr>
          <w:color w:val="000000" w:themeColor="text1"/>
          <w:lang w:eastAsia="en-GB"/>
        </w:rPr>
        <w:t>9</w:t>
      </w:r>
      <w:r w:rsidR="003312A5" w:rsidRPr="00D6259F">
        <w:rPr>
          <w:color w:val="000000" w:themeColor="text1"/>
          <w:lang w:eastAsia="en-GB"/>
        </w:rPr>
        <w:t>m</w:t>
      </w:r>
      <w:r w:rsidR="00332A07" w:rsidRPr="00D6259F">
        <w:rPr>
          <w:color w:val="000000" w:themeColor="text1"/>
          <w:lang w:eastAsia="en-GB"/>
        </w:rPr>
        <w:t xml:space="preserve"> </w:t>
      </w:r>
      <w:r w:rsidRPr="00D6259F">
        <w:rPr>
          <w:color w:val="000000" w:themeColor="text1"/>
          <w:lang w:eastAsia="en-GB"/>
        </w:rPr>
        <w:t>(20</w:t>
      </w:r>
      <w:r w:rsidR="003E52F6" w:rsidRPr="00D6259F">
        <w:rPr>
          <w:color w:val="000000" w:themeColor="text1"/>
          <w:lang w:eastAsia="en-GB"/>
        </w:rPr>
        <w:t>2</w:t>
      </w:r>
      <w:r w:rsidR="00CA2A5B" w:rsidRPr="00D6259F">
        <w:rPr>
          <w:color w:val="000000" w:themeColor="text1"/>
          <w:lang w:eastAsia="en-GB"/>
        </w:rPr>
        <w:t>3</w:t>
      </w:r>
      <w:r w:rsidRPr="00D6259F">
        <w:rPr>
          <w:color w:val="000000" w:themeColor="text1"/>
          <w:lang w:eastAsia="en-GB"/>
        </w:rPr>
        <w:t>: $</w:t>
      </w:r>
      <w:r w:rsidR="002E187E" w:rsidRPr="00D6259F">
        <w:rPr>
          <w:color w:val="000000" w:themeColor="text1"/>
          <w:lang w:eastAsia="en-GB"/>
        </w:rPr>
        <w:t>1</w:t>
      </w:r>
      <w:r w:rsidR="00CA2A5B" w:rsidRPr="00D6259F">
        <w:rPr>
          <w:color w:val="000000" w:themeColor="text1"/>
          <w:lang w:eastAsia="en-GB"/>
        </w:rPr>
        <w:t>7.</w:t>
      </w:r>
      <w:r w:rsidR="00F75685" w:rsidRPr="00D6259F">
        <w:rPr>
          <w:color w:val="000000" w:themeColor="text1"/>
          <w:lang w:eastAsia="en-GB"/>
        </w:rPr>
        <w:t>2</w:t>
      </w:r>
      <w:r w:rsidRPr="00D6259F">
        <w:rPr>
          <w:color w:val="000000" w:themeColor="text1"/>
          <w:lang w:eastAsia="en-GB"/>
        </w:rPr>
        <w:t>m). For the</w:t>
      </w:r>
      <w:r w:rsidR="006020F7" w:rsidRPr="00D6259F">
        <w:rPr>
          <w:color w:val="000000" w:themeColor="text1"/>
          <w:lang w:eastAsia="en-GB"/>
        </w:rPr>
        <w:t xml:space="preserve"> Group</w:t>
      </w:r>
      <w:r w:rsidRPr="00D6259F">
        <w:rPr>
          <w:color w:val="000000" w:themeColor="text1"/>
          <w:lang w:eastAsia="en-GB"/>
        </w:rPr>
        <w:t xml:space="preserve">, rates of </w:t>
      </w:r>
      <w:r w:rsidR="00E33EB2" w:rsidRPr="00D6259F">
        <w:rPr>
          <w:color w:val="000000" w:themeColor="text1"/>
          <w:lang w:eastAsia="en-GB"/>
        </w:rPr>
        <w:t>$</w:t>
      </w:r>
      <w:r w:rsidR="00ED1F53" w:rsidRPr="00D6259F">
        <w:rPr>
          <w:color w:val="000000" w:themeColor="text1"/>
          <w:lang w:eastAsia="en-GB"/>
        </w:rPr>
        <w:t>20.3</w:t>
      </w:r>
      <w:r w:rsidR="003312A5" w:rsidRPr="00D6259F">
        <w:rPr>
          <w:color w:val="000000" w:themeColor="text1"/>
          <w:lang w:eastAsia="en-GB"/>
        </w:rPr>
        <w:t>m</w:t>
      </w:r>
      <w:r w:rsidRPr="00D6259F">
        <w:rPr>
          <w:color w:val="000000" w:themeColor="text1"/>
          <w:lang w:eastAsia="en-GB"/>
        </w:rPr>
        <w:t xml:space="preserve"> (20</w:t>
      </w:r>
      <w:r w:rsidR="004B1062" w:rsidRPr="00D6259F">
        <w:rPr>
          <w:color w:val="000000" w:themeColor="text1"/>
          <w:lang w:eastAsia="en-GB"/>
        </w:rPr>
        <w:t>2</w:t>
      </w:r>
      <w:r w:rsidR="00CA2A5B" w:rsidRPr="00D6259F">
        <w:rPr>
          <w:color w:val="000000" w:themeColor="text1"/>
          <w:lang w:eastAsia="en-GB"/>
        </w:rPr>
        <w:t>3</w:t>
      </w:r>
      <w:r w:rsidRPr="00D6259F">
        <w:rPr>
          <w:color w:val="000000" w:themeColor="text1"/>
          <w:lang w:eastAsia="en-GB"/>
        </w:rPr>
        <w:t>: $</w:t>
      </w:r>
      <w:r w:rsidR="00CA2A5B" w:rsidRPr="00D6259F">
        <w:rPr>
          <w:color w:val="000000" w:themeColor="text1"/>
          <w:lang w:eastAsia="en-GB"/>
        </w:rPr>
        <w:t>17.</w:t>
      </w:r>
      <w:r w:rsidR="00F75685" w:rsidRPr="00D6259F">
        <w:rPr>
          <w:color w:val="000000" w:themeColor="text1"/>
          <w:lang w:eastAsia="en-GB"/>
        </w:rPr>
        <w:t>3</w:t>
      </w:r>
      <w:r w:rsidR="00CA2A5B" w:rsidRPr="00D6259F">
        <w:rPr>
          <w:color w:val="000000" w:themeColor="text1"/>
          <w:lang w:eastAsia="en-GB"/>
        </w:rPr>
        <w:t>m</w:t>
      </w:r>
      <w:r w:rsidRPr="00D6259F">
        <w:rPr>
          <w:color w:val="000000" w:themeColor="text1"/>
          <w:lang w:eastAsia="en-GB"/>
        </w:rPr>
        <w:t xml:space="preserve">) have not been eliminated. </w:t>
      </w:r>
    </w:p>
    <w:p w14:paraId="26F2C340" w14:textId="77777777" w:rsidR="00D422B1" w:rsidRPr="00D6259F" w:rsidRDefault="00D422B1" w:rsidP="006B2295">
      <w:pPr>
        <w:rPr>
          <w:color w:val="000000" w:themeColor="text1"/>
          <w:lang w:eastAsia="en-GB"/>
        </w:rPr>
      </w:pPr>
      <w:r w:rsidRPr="00D6259F">
        <w:rPr>
          <w:color w:val="000000" w:themeColor="text1"/>
          <w:lang w:eastAsia="en-GB"/>
        </w:rPr>
        <w:t xml:space="preserve">The revenue from rates for Wellington City Council was billed on the following rating information held </w:t>
      </w:r>
      <w:r w:rsidR="00E869BF" w:rsidRPr="00D6259F">
        <w:rPr>
          <w:color w:val="000000" w:themeColor="text1"/>
          <w:lang w:eastAsia="en-GB"/>
        </w:rPr>
        <w:t>at</w:t>
      </w:r>
      <w:r w:rsidRPr="00D6259F">
        <w:rPr>
          <w:color w:val="000000" w:themeColor="text1"/>
          <w:lang w:eastAsia="en-GB"/>
        </w:rPr>
        <w:t xml:space="preserve"> </w:t>
      </w:r>
      <w:r w:rsidR="00E869BF" w:rsidRPr="00D6259F">
        <w:rPr>
          <w:color w:val="000000" w:themeColor="text1"/>
          <w:lang w:eastAsia="en-GB"/>
        </w:rPr>
        <w:t>the end of the year immediately prior to the new rating year.</w:t>
      </w:r>
    </w:p>
    <w:p w14:paraId="29A8F792" w14:textId="75C4EBA4" w:rsidR="001B08A8" w:rsidRPr="00D6259F" w:rsidRDefault="000F20D8" w:rsidP="006B2295">
      <w:pPr>
        <w:rPr>
          <w:color w:val="000000" w:themeColor="text1"/>
          <w:lang w:eastAsia="en-GB"/>
        </w:rPr>
      </w:pPr>
      <w:r w:rsidRPr="00D6259F">
        <w:rPr>
          <w:b/>
          <w:bCs/>
          <w:color w:val="000000" w:themeColor="text1"/>
          <w:lang w:val="en-US" w:eastAsia="en-GB"/>
        </w:rPr>
        <w:object w:dxaOrig="10215" w:dyaOrig="1590" w14:anchorId="09D1C224">
          <v:shape id="_x0000_i1028" type="#_x0000_t75" style="width:498pt;height:87pt" o:ole="">
            <v:imagedata r:id="rId16" o:title=""/>
          </v:shape>
          <o:OLEObject Type="Link" ProgID="Excel.Sheet.12" ShapeID="_x0000_i1028" DrawAspect="Content" r:id="rId17" UpdateMode="Always">
            <o:LinkType>EnhancedMetaFile</o:LinkType>
            <o:LockedField>false</o:LockedField>
          </o:OLEObject>
        </w:object>
      </w:r>
    </w:p>
    <w:p w14:paraId="6F16CFA3" w14:textId="0F6D69DC" w:rsidR="00A2621A" w:rsidRPr="00D6259F" w:rsidRDefault="00A2621A" w:rsidP="00FC58BB">
      <w:pPr>
        <w:pStyle w:val="Heading4"/>
        <w:rPr>
          <w:rFonts w:eastAsiaTheme="minorEastAsia" w:cs="Times New Roman"/>
          <w:b w:val="0"/>
          <w:bCs w:val="0"/>
          <w:i w:val="0"/>
          <w:iCs w:val="0"/>
          <w:sz w:val="22"/>
          <w:szCs w:val="22"/>
          <w:lang w:eastAsia="en-GB"/>
        </w:rPr>
      </w:pPr>
      <w:r w:rsidRPr="00D6259F">
        <w:rPr>
          <w:rFonts w:eastAsiaTheme="minorEastAsia" w:cs="Times New Roman"/>
          <w:b w:val="0"/>
          <w:bCs w:val="0"/>
          <w:i w:val="0"/>
          <w:iCs w:val="0"/>
          <w:sz w:val="22"/>
          <w:szCs w:val="22"/>
          <w:lang w:eastAsia="en-GB"/>
        </w:rPr>
        <w:t>The property revaluations that occurred in September 20</w:t>
      </w:r>
      <w:r w:rsidR="002B38C1" w:rsidRPr="00D6259F">
        <w:rPr>
          <w:rFonts w:eastAsiaTheme="minorEastAsia" w:cs="Times New Roman"/>
          <w:b w:val="0"/>
          <w:bCs w:val="0"/>
          <w:i w:val="0"/>
          <w:iCs w:val="0"/>
          <w:sz w:val="22"/>
          <w:szCs w:val="22"/>
          <w:lang w:eastAsia="en-GB"/>
        </w:rPr>
        <w:t>2</w:t>
      </w:r>
      <w:r w:rsidR="00F517F8" w:rsidRPr="00D6259F">
        <w:rPr>
          <w:rFonts w:eastAsiaTheme="minorEastAsia" w:cs="Times New Roman"/>
          <w:b w:val="0"/>
          <w:bCs w:val="0"/>
          <w:i w:val="0"/>
          <w:iCs w:val="0"/>
          <w:sz w:val="22"/>
          <w:szCs w:val="22"/>
          <w:lang w:eastAsia="en-GB"/>
        </w:rPr>
        <w:t>1</w:t>
      </w:r>
      <w:r w:rsidRPr="00D6259F">
        <w:rPr>
          <w:rFonts w:eastAsiaTheme="minorEastAsia" w:cs="Times New Roman"/>
          <w:b w:val="0"/>
          <w:bCs w:val="0"/>
          <w:i w:val="0"/>
          <w:iCs w:val="0"/>
          <w:sz w:val="22"/>
          <w:szCs w:val="22"/>
          <w:lang w:eastAsia="en-GB"/>
        </w:rPr>
        <w:t xml:space="preserve"> have been applied for the rates billed for the 2023/24 year.   </w:t>
      </w:r>
    </w:p>
    <w:p w14:paraId="6648B23D" w14:textId="41D6F8E2" w:rsidR="00D422B1" w:rsidRPr="00D6259F" w:rsidRDefault="00D422B1" w:rsidP="00FC58BB">
      <w:pPr>
        <w:pStyle w:val="Heading4"/>
      </w:pPr>
      <w:r w:rsidRPr="00D6259F">
        <w:t xml:space="preserve">Rates remissions    </w:t>
      </w:r>
    </w:p>
    <w:p w14:paraId="0DEACCA4" w14:textId="65568F40" w:rsidR="00D422B1" w:rsidRPr="00D6259F" w:rsidRDefault="00D422B1" w:rsidP="006B2295">
      <w:pPr>
        <w:rPr>
          <w:color w:val="000000" w:themeColor="text1"/>
          <w:lang w:eastAsia="en-GB"/>
        </w:rPr>
      </w:pPr>
      <w:r w:rsidRPr="00D6259F">
        <w:rPr>
          <w:color w:val="000000" w:themeColor="text1"/>
          <w:lang w:eastAsia="en-GB"/>
        </w:rPr>
        <w:t>Revenue from rates is shown net of rates remissions. The Council’s Rates Remission and Postponement Policies provide for general rates to be partially remitted for rural open space</w:t>
      </w:r>
      <w:r w:rsidR="008010CA" w:rsidRPr="00D6259F">
        <w:rPr>
          <w:color w:val="000000" w:themeColor="text1"/>
          <w:lang w:eastAsia="en-GB"/>
        </w:rPr>
        <w:t xml:space="preserve">, </w:t>
      </w:r>
      <w:r w:rsidRPr="00D6259F">
        <w:rPr>
          <w:color w:val="000000" w:themeColor="text1"/>
          <w:lang w:eastAsia="en-GB"/>
        </w:rPr>
        <w:t xml:space="preserve">land used principally for games or sport and in special circumstances (where the rating policy is deemed to unfairly disadvantage an individual ratepayer). A remission of the Downtown targeted rate may also be granted to provide rates relief for downtown commercial property temporarily not fit for the purpose due to the property undergoing development and therefore not receiving the benefits derived by contributing to the Downtown targeted rate. The Council committed itself at the start of the year to certain remissions, which for the reporting </w:t>
      </w:r>
      <w:r w:rsidR="00A568AA" w:rsidRPr="00D6259F">
        <w:rPr>
          <w:color w:val="000000" w:themeColor="text1"/>
          <w:lang w:eastAsia="en-GB"/>
        </w:rPr>
        <w:t>year ended</w:t>
      </w:r>
      <w:r w:rsidRPr="00D6259F">
        <w:rPr>
          <w:color w:val="000000" w:themeColor="text1"/>
          <w:lang w:eastAsia="en-GB"/>
        </w:rPr>
        <w:t xml:space="preserve"> 30 June 202</w:t>
      </w:r>
      <w:r w:rsidR="00332A07" w:rsidRPr="00D6259F">
        <w:rPr>
          <w:color w:val="000000" w:themeColor="text1"/>
          <w:lang w:eastAsia="en-GB"/>
        </w:rPr>
        <w:t>4</w:t>
      </w:r>
      <w:r w:rsidRPr="00D6259F">
        <w:rPr>
          <w:color w:val="000000" w:themeColor="text1"/>
          <w:lang w:eastAsia="en-GB"/>
        </w:rPr>
        <w:t xml:space="preserve"> totalled </w:t>
      </w:r>
      <w:r w:rsidR="003F5D69" w:rsidRPr="00D6259F">
        <w:rPr>
          <w:color w:val="000000" w:themeColor="text1"/>
          <w:lang w:eastAsia="en-GB"/>
        </w:rPr>
        <w:t>$2.</w:t>
      </w:r>
      <w:r w:rsidR="00ED1F53" w:rsidRPr="00D6259F">
        <w:rPr>
          <w:color w:val="000000" w:themeColor="text1"/>
          <w:lang w:eastAsia="en-GB"/>
        </w:rPr>
        <w:t>9</w:t>
      </w:r>
      <w:r w:rsidR="003F5D69" w:rsidRPr="00D6259F">
        <w:rPr>
          <w:color w:val="000000" w:themeColor="text1"/>
          <w:lang w:eastAsia="en-GB"/>
        </w:rPr>
        <w:t>m</w:t>
      </w:r>
      <w:r w:rsidR="00332A07" w:rsidRPr="00D6259F">
        <w:rPr>
          <w:color w:val="000000" w:themeColor="text1"/>
          <w:lang w:eastAsia="en-GB"/>
        </w:rPr>
        <w:t xml:space="preserve"> </w:t>
      </w:r>
      <w:r w:rsidRPr="00D6259F">
        <w:rPr>
          <w:color w:val="000000" w:themeColor="text1"/>
          <w:lang w:eastAsia="en-GB"/>
        </w:rPr>
        <w:t>(20</w:t>
      </w:r>
      <w:r w:rsidR="004B1062" w:rsidRPr="00D6259F">
        <w:rPr>
          <w:color w:val="000000" w:themeColor="text1"/>
          <w:lang w:eastAsia="en-GB"/>
        </w:rPr>
        <w:t>2</w:t>
      </w:r>
      <w:r w:rsidR="00332A07" w:rsidRPr="00D6259F">
        <w:rPr>
          <w:color w:val="000000" w:themeColor="text1"/>
          <w:lang w:eastAsia="en-GB"/>
        </w:rPr>
        <w:t>3</w:t>
      </w:r>
      <w:r w:rsidRPr="00D6259F">
        <w:rPr>
          <w:color w:val="000000" w:themeColor="text1"/>
          <w:lang w:eastAsia="en-GB"/>
        </w:rPr>
        <w:t>: $</w:t>
      </w:r>
      <w:r w:rsidR="00332A07" w:rsidRPr="00D6259F">
        <w:rPr>
          <w:color w:val="000000" w:themeColor="text1"/>
          <w:lang w:eastAsia="en-GB"/>
        </w:rPr>
        <w:t>2.2m</w:t>
      </w:r>
      <w:r w:rsidRPr="00D6259F">
        <w:rPr>
          <w:color w:val="000000" w:themeColor="text1"/>
          <w:lang w:eastAsia="en-GB"/>
        </w:rPr>
        <w:t>).</w:t>
      </w:r>
    </w:p>
    <w:p w14:paraId="03B97A6F" w14:textId="77777777" w:rsidR="00D422B1" w:rsidRPr="00D6259F" w:rsidRDefault="00D422B1" w:rsidP="00AD0827">
      <w:pPr>
        <w:pStyle w:val="Heading4"/>
      </w:pPr>
      <w:r w:rsidRPr="00D6259F">
        <w:t xml:space="preserve">Non-rateable land </w:t>
      </w:r>
    </w:p>
    <w:p w14:paraId="7D9AB968" w14:textId="1ED99C2B" w:rsidR="00D422B1" w:rsidRPr="00D6259F" w:rsidRDefault="00D422B1" w:rsidP="006B2295">
      <w:pPr>
        <w:rPr>
          <w:color w:val="000000" w:themeColor="text1"/>
          <w:lang w:eastAsia="en-GB"/>
        </w:rPr>
      </w:pPr>
      <w:r w:rsidRPr="00D6259F">
        <w:rPr>
          <w:color w:val="000000" w:themeColor="text1"/>
          <w:lang w:eastAsia="en-GB"/>
        </w:rPr>
        <w:t xml:space="preserve">Under the Local Government (Rating) Act 2002 certain properties are non-rateable. This includes schools, churches, public </w:t>
      </w:r>
      <w:proofErr w:type="gramStart"/>
      <w:r w:rsidRPr="00D6259F">
        <w:rPr>
          <w:color w:val="000000" w:themeColor="text1"/>
          <w:lang w:eastAsia="en-GB"/>
        </w:rPr>
        <w:t>gardens</w:t>
      </w:r>
      <w:proofErr w:type="gramEnd"/>
      <w:r w:rsidRPr="00D6259F">
        <w:rPr>
          <w:color w:val="000000" w:themeColor="text1"/>
          <w:lang w:eastAsia="en-GB"/>
        </w:rPr>
        <w:t xml:space="preserve"> and certain land vested in the Crown. This land is non-rateable in respect of general rates but, where applicable, is rateable in respect of sewerage and water. Non-rateable land does not constitute a remission under the Council’s </w:t>
      </w:r>
      <w:r w:rsidR="00FE030D" w:rsidRPr="00D6259F">
        <w:rPr>
          <w:color w:val="000000" w:themeColor="text1"/>
          <w:lang w:eastAsia="en-GB"/>
        </w:rPr>
        <w:t>Rates Remission and Postponement Policies</w:t>
      </w:r>
      <w:r w:rsidRPr="00D6259F">
        <w:rPr>
          <w:color w:val="000000" w:themeColor="text1"/>
          <w:lang w:eastAsia="en-GB"/>
        </w:rPr>
        <w:t>.</w:t>
      </w:r>
    </w:p>
    <w:p w14:paraId="0E522A21" w14:textId="77777777" w:rsidR="00D422B1" w:rsidRPr="00D6259F" w:rsidRDefault="00D422B1" w:rsidP="006B2295">
      <w:pPr>
        <w:pStyle w:val="Heading3"/>
      </w:pPr>
      <w:bookmarkStart w:id="41" w:name="_Toc121217078"/>
      <w:r w:rsidRPr="00D6259F">
        <w:lastRenderedPageBreak/>
        <w:t>Relevant significant accounting policies</w:t>
      </w:r>
      <w:bookmarkEnd w:id="41"/>
    </w:p>
    <w:p w14:paraId="0126E5AB" w14:textId="23CCB363" w:rsidR="00D422B1" w:rsidRPr="00D6259F" w:rsidRDefault="00D422B1" w:rsidP="006D2CAB">
      <w:pPr>
        <w:rPr>
          <w:color w:val="000000" w:themeColor="text1"/>
          <w:lang w:eastAsia="en-GB"/>
        </w:rPr>
      </w:pPr>
      <w:r w:rsidRPr="00D6259F">
        <w:rPr>
          <w:color w:val="000000" w:themeColor="text1"/>
          <w:lang w:eastAsia="en-GB"/>
        </w:rPr>
        <w:t xml:space="preserve">Rates are set annually by resolution from the Council and relate to a particular financial year. All ratepayers are invoiced within the financial year for which the rates have been set. Rates revenue is recognised in full at the date when rate assessment notices are sent to the ratepayers. Rates are a tax as they are payable under the Local Government </w:t>
      </w:r>
      <w:r w:rsidR="006D2CAB" w:rsidRPr="00D6259F">
        <w:rPr>
          <w:color w:val="000000" w:themeColor="text1"/>
          <w:lang w:eastAsia="en-GB"/>
        </w:rPr>
        <w:t>(</w:t>
      </w:r>
      <w:r w:rsidRPr="00D6259F">
        <w:rPr>
          <w:color w:val="000000" w:themeColor="text1"/>
          <w:lang w:eastAsia="en-GB"/>
        </w:rPr>
        <w:t>Rating</w:t>
      </w:r>
      <w:r w:rsidR="006D2CAB" w:rsidRPr="00D6259F">
        <w:rPr>
          <w:color w:val="000000" w:themeColor="text1"/>
          <w:lang w:eastAsia="en-GB"/>
        </w:rPr>
        <w:t>)</w:t>
      </w:r>
      <w:r w:rsidRPr="00D6259F">
        <w:rPr>
          <w:color w:val="000000" w:themeColor="text1"/>
          <w:lang w:eastAsia="en-GB"/>
        </w:rPr>
        <w:t xml:space="preserve"> Act 2002 and therefore meet the definition of </w:t>
      </w:r>
      <w:r w:rsidR="006E26FB" w:rsidRPr="00D6259F">
        <w:rPr>
          <w:color w:val="000000" w:themeColor="text1"/>
          <w:lang w:eastAsia="en-GB"/>
        </w:rPr>
        <w:t xml:space="preserve">a </w:t>
      </w:r>
      <w:r w:rsidRPr="00D6259F">
        <w:rPr>
          <w:color w:val="000000" w:themeColor="text1"/>
          <w:lang w:eastAsia="en-GB"/>
        </w:rPr>
        <w:t>non-exchange</w:t>
      </w:r>
      <w:r w:rsidR="006E26FB" w:rsidRPr="00D6259F">
        <w:rPr>
          <w:color w:val="000000" w:themeColor="text1"/>
          <w:lang w:eastAsia="en-GB"/>
        </w:rPr>
        <w:t xml:space="preserve"> transaction</w:t>
      </w:r>
      <w:r w:rsidRPr="00D6259F">
        <w:rPr>
          <w:color w:val="000000" w:themeColor="text1"/>
          <w:lang w:eastAsia="en-GB"/>
        </w:rPr>
        <w:t>.</w:t>
      </w:r>
    </w:p>
    <w:p w14:paraId="4C459501" w14:textId="77777777" w:rsidR="00D422B1" w:rsidRPr="00D6259F" w:rsidRDefault="00D422B1" w:rsidP="006D2CAB">
      <w:pPr>
        <w:rPr>
          <w:color w:val="000000" w:themeColor="text1"/>
          <w:lang w:eastAsia="en-GB"/>
        </w:rPr>
      </w:pPr>
      <w:r w:rsidRPr="00D6259F">
        <w:rPr>
          <w:color w:val="000000" w:themeColor="text1"/>
          <w:lang w:eastAsia="en-GB"/>
        </w:rPr>
        <w:t xml:space="preserve">Water rates by meter are regulated in the same way as other rates and are taxes that use a specific charging mechanism to collect the rate. However, as the rates charged are primarily based on a per unit of consumption basis, water rates by meter </w:t>
      </w:r>
      <w:proofErr w:type="gramStart"/>
      <w:r w:rsidRPr="00D6259F">
        <w:rPr>
          <w:color w:val="000000" w:themeColor="text1"/>
          <w:lang w:eastAsia="en-GB"/>
        </w:rPr>
        <w:t>are considered to be</w:t>
      </w:r>
      <w:proofErr w:type="gramEnd"/>
      <w:r w:rsidRPr="00D6259F">
        <w:rPr>
          <w:color w:val="000000" w:themeColor="text1"/>
          <w:lang w:eastAsia="en-GB"/>
        </w:rPr>
        <w:t xml:space="preserve"> more in the nature of an exchange transaction. Revenue from water rates by meter is recognised on an accrual basis based on usage.</w:t>
      </w:r>
    </w:p>
    <w:p w14:paraId="247236EF" w14:textId="545D5C0E" w:rsidR="00D422B1" w:rsidRPr="00D6259F" w:rsidRDefault="00D422B1" w:rsidP="00470D68">
      <w:pPr>
        <w:pStyle w:val="Heading2"/>
        <w:spacing w:before="480"/>
        <w:rPr>
          <w:rFonts w:ascii="Arial" w:hAnsi="Arial" w:cs="Arial"/>
          <w:lang w:eastAsia="en-GB"/>
        </w:rPr>
      </w:pPr>
      <w:bookmarkStart w:id="42" w:name="_Toc55482643"/>
      <w:bookmarkStart w:id="43" w:name="_Toc179890286"/>
      <w:r w:rsidRPr="00D6259F">
        <w:t xml:space="preserve">Note 2: Revenue from operating </w:t>
      </w:r>
      <w:proofErr w:type="gramStart"/>
      <w:r w:rsidRPr="00D6259F">
        <w:t>activities</w:t>
      </w:r>
      <w:bookmarkEnd w:id="42"/>
      <w:bookmarkEnd w:id="43"/>
      <w:proofErr w:type="gramEnd"/>
    </w:p>
    <w:p w14:paraId="4CB23F86" w14:textId="198E241F" w:rsidR="00D422B1" w:rsidRPr="00D6259F" w:rsidRDefault="000F20D8" w:rsidP="006B2295">
      <w:pPr>
        <w:rPr>
          <w:color w:val="000000" w:themeColor="text1"/>
        </w:rPr>
      </w:pPr>
      <w:r w:rsidRPr="00D6259F">
        <w:rPr>
          <w:b/>
          <w:bCs/>
          <w:color w:val="000000" w:themeColor="text1"/>
          <w:lang w:val="en-US"/>
        </w:rPr>
        <w:object w:dxaOrig="10215" w:dyaOrig="5415" w14:anchorId="2DBC19DC">
          <v:shape id="_x0000_i1029" type="#_x0000_t75" style="width:467pt;height:252pt" o:ole="">
            <v:imagedata r:id="rId18" o:title=""/>
          </v:shape>
          <o:OLEObject Type="Link" ProgID="Excel.Sheet.12" ShapeID="_x0000_i1029" DrawAspect="Content" r:id="rId19" UpdateMode="Always">
            <o:LinkType>EnhancedMetaFile</o:LinkType>
            <o:LockedField>false</o:LockedField>
          </o:OLEObject>
        </w:object>
      </w:r>
      <w:r w:rsidR="00623084" w:rsidRPr="00D6259F">
        <w:rPr>
          <w:color w:val="000000" w:themeColor="text1"/>
        </w:rPr>
        <w:t xml:space="preserve"> </w:t>
      </w:r>
    </w:p>
    <w:p w14:paraId="6D3BC334" w14:textId="16879C37" w:rsidR="00D422B1" w:rsidRPr="00D6259F" w:rsidRDefault="00D422B1" w:rsidP="006B2295">
      <w:pPr>
        <w:rPr>
          <w:color w:val="000000" w:themeColor="text1"/>
          <w:lang w:eastAsia="en-GB"/>
        </w:rPr>
      </w:pPr>
      <w:bookmarkStart w:id="44" w:name="_Hlk79335442"/>
      <w:r w:rsidRPr="00D6259F">
        <w:rPr>
          <w:color w:val="000000" w:themeColor="text1"/>
          <w:lang w:eastAsia="en-GB"/>
        </w:rPr>
        <w:t xml:space="preserve">For the Council, the principal grants and reimbursements are from </w:t>
      </w:r>
      <w:r w:rsidR="00091FDD" w:rsidRPr="00D6259F">
        <w:rPr>
          <w:color w:val="000000" w:themeColor="text1"/>
          <w:lang w:eastAsia="en-GB"/>
        </w:rPr>
        <w:t xml:space="preserve">Sludge Finance LP </w:t>
      </w:r>
      <w:r w:rsidR="00CA0826" w:rsidRPr="00D6259F">
        <w:rPr>
          <w:color w:val="000000" w:themeColor="text1"/>
          <w:lang w:eastAsia="en-GB"/>
        </w:rPr>
        <w:t xml:space="preserve">and from </w:t>
      </w:r>
      <w:r w:rsidR="006D2CAB" w:rsidRPr="00D6259F">
        <w:rPr>
          <w:color w:val="000000" w:themeColor="text1"/>
          <w:lang w:eastAsia="en-GB"/>
        </w:rPr>
        <w:t>NZ</w:t>
      </w:r>
      <w:r w:rsidRPr="00D6259F">
        <w:rPr>
          <w:color w:val="000000" w:themeColor="text1"/>
          <w:lang w:eastAsia="en-GB"/>
        </w:rPr>
        <w:t xml:space="preserve"> Transport Agency</w:t>
      </w:r>
      <w:r w:rsidR="00596C2C" w:rsidRPr="00D6259F">
        <w:rPr>
          <w:color w:val="000000" w:themeColor="text1"/>
          <w:lang w:eastAsia="en-GB"/>
        </w:rPr>
        <w:t xml:space="preserve"> Waka Kotahi</w:t>
      </w:r>
      <w:r w:rsidR="00910A76" w:rsidRPr="00D6259F">
        <w:rPr>
          <w:color w:val="000000" w:themeColor="text1"/>
          <w:lang w:eastAsia="en-GB"/>
        </w:rPr>
        <w:t xml:space="preserve"> (NZTA)</w:t>
      </w:r>
      <w:r w:rsidR="00CA0826" w:rsidRPr="00D6259F">
        <w:rPr>
          <w:color w:val="000000" w:themeColor="text1"/>
          <w:lang w:eastAsia="en-GB"/>
        </w:rPr>
        <w:t xml:space="preserve">. Grant funding is received from </w:t>
      </w:r>
      <w:r w:rsidR="00091FDD" w:rsidRPr="00D6259F">
        <w:rPr>
          <w:color w:val="000000" w:themeColor="text1"/>
          <w:lang w:eastAsia="en-GB"/>
        </w:rPr>
        <w:t xml:space="preserve">Sludge Finance LP </w:t>
      </w:r>
      <w:r w:rsidR="0044251C" w:rsidRPr="00D6259F">
        <w:rPr>
          <w:color w:val="000000" w:themeColor="text1"/>
          <w:lang w:eastAsia="en-GB"/>
        </w:rPr>
        <w:t xml:space="preserve">to reimburse </w:t>
      </w:r>
      <w:r w:rsidR="00CA0826" w:rsidRPr="00D6259F">
        <w:rPr>
          <w:color w:val="000000" w:themeColor="text1"/>
          <w:lang w:eastAsia="en-GB"/>
        </w:rPr>
        <w:t>eligible project costs in relation to the construction of the SMF at Moa Point.</w:t>
      </w:r>
      <w:r w:rsidR="0044251C" w:rsidRPr="00D6259F">
        <w:rPr>
          <w:color w:val="000000" w:themeColor="text1"/>
          <w:lang w:eastAsia="en-GB"/>
        </w:rPr>
        <w:t xml:space="preserve"> </w:t>
      </w:r>
      <w:r w:rsidR="002248D3" w:rsidRPr="00D6259F">
        <w:rPr>
          <w:color w:val="000000" w:themeColor="text1"/>
          <w:lang w:eastAsia="en-GB"/>
        </w:rPr>
        <w:t>C</w:t>
      </w:r>
      <w:r w:rsidR="0044251C" w:rsidRPr="00D6259F">
        <w:rPr>
          <w:color w:val="000000" w:themeColor="text1"/>
          <w:lang w:eastAsia="en-GB"/>
        </w:rPr>
        <w:t>apital</w:t>
      </w:r>
      <w:r w:rsidR="002248D3" w:rsidRPr="00D6259F">
        <w:rPr>
          <w:color w:val="000000" w:themeColor="text1"/>
          <w:lang w:eastAsia="en-GB"/>
        </w:rPr>
        <w:t xml:space="preserve"> reimbursements recognised from </w:t>
      </w:r>
      <w:r w:rsidR="00091FDD" w:rsidRPr="00D6259F">
        <w:rPr>
          <w:color w:val="000000" w:themeColor="text1"/>
          <w:lang w:eastAsia="en-GB"/>
        </w:rPr>
        <w:t>Sludge Finance LP</w:t>
      </w:r>
      <w:r w:rsidR="002248D3" w:rsidRPr="00D6259F">
        <w:rPr>
          <w:color w:val="000000" w:themeColor="text1"/>
          <w:lang w:eastAsia="en-GB"/>
        </w:rPr>
        <w:t xml:space="preserve"> were $</w:t>
      </w:r>
      <w:r w:rsidR="00AC17E1" w:rsidRPr="00D6259F">
        <w:rPr>
          <w:color w:val="000000" w:themeColor="text1"/>
          <w:lang w:eastAsia="en-GB"/>
        </w:rPr>
        <w:t xml:space="preserve">77.2m </w:t>
      </w:r>
      <w:r w:rsidR="002248D3" w:rsidRPr="00D6259F">
        <w:rPr>
          <w:color w:val="000000" w:themeColor="text1"/>
          <w:lang w:eastAsia="en-GB"/>
        </w:rPr>
        <w:t>(2023: $nil) and operating reimbursements recognised were $</w:t>
      </w:r>
      <w:r w:rsidR="00AC17E1" w:rsidRPr="00D6259F">
        <w:rPr>
          <w:color w:val="000000" w:themeColor="text1"/>
          <w:lang w:eastAsia="en-GB"/>
        </w:rPr>
        <w:t>0.3m</w:t>
      </w:r>
      <w:r w:rsidR="002248D3" w:rsidRPr="00D6259F">
        <w:rPr>
          <w:color w:val="000000" w:themeColor="text1"/>
          <w:lang w:eastAsia="en-GB"/>
        </w:rPr>
        <w:t xml:space="preserve"> (2023: $nil). The funding received from NZTA reflects </w:t>
      </w:r>
      <w:r w:rsidRPr="00D6259F">
        <w:rPr>
          <w:color w:val="000000" w:themeColor="text1"/>
          <w:lang w:eastAsia="en-GB"/>
        </w:rPr>
        <w:t>reimburse</w:t>
      </w:r>
      <w:r w:rsidR="002248D3" w:rsidRPr="00D6259F">
        <w:rPr>
          <w:color w:val="000000" w:themeColor="text1"/>
          <w:lang w:eastAsia="en-GB"/>
        </w:rPr>
        <w:t xml:space="preserve">ments </w:t>
      </w:r>
      <w:r w:rsidR="001E5C11" w:rsidRPr="00D6259F">
        <w:rPr>
          <w:color w:val="000000" w:themeColor="text1"/>
          <w:lang w:eastAsia="en-GB"/>
        </w:rPr>
        <w:t>for part of t</w:t>
      </w:r>
      <w:r w:rsidRPr="00D6259F">
        <w:rPr>
          <w:color w:val="000000" w:themeColor="text1"/>
          <w:lang w:eastAsia="en-GB"/>
        </w:rPr>
        <w:t xml:space="preserve">he Council’s costs for maintaining the local roading and cycling infrastructure. </w:t>
      </w:r>
      <w:r w:rsidR="00EB7A64" w:rsidRPr="00D6259F">
        <w:rPr>
          <w:color w:val="000000" w:themeColor="text1"/>
          <w:lang w:eastAsia="en-GB"/>
        </w:rPr>
        <w:t>C</w:t>
      </w:r>
      <w:r w:rsidRPr="00D6259F">
        <w:rPr>
          <w:color w:val="000000" w:themeColor="text1"/>
          <w:lang w:eastAsia="en-GB"/>
        </w:rPr>
        <w:t xml:space="preserve">apital reimbursements recognised from </w:t>
      </w:r>
      <w:r w:rsidR="00596C2C" w:rsidRPr="00D6259F">
        <w:rPr>
          <w:color w:val="000000" w:themeColor="text1"/>
          <w:lang w:eastAsia="en-GB"/>
        </w:rPr>
        <w:t xml:space="preserve">NZTA </w:t>
      </w:r>
      <w:r w:rsidR="001E5C11" w:rsidRPr="00D6259F">
        <w:rPr>
          <w:color w:val="000000" w:themeColor="text1"/>
          <w:lang w:eastAsia="en-GB"/>
        </w:rPr>
        <w:t xml:space="preserve">were </w:t>
      </w:r>
      <w:r w:rsidR="003637BE" w:rsidRPr="00D6259F">
        <w:rPr>
          <w:color w:val="000000" w:themeColor="text1"/>
          <w:lang w:eastAsia="en-GB"/>
        </w:rPr>
        <w:t>$40.9m</w:t>
      </w:r>
      <w:r w:rsidR="00332A07" w:rsidRPr="00D6259F">
        <w:rPr>
          <w:color w:val="000000" w:themeColor="text1"/>
          <w:lang w:eastAsia="en-GB"/>
        </w:rPr>
        <w:t xml:space="preserve"> </w:t>
      </w:r>
      <w:r w:rsidRPr="00D6259F">
        <w:rPr>
          <w:color w:val="000000" w:themeColor="text1"/>
          <w:lang w:eastAsia="en-GB"/>
        </w:rPr>
        <w:t>(20</w:t>
      </w:r>
      <w:r w:rsidR="00761EC5" w:rsidRPr="00D6259F">
        <w:rPr>
          <w:color w:val="000000" w:themeColor="text1"/>
          <w:lang w:eastAsia="en-GB"/>
        </w:rPr>
        <w:t>2</w:t>
      </w:r>
      <w:r w:rsidR="005D56AC" w:rsidRPr="00D6259F">
        <w:rPr>
          <w:color w:val="000000" w:themeColor="text1"/>
          <w:lang w:eastAsia="en-GB"/>
        </w:rPr>
        <w:t>3</w:t>
      </w:r>
      <w:r w:rsidRPr="00D6259F">
        <w:rPr>
          <w:color w:val="000000" w:themeColor="text1"/>
          <w:lang w:eastAsia="en-GB"/>
        </w:rPr>
        <w:t>: $</w:t>
      </w:r>
      <w:r w:rsidR="005D56AC" w:rsidRPr="00D6259F">
        <w:rPr>
          <w:color w:val="000000" w:themeColor="text1"/>
          <w:lang w:eastAsia="en-GB"/>
        </w:rPr>
        <w:t>26.</w:t>
      </w:r>
      <w:r w:rsidR="00596C2C" w:rsidRPr="00D6259F">
        <w:rPr>
          <w:color w:val="000000" w:themeColor="text1"/>
          <w:lang w:eastAsia="en-GB"/>
        </w:rPr>
        <w:t>3</w:t>
      </w:r>
      <w:r w:rsidR="005D56AC" w:rsidRPr="00D6259F">
        <w:rPr>
          <w:color w:val="000000" w:themeColor="text1"/>
          <w:lang w:eastAsia="en-GB"/>
        </w:rPr>
        <w:t>m</w:t>
      </w:r>
      <w:r w:rsidRPr="00D6259F">
        <w:rPr>
          <w:color w:val="000000" w:themeColor="text1"/>
          <w:lang w:eastAsia="en-GB"/>
        </w:rPr>
        <w:t xml:space="preserve">) and operating reimbursements </w:t>
      </w:r>
      <w:r w:rsidR="001E5C11" w:rsidRPr="00D6259F">
        <w:rPr>
          <w:color w:val="000000" w:themeColor="text1"/>
          <w:lang w:eastAsia="en-GB"/>
        </w:rPr>
        <w:t xml:space="preserve">recognised were </w:t>
      </w:r>
      <w:r w:rsidRPr="00D6259F">
        <w:rPr>
          <w:color w:val="000000" w:themeColor="text1"/>
          <w:lang w:eastAsia="en-GB"/>
        </w:rPr>
        <w:t>$</w:t>
      </w:r>
      <w:r w:rsidR="003637BE" w:rsidRPr="00D6259F">
        <w:rPr>
          <w:color w:val="000000" w:themeColor="text1"/>
          <w:lang w:eastAsia="en-GB"/>
        </w:rPr>
        <w:t xml:space="preserve">11.8m </w:t>
      </w:r>
      <w:r w:rsidRPr="00D6259F">
        <w:rPr>
          <w:color w:val="000000" w:themeColor="text1"/>
          <w:lang w:eastAsia="en-GB"/>
        </w:rPr>
        <w:t>(20</w:t>
      </w:r>
      <w:r w:rsidR="00761EC5" w:rsidRPr="00D6259F">
        <w:rPr>
          <w:color w:val="000000" w:themeColor="text1"/>
          <w:lang w:eastAsia="en-GB"/>
        </w:rPr>
        <w:t>2</w:t>
      </w:r>
      <w:r w:rsidR="005D56AC" w:rsidRPr="00D6259F">
        <w:rPr>
          <w:color w:val="000000" w:themeColor="text1"/>
          <w:lang w:eastAsia="en-GB"/>
        </w:rPr>
        <w:t>3</w:t>
      </w:r>
      <w:r w:rsidRPr="00D6259F">
        <w:rPr>
          <w:color w:val="000000" w:themeColor="text1"/>
          <w:lang w:eastAsia="en-GB"/>
        </w:rPr>
        <w:t>: $</w:t>
      </w:r>
      <w:r w:rsidR="00A4546F" w:rsidRPr="00D6259F">
        <w:rPr>
          <w:color w:val="000000" w:themeColor="text1"/>
          <w:lang w:eastAsia="en-GB"/>
        </w:rPr>
        <w:t>7.0</w:t>
      </w:r>
      <w:r w:rsidR="005D56AC" w:rsidRPr="00D6259F">
        <w:rPr>
          <w:color w:val="000000" w:themeColor="text1"/>
          <w:lang w:eastAsia="en-GB"/>
        </w:rPr>
        <w:t>m</w:t>
      </w:r>
      <w:r w:rsidRPr="00D6259F">
        <w:rPr>
          <w:color w:val="000000" w:themeColor="text1"/>
          <w:lang w:eastAsia="en-GB"/>
        </w:rPr>
        <w:t>)</w:t>
      </w:r>
      <w:r w:rsidR="001E5C11" w:rsidRPr="00D6259F">
        <w:rPr>
          <w:color w:val="000000" w:themeColor="text1"/>
          <w:lang w:eastAsia="en-GB"/>
        </w:rPr>
        <w:t xml:space="preserve">. </w:t>
      </w:r>
      <w:r w:rsidRPr="00D6259F">
        <w:rPr>
          <w:color w:val="000000" w:themeColor="text1"/>
          <w:lang w:eastAsia="en-GB"/>
        </w:rPr>
        <w:t xml:space="preserve">  </w:t>
      </w:r>
    </w:p>
    <w:p w14:paraId="682D3E41" w14:textId="593C7D7D" w:rsidR="00D422B1" w:rsidRPr="00D6259F" w:rsidRDefault="00D422B1" w:rsidP="006B2295">
      <w:pPr>
        <w:rPr>
          <w:color w:val="000000" w:themeColor="text1"/>
          <w:lang w:eastAsia="en-GB"/>
        </w:rPr>
      </w:pPr>
      <w:bookmarkStart w:id="45" w:name="_Hlk110591804"/>
      <w:bookmarkStart w:id="46" w:name="_Hlk80357646"/>
      <w:bookmarkEnd w:id="44"/>
      <w:r w:rsidRPr="00D6259F">
        <w:rPr>
          <w:color w:val="000000" w:themeColor="text1"/>
          <w:lang w:eastAsia="en-GB"/>
        </w:rPr>
        <w:t xml:space="preserve">For revenue from other operating activities of </w:t>
      </w:r>
      <w:r w:rsidR="00525848" w:rsidRPr="00D6259F">
        <w:rPr>
          <w:color w:val="000000" w:themeColor="text1"/>
          <w:lang w:eastAsia="en-GB"/>
        </w:rPr>
        <w:t xml:space="preserve">the </w:t>
      </w:r>
      <w:r w:rsidRPr="00D6259F">
        <w:rPr>
          <w:color w:val="000000" w:themeColor="text1"/>
          <w:lang w:eastAsia="en-GB"/>
        </w:rPr>
        <w:t xml:space="preserve">Council, the </w:t>
      </w:r>
      <w:r w:rsidR="00857EF0" w:rsidRPr="00D6259F">
        <w:rPr>
          <w:color w:val="000000" w:themeColor="text1"/>
          <w:lang w:eastAsia="en-GB"/>
        </w:rPr>
        <w:t>five major</w:t>
      </w:r>
      <w:r w:rsidRPr="00D6259F">
        <w:rPr>
          <w:color w:val="000000" w:themeColor="text1"/>
          <w:lang w:eastAsia="en-GB"/>
        </w:rPr>
        <w:t xml:space="preserve"> </w:t>
      </w:r>
      <w:r w:rsidR="00F95DD9" w:rsidRPr="00D6259F">
        <w:rPr>
          <w:color w:val="000000" w:themeColor="text1"/>
          <w:lang w:eastAsia="en-GB"/>
        </w:rPr>
        <w:t xml:space="preserve">revenue streams </w:t>
      </w:r>
      <w:r w:rsidR="00263438" w:rsidRPr="00D6259F">
        <w:rPr>
          <w:color w:val="000000" w:themeColor="text1"/>
          <w:lang w:eastAsia="en-GB"/>
        </w:rPr>
        <w:t xml:space="preserve">for 2023/24 </w:t>
      </w:r>
      <w:r w:rsidRPr="00D6259F">
        <w:rPr>
          <w:color w:val="000000" w:themeColor="text1"/>
          <w:lang w:eastAsia="en-GB"/>
        </w:rPr>
        <w:t>were:</w:t>
      </w:r>
    </w:p>
    <w:p w14:paraId="4CAFDBF2" w14:textId="28045ECD" w:rsidR="006D2CAB" w:rsidRPr="00D6259F" w:rsidRDefault="006D2CAB" w:rsidP="006D2CAB">
      <w:pPr>
        <w:pStyle w:val="ListParagraph"/>
        <w:numPr>
          <w:ilvl w:val="0"/>
          <w:numId w:val="14"/>
        </w:numPr>
        <w:rPr>
          <w:color w:val="000000" w:themeColor="text1"/>
          <w:lang w:eastAsia="en-GB"/>
        </w:rPr>
      </w:pPr>
      <w:bookmarkStart w:id="47" w:name="_Hlk143677889"/>
      <w:r w:rsidRPr="00D6259F">
        <w:rPr>
          <w:color w:val="000000" w:themeColor="text1"/>
          <w:lang w:eastAsia="en-GB"/>
        </w:rPr>
        <w:t>Landfill operations and recycling - $</w:t>
      </w:r>
      <w:r w:rsidR="003637BE" w:rsidRPr="00D6259F">
        <w:rPr>
          <w:color w:val="000000" w:themeColor="text1"/>
          <w:lang w:eastAsia="en-GB"/>
        </w:rPr>
        <w:t xml:space="preserve">34.2m </w:t>
      </w:r>
      <w:r w:rsidRPr="00D6259F">
        <w:rPr>
          <w:color w:val="000000" w:themeColor="text1"/>
          <w:lang w:eastAsia="en-GB"/>
        </w:rPr>
        <w:t>(202</w:t>
      </w:r>
      <w:r w:rsidR="00332A07" w:rsidRPr="00D6259F">
        <w:rPr>
          <w:color w:val="000000" w:themeColor="text1"/>
          <w:lang w:eastAsia="en-GB"/>
        </w:rPr>
        <w:t>3</w:t>
      </w:r>
      <w:r w:rsidRPr="00D6259F">
        <w:rPr>
          <w:color w:val="000000" w:themeColor="text1"/>
          <w:lang w:eastAsia="en-GB"/>
        </w:rPr>
        <w:t>: $</w:t>
      </w:r>
      <w:r w:rsidR="00332A07" w:rsidRPr="00D6259F">
        <w:rPr>
          <w:color w:val="000000" w:themeColor="text1"/>
          <w:lang w:eastAsia="en-GB"/>
        </w:rPr>
        <w:t>31.1m</w:t>
      </w:r>
      <w:r w:rsidRPr="00D6259F">
        <w:rPr>
          <w:color w:val="000000" w:themeColor="text1"/>
          <w:lang w:eastAsia="en-GB"/>
        </w:rPr>
        <w:t>) – including unbudgeted revenue from the joint operation</w:t>
      </w:r>
      <w:r w:rsidR="00F95DD9" w:rsidRPr="00D6259F">
        <w:rPr>
          <w:color w:val="000000" w:themeColor="text1"/>
          <w:lang w:eastAsia="en-GB"/>
        </w:rPr>
        <w:t>s</w:t>
      </w:r>
      <w:r w:rsidRPr="00D6259F">
        <w:rPr>
          <w:color w:val="000000" w:themeColor="text1"/>
          <w:lang w:eastAsia="en-GB"/>
        </w:rPr>
        <w:t xml:space="preserve"> with Porirua City Council </w:t>
      </w:r>
      <w:r w:rsidR="00F95DD9" w:rsidRPr="00D6259F">
        <w:rPr>
          <w:color w:val="000000" w:themeColor="text1"/>
          <w:lang w:eastAsia="en-GB"/>
        </w:rPr>
        <w:t xml:space="preserve">of </w:t>
      </w:r>
      <w:r w:rsidRPr="00D6259F">
        <w:rPr>
          <w:color w:val="000000" w:themeColor="text1"/>
          <w:lang w:eastAsia="en-GB"/>
        </w:rPr>
        <w:t>$</w:t>
      </w:r>
      <w:r w:rsidR="003637BE" w:rsidRPr="00D6259F">
        <w:rPr>
          <w:color w:val="000000" w:themeColor="text1"/>
          <w:lang w:eastAsia="en-GB"/>
        </w:rPr>
        <w:t>5.9m</w:t>
      </w:r>
      <w:r w:rsidR="00332A07" w:rsidRPr="00D6259F">
        <w:rPr>
          <w:color w:val="000000" w:themeColor="text1"/>
          <w:lang w:eastAsia="en-GB"/>
        </w:rPr>
        <w:t xml:space="preserve"> </w:t>
      </w:r>
      <w:r w:rsidRPr="00D6259F">
        <w:rPr>
          <w:color w:val="000000" w:themeColor="text1"/>
          <w:lang w:eastAsia="en-GB"/>
        </w:rPr>
        <w:t>(202</w:t>
      </w:r>
      <w:r w:rsidR="00332A07" w:rsidRPr="00D6259F">
        <w:rPr>
          <w:color w:val="000000" w:themeColor="text1"/>
          <w:lang w:eastAsia="en-GB"/>
        </w:rPr>
        <w:t>3</w:t>
      </w:r>
      <w:r w:rsidRPr="00D6259F">
        <w:rPr>
          <w:color w:val="000000" w:themeColor="text1"/>
          <w:lang w:eastAsia="en-GB"/>
        </w:rPr>
        <w:t>: $</w:t>
      </w:r>
      <w:r w:rsidR="00332A07" w:rsidRPr="00D6259F">
        <w:rPr>
          <w:color w:val="000000" w:themeColor="text1"/>
          <w:lang w:eastAsia="en-GB"/>
        </w:rPr>
        <w:t>2.6m</w:t>
      </w:r>
      <w:r w:rsidRPr="00D6259F">
        <w:rPr>
          <w:color w:val="000000" w:themeColor="text1"/>
          <w:lang w:eastAsia="en-GB"/>
        </w:rPr>
        <w:t>).</w:t>
      </w:r>
    </w:p>
    <w:p w14:paraId="23BF148B" w14:textId="1E708DC7" w:rsidR="00263438" w:rsidRPr="00D6259F" w:rsidRDefault="00263438" w:rsidP="006D2CAB">
      <w:pPr>
        <w:pStyle w:val="ListParagraph"/>
        <w:numPr>
          <w:ilvl w:val="0"/>
          <w:numId w:val="14"/>
        </w:numPr>
        <w:rPr>
          <w:color w:val="000000" w:themeColor="text1"/>
          <w:lang w:eastAsia="en-GB"/>
        </w:rPr>
      </w:pPr>
      <w:r w:rsidRPr="00D6259F">
        <w:rPr>
          <w:color w:val="000000" w:themeColor="text1"/>
          <w:lang w:eastAsia="en-GB"/>
        </w:rPr>
        <w:t>Lease revenue - $29.4m (2023: $8.3m)</w:t>
      </w:r>
    </w:p>
    <w:p w14:paraId="46DC99B1" w14:textId="5F6061D0" w:rsidR="00D422B1" w:rsidRPr="00D6259F" w:rsidRDefault="00D422B1" w:rsidP="00E76A2E">
      <w:pPr>
        <w:pStyle w:val="ListParagraph"/>
        <w:numPr>
          <w:ilvl w:val="0"/>
          <w:numId w:val="14"/>
        </w:numPr>
        <w:rPr>
          <w:color w:val="000000" w:themeColor="text1"/>
          <w:lang w:eastAsia="en-GB"/>
        </w:rPr>
      </w:pPr>
      <w:r w:rsidRPr="00D6259F">
        <w:rPr>
          <w:color w:val="000000" w:themeColor="text1"/>
          <w:lang w:eastAsia="en-GB"/>
        </w:rPr>
        <w:t>Parking fees and permits - $</w:t>
      </w:r>
      <w:r w:rsidR="003637BE" w:rsidRPr="00D6259F">
        <w:rPr>
          <w:color w:val="000000" w:themeColor="text1"/>
          <w:lang w:eastAsia="en-GB"/>
        </w:rPr>
        <w:t xml:space="preserve">23.4m </w:t>
      </w:r>
      <w:r w:rsidRPr="00D6259F">
        <w:rPr>
          <w:color w:val="000000" w:themeColor="text1"/>
          <w:lang w:eastAsia="en-GB"/>
        </w:rPr>
        <w:t>(</w:t>
      </w:r>
      <w:r w:rsidR="00761EC5" w:rsidRPr="00D6259F">
        <w:rPr>
          <w:color w:val="000000" w:themeColor="text1"/>
          <w:lang w:eastAsia="en-GB"/>
        </w:rPr>
        <w:t>202</w:t>
      </w:r>
      <w:r w:rsidR="00332A07" w:rsidRPr="00D6259F">
        <w:rPr>
          <w:color w:val="000000" w:themeColor="text1"/>
          <w:lang w:eastAsia="en-GB"/>
        </w:rPr>
        <w:t>3</w:t>
      </w:r>
      <w:r w:rsidRPr="00D6259F">
        <w:rPr>
          <w:color w:val="000000" w:themeColor="text1"/>
          <w:lang w:eastAsia="en-GB"/>
        </w:rPr>
        <w:t>: $</w:t>
      </w:r>
      <w:r w:rsidR="00332A07" w:rsidRPr="00D6259F">
        <w:rPr>
          <w:color w:val="000000" w:themeColor="text1"/>
          <w:lang w:eastAsia="en-GB"/>
        </w:rPr>
        <w:t>24.4m</w:t>
      </w:r>
      <w:r w:rsidRPr="00D6259F">
        <w:rPr>
          <w:color w:val="000000" w:themeColor="text1"/>
          <w:lang w:eastAsia="en-GB"/>
        </w:rPr>
        <w:t>)</w:t>
      </w:r>
    </w:p>
    <w:p w14:paraId="79250819" w14:textId="2C6CA014" w:rsidR="00D422B1" w:rsidRPr="00D6259F" w:rsidRDefault="00D422B1" w:rsidP="00E76A2E">
      <w:pPr>
        <w:pStyle w:val="ListParagraph"/>
        <w:numPr>
          <w:ilvl w:val="0"/>
          <w:numId w:val="14"/>
        </w:numPr>
        <w:rPr>
          <w:color w:val="000000" w:themeColor="text1"/>
          <w:lang w:eastAsia="en-GB"/>
        </w:rPr>
      </w:pPr>
      <w:r w:rsidRPr="00D6259F">
        <w:rPr>
          <w:color w:val="000000" w:themeColor="text1"/>
          <w:lang w:eastAsia="en-GB"/>
        </w:rPr>
        <w:lastRenderedPageBreak/>
        <w:t xml:space="preserve">Consents and licensing services - </w:t>
      </w:r>
      <w:r w:rsidR="003637BE" w:rsidRPr="00D6259F">
        <w:rPr>
          <w:color w:val="000000" w:themeColor="text1"/>
          <w:lang w:eastAsia="en-GB"/>
        </w:rPr>
        <w:t>$18.0m</w:t>
      </w:r>
      <w:r w:rsidR="00332A07" w:rsidRPr="00D6259F">
        <w:rPr>
          <w:color w:val="000000" w:themeColor="text1"/>
          <w:lang w:eastAsia="en-GB"/>
        </w:rPr>
        <w:t xml:space="preserve"> </w:t>
      </w:r>
      <w:r w:rsidRPr="00D6259F">
        <w:rPr>
          <w:color w:val="000000" w:themeColor="text1"/>
          <w:lang w:eastAsia="en-GB"/>
        </w:rPr>
        <w:t>(</w:t>
      </w:r>
      <w:r w:rsidR="00761EC5" w:rsidRPr="00D6259F">
        <w:rPr>
          <w:color w:val="000000" w:themeColor="text1"/>
          <w:lang w:eastAsia="en-GB"/>
        </w:rPr>
        <w:t>202</w:t>
      </w:r>
      <w:r w:rsidR="00332A07" w:rsidRPr="00D6259F">
        <w:rPr>
          <w:color w:val="000000" w:themeColor="text1"/>
          <w:lang w:eastAsia="en-GB"/>
        </w:rPr>
        <w:t>3</w:t>
      </w:r>
      <w:r w:rsidR="00A4546F" w:rsidRPr="00D6259F">
        <w:rPr>
          <w:color w:val="000000" w:themeColor="text1"/>
          <w:lang w:eastAsia="en-GB"/>
        </w:rPr>
        <w:t>:</w:t>
      </w:r>
      <w:r w:rsidRPr="00D6259F">
        <w:rPr>
          <w:color w:val="000000" w:themeColor="text1"/>
          <w:lang w:eastAsia="en-GB"/>
        </w:rPr>
        <w:t xml:space="preserve"> $</w:t>
      </w:r>
      <w:r w:rsidR="00332A07" w:rsidRPr="00D6259F">
        <w:rPr>
          <w:color w:val="000000" w:themeColor="text1"/>
          <w:lang w:eastAsia="en-GB"/>
        </w:rPr>
        <w:t>17.</w:t>
      </w:r>
      <w:r w:rsidR="00596C2C" w:rsidRPr="00D6259F">
        <w:rPr>
          <w:color w:val="000000" w:themeColor="text1"/>
          <w:lang w:eastAsia="en-GB"/>
        </w:rPr>
        <w:t>5</w:t>
      </w:r>
      <w:r w:rsidR="00332A07" w:rsidRPr="00D6259F">
        <w:rPr>
          <w:color w:val="000000" w:themeColor="text1"/>
          <w:lang w:eastAsia="en-GB"/>
        </w:rPr>
        <w:t>m</w:t>
      </w:r>
      <w:r w:rsidRPr="00D6259F">
        <w:rPr>
          <w:color w:val="000000" w:themeColor="text1"/>
          <w:lang w:eastAsia="en-GB"/>
        </w:rPr>
        <w:t>)</w:t>
      </w:r>
    </w:p>
    <w:p w14:paraId="1CB4A6EA" w14:textId="61EAA9B7" w:rsidR="00D422B1" w:rsidRPr="00D6259F" w:rsidRDefault="00D422B1" w:rsidP="00E76A2E">
      <w:pPr>
        <w:pStyle w:val="ListParagraph"/>
        <w:numPr>
          <w:ilvl w:val="0"/>
          <w:numId w:val="14"/>
        </w:numPr>
        <w:rPr>
          <w:color w:val="000000" w:themeColor="text1"/>
          <w:lang w:eastAsia="en-GB"/>
        </w:rPr>
      </w:pPr>
      <w:r w:rsidRPr="00D6259F">
        <w:rPr>
          <w:color w:val="000000" w:themeColor="text1"/>
          <w:lang w:eastAsia="en-GB"/>
        </w:rPr>
        <w:t xml:space="preserve">Convention and conference centres – </w:t>
      </w:r>
      <w:r w:rsidR="00332A07" w:rsidRPr="00D6259F">
        <w:rPr>
          <w:color w:val="000000" w:themeColor="text1"/>
          <w:lang w:eastAsia="en-GB"/>
        </w:rPr>
        <w:t>$</w:t>
      </w:r>
      <w:r w:rsidR="003637BE" w:rsidRPr="00D6259F">
        <w:rPr>
          <w:color w:val="000000" w:themeColor="text1"/>
          <w:lang w:eastAsia="en-GB"/>
        </w:rPr>
        <w:t xml:space="preserve">15.2m </w:t>
      </w:r>
      <w:r w:rsidRPr="00D6259F">
        <w:rPr>
          <w:color w:val="000000" w:themeColor="text1"/>
          <w:lang w:eastAsia="en-GB"/>
        </w:rPr>
        <w:t>(2</w:t>
      </w:r>
      <w:r w:rsidR="00761EC5" w:rsidRPr="00D6259F">
        <w:rPr>
          <w:color w:val="000000" w:themeColor="text1"/>
          <w:lang w:eastAsia="en-GB"/>
        </w:rPr>
        <w:t>02</w:t>
      </w:r>
      <w:r w:rsidR="00332A07" w:rsidRPr="00D6259F">
        <w:rPr>
          <w:color w:val="000000" w:themeColor="text1"/>
          <w:lang w:eastAsia="en-GB"/>
        </w:rPr>
        <w:t>3</w:t>
      </w:r>
      <w:r w:rsidRPr="00D6259F">
        <w:rPr>
          <w:color w:val="000000" w:themeColor="text1"/>
          <w:lang w:eastAsia="en-GB"/>
        </w:rPr>
        <w:t>: $</w:t>
      </w:r>
      <w:r w:rsidR="00332A07" w:rsidRPr="00D6259F">
        <w:rPr>
          <w:color w:val="000000" w:themeColor="text1"/>
          <w:lang w:eastAsia="en-GB"/>
        </w:rPr>
        <w:t>15.9m</w:t>
      </w:r>
      <w:r w:rsidRPr="00D6259F">
        <w:rPr>
          <w:color w:val="000000" w:themeColor="text1"/>
          <w:lang w:eastAsia="en-GB"/>
        </w:rPr>
        <w:t>)</w:t>
      </w:r>
    </w:p>
    <w:bookmarkEnd w:id="45"/>
    <w:p w14:paraId="5075E62C" w14:textId="6256D26E" w:rsidR="008005FD" w:rsidRPr="00D6259F" w:rsidRDefault="00E9715E" w:rsidP="008005FD">
      <w:pPr>
        <w:rPr>
          <w:color w:val="000000" w:themeColor="text1"/>
          <w:lang w:eastAsia="en-GB"/>
        </w:rPr>
      </w:pPr>
      <w:r w:rsidRPr="00D6259F">
        <w:rPr>
          <w:color w:val="000000" w:themeColor="text1"/>
          <w:lang w:eastAsia="en-GB"/>
        </w:rPr>
        <w:t>S</w:t>
      </w:r>
      <w:r w:rsidR="00D422B1" w:rsidRPr="00D6259F">
        <w:rPr>
          <w:color w:val="000000" w:themeColor="text1"/>
          <w:lang w:eastAsia="en-GB"/>
        </w:rPr>
        <w:t xml:space="preserve">ee </w:t>
      </w:r>
      <w:r w:rsidR="00D422B1" w:rsidRPr="00D6259F">
        <w:rPr>
          <w:i/>
          <w:color w:val="000000" w:themeColor="text1"/>
          <w:lang w:eastAsia="en-GB"/>
        </w:rPr>
        <w:t xml:space="preserve">Figure 2 </w:t>
      </w:r>
      <w:r w:rsidR="00D422B1" w:rsidRPr="00D6259F">
        <w:rPr>
          <w:color w:val="000000" w:themeColor="text1"/>
          <w:lang w:eastAsia="en-GB"/>
        </w:rPr>
        <w:t>for a trend analysis of the</w:t>
      </w:r>
      <w:r w:rsidR="00263438" w:rsidRPr="00D6259F">
        <w:rPr>
          <w:color w:val="000000" w:themeColor="text1"/>
          <w:lang w:eastAsia="en-GB"/>
        </w:rPr>
        <w:t xml:space="preserve"> five m</w:t>
      </w:r>
      <w:r w:rsidR="00D422B1" w:rsidRPr="00D6259F">
        <w:rPr>
          <w:color w:val="000000" w:themeColor="text1"/>
          <w:lang w:eastAsia="en-GB"/>
        </w:rPr>
        <w:t>ajor revenue streams</w:t>
      </w:r>
      <w:r w:rsidR="00263438" w:rsidRPr="00D6259F">
        <w:rPr>
          <w:color w:val="000000" w:themeColor="text1"/>
          <w:lang w:eastAsia="en-GB"/>
        </w:rPr>
        <w:t xml:space="preserve"> for each of the past five years</w:t>
      </w:r>
      <w:r w:rsidR="00D422B1" w:rsidRPr="00D6259F">
        <w:rPr>
          <w:color w:val="000000" w:themeColor="text1"/>
          <w:lang w:eastAsia="en-GB"/>
        </w:rPr>
        <w:t>.</w:t>
      </w:r>
    </w:p>
    <w:p w14:paraId="5449787A" w14:textId="55E766CF" w:rsidR="00D422B1" w:rsidRPr="00D6259F" w:rsidRDefault="00D422B1" w:rsidP="006B2295">
      <w:pPr>
        <w:pStyle w:val="Caption"/>
        <w:rPr>
          <w:color w:val="000000" w:themeColor="text1"/>
        </w:rPr>
      </w:pPr>
      <w:r w:rsidRPr="00D6259F">
        <w:rPr>
          <w:color w:val="000000" w:themeColor="text1"/>
        </w:rPr>
        <w:t>Figure 2: 5-year trend for major revenue streams ($000)</w:t>
      </w:r>
    </w:p>
    <w:p w14:paraId="3AD8BAA0" w14:textId="7CBA2DCD" w:rsidR="00686389" w:rsidRPr="00D6259F" w:rsidRDefault="005631A7" w:rsidP="00686389">
      <w:pPr>
        <w:rPr>
          <w:color w:val="000000" w:themeColor="text1"/>
          <w:lang w:eastAsia="en-NZ"/>
        </w:rPr>
      </w:pPr>
      <w:r w:rsidRPr="00D6259F">
        <w:rPr>
          <w:noProof/>
          <w:color w:val="000000" w:themeColor="text1"/>
        </w:rPr>
        <w:drawing>
          <wp:inline distT="0" distB="0" distL="0" distR="0" wp14:anchorId="0D7C12CD" wp14:editId="3C53C3E5">
            <wp:extent cx="6235700" cy="3149600"/>
            <wp:effectExtent l="0" t="0" r="12700" b="12700"/>
            <wp:docPr id="764948594" name="Chart 1">
              <a:extLst xmlns:a="http://schemas.openxmlformats.org/drawingml/2006/main">
                <a:ext uri="{FF2B5EF4-FFF2-40B4-BE49-F238E27FC236}">
                  <a16:creationId xmlns:a16="http://schemas.microsoft.com/office/drawing/2014/main" id="{9CB51028-4DFC-46D0-B8C1-9AC636BE76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A33ABDC" w14:textId="409BF389" w:rsidR="00A00052" w:rsidRPr="00D6259F" w:rsidRDefault="00470D68" w:rsidP="00AD0827">
      <w:pPr>
        <w:pStyle w:val="Heading4"/>
      </w:pPr>
      <w:bookmarkStart w:id="48" w:name="_Hlk124753728"/>
      <w:r w:rsidRPr="00D6259F">
        <w:t>Five</w:t>
      </w:r>
      <w:r w:rsidR="00D422B1" w:rsidRPr="00D6259F">
        <w:t xml:space="preserve">-year </w:t>
      </w:r>
      <w:r w:rsidRPr="00D6259F">
        <w:t>t</w:t>
      </w:r>
      <w:r w:rsidR="00D422B1" w:rsidRPr="00D6259F">
        <w:t>rend analysis</w:t>
      </w:r>
      <w:r w:rsidR="00903D0A" w:rsidRPr="00D6259F">
        <w:t xml:space="preserve"> commentary</w:t>
      </w:r>
      <w:r w:rsidR="000F1FBE" w:rsidRPr="00D6259F">
        <w:t xml:space="preserve">  </w:t>
      </w:r>
    </w:p>
    <w:p w14:paraId="3585663B" w14:textId="7224B513" w:rsidR="00842CF2" w:rsidRPr="00D6259F" w:rsidRDefault="00842CF2" w:rsidP="00842CF2">
      <w:pPr>
        <w:pStyle w:val="Heading5"/>
        <w:rPr>
          <w:color w:val="000000" w:themeColor="text1"/>
        </w:rPr>
      </w:pPr>
      <w:bookmarkStart w:id="49" w:name="_Hlk110591766"/>
      <w:r w:rsidRPr="00D6259F">
        <w:rPr>
          <w:color w:val="000000" w:themeColor="text1"/>
        </w:rPr>
        <w:t xml:space="preserve">Landfill </w:t>
      </w:r>
      <w:r w:rsidR="00500D21" w:rsidRPr="00D6259F">
        <w:rPr>
          <w:color w:val="000000" w:themeColor="text1"/>
        </w:rPr>
        <w:t>o</w:t>
      </w:r>
      <w:r w:rsidRPr="00D6259F">
        <w:rPr>
          <w:color w:val="000000" w:themeColor="text1"/>
        </w:rPr>
        <w:t xml:space="preserve">perations and </w:t>
      </w:r>
      <w:proofErr w:type="gramStart"/>
      <w:r w:rsidR="00500D21" w:rsidRPr="00D6259F">
        <w:rPr>
          <w:color w:val="000000" w:themeColor="text1"/>
        </w:rPr>
        <w:t>r</w:t>
      </w:r>
      <w:r w:rsidRPr="00D6259F">
        <w:rPr>
          <w:color w:val="000000" w:themeColor="text1"/>
        </w:rPr>
        <w:t>ecycling</w:t>
      </w:r>
      <w:proofErr w:type="gramEnd"/>
    </w:p>
    <w:p w14:paraId="4CD5B465" w14:textId="0B53F453" w:rsidR="00314FB1" w:rsidRPr="00D6259F" w:rsidRDefault="00B8292D" w:rsidP="00314FB1">
      <w:pPr>
        <w:rPr>
          <w:color w:val="000000" w:themeColor="text1"/>
          <w:highlight w:val="yellow"/>
          <w:lang w:eastAsia="en-GB"/>
        </w:rPr>
      </w:pPr>
      <w:r w:rsidRPr="00D6259F">
        <w:rPr>
          <w:color w:val="000000" w:themeColor="text1"/>
          <w:lang w:eastAsia="en-GB"/>
        </w:rPr>
        <w:t xml:space="preserve">The revenue </w:t>
      </w:r>
      <w:r w:rsidR="00500D21" w:rsidRPr="00D6259F">
        <w:rPr>
          <w:color w:val="000000" w:themeColor="text1"/>
          <w:lang w:eastAsia="en-GB"/>
        </w:rPr>
        <w:t xml:space="preserve">from landfill operations and recycling </w:t>
      </w:r>
      <w:r w:rsidR="00125B37" w:rsidRPr="00D6259F">
        <w:rPr>
          <w:color w:val="000000" w:themeColor="text1"/>
          <w:lang w:eastAsia="en-GB"/>
        </w:rPr>
        <w:t xml:space="preserve">has continued to grow steadily and </w:t>
      </w:r>
      <w:r w:rsidRPr="00D6259F">
        <w:rPr>
          <w:color w:val="000000" w:themeColor="text1"/>
          <w:lang w:eastAsia="en-GB"/>
        </w:rPr>
        <w:t>increase</w:t>
      </w:r>
      <w:r w:rsidR="00500D21" w:rsidRPr="00D6259F">
        <w:rPr>
          <w:color w:val="000000" w:themeColor="text1"/>
          <w:lang w:eastAsia="en-GB"/>
        </w:rPr>
        <w:t xml:space="preserve">d </w:t>
      </w:r>
      <w:r w:rsidRPr="00D6259F">
        <w:rPr>
          <w:color w:val="000000" w:themeColor="text1"/>
          <w:lang w:eastAsia="en-GB"/>
        </w:rPr>
        <w:t xml:space="preserve">in 2023/24 by $3.1m </w:t>
      </w:r>
      <w:r w:rsidR="00500D21" w:rsidRPr="00D6259F">
        <w:rPr>
          <w:color w:val="000000" w:themeColor="text1"/>
          <w:lang w:eastAsia="en-GB"/>
        </w:rPr>
        <w:t>reflecting an increase in the amount of contaminated soil received at the landfill compared to the prior year.</w:t>
      </w:r>
    </w:p>
    <w:p w14:paraId="47884719" w14:textId="6A8B19F1" w:rsidR="00842CF2" w:rsidRPr="00D6259F" w:rsidRDefault="00842CF2" w:rsidP="00842CF2">
      <w:pPr>
        <w:rPr>
          <w:color w:val="000000" w:themeColor="text1"/>
        </w:rPr>
      </w:pPr>
      <w:r w:rsidRPr="00D6259F">
        <w:rPr>
          <w:color w:val="000000" w:themeColor="text1"/>
          <w:lang w:eastAsia="en-GB"/>
        </w:rPr>
        <w:t xml:space="preserve">For further information – refer to Section 4: Our performance in detail - strategy </w:t>
      </w:r>
      <w:r w:rsidR="0051297F" w:rsidRPr="00D6259F">
        <w:rPr>
          <w:color w:val="000000" w:themeColor="text1"/>
          <w:lang w:eastAsia="en-GB"/>
        </w:rPr>
        <w:t xml:space="preserve">area </w:t>
      </w:r>
      <w:r w:rsidRPr="00D6259F">
        <w:rPr>
          <w:color w:val="000000" w:themeColor="text1"/>
          <w:lang w:eastAsia="en-GB"/>
        </w:rPr>
        <w:t xml:space="preserve">2.2 – Waste reduction and energy conservation (Volume 1, page </w:t>
      </w:r>
      <w:r w:rsidR="00215DF4" w:rsidRPr="00D6259F">
        <w:rPr>
          <w:color w:val="000000" w:themeColor="text1"/>
          <w:lang w:eastAsia="en-GB"/>
        </w:rPr>
        <w:t>52</w:t>
      </w:r>
      <w:r w:rsidRPr="00D6259F">
        <w:rPr>
          <w:color w:val="000000" w:themeColor="text1"/>
          <w:lang w:eastAsia="en-GB"/>
        </w:rPr>
        <w:t>).</w:t>
      </w:r>
    </w:p>
    <w:p w14:paraId="48BC8D3D" w14:textId="29F3D70A" w:rsidR="00191145" w:rsidRPr="00D6259F" w:rsidRDefault="00191145" w:rsidP="006B2295">
      <w:pPr>
        <w:pStyle w:val="Heading5"/>
        <w:rPr>
          <w:color w:val="000000" w:themeColor="text1"/>
        </w:rPr>
      </w:pPr>
      <w:r w:rsidRPr="00D6259F">
        <w:rPr>
          <w:color w:val="000000" w:themeColor="text1"/>
        </w:rPr>
        <w:t xml:space="preserve">Parking fees and </w:t>
      </w:r>
      <w:proofErr w:type="gramStart"/>
      <w:r w:rsidRPr="00D6259F">
        <w:rPr>
          <w:color w:val="000000" w:themeColor="text1"/>
        </w:rPr>
        <w:t>permits</w:t>
      </w:r>
      <w:proofErr w:type="gramEnd"/>
    </w:p>
    <w:p w14:paraId="3C5B72DF" w14:textId="46819FEC" w:rsidR="00314FB1" w:rsidRPr="00D6259F" w:rsidRDefault="00FE4109" w:rsidP="00314FB1">
      <w:pPr>
        <w:rPr>
          <w:color w:val="000000" w:themeColor="text1"/>
          <w:highlight w:val="yellow"/>
          <w:lang w:eastAsia="en-GB"/>
        </w:rPr>
      </w:pPr>
      <w:r w:rsidRPr="00D6259F">
        <w:rPr>
          <w:color w:val="000000" w:themeColor="text1"/>
          <w:lang w:eastAsia="en-GB"/>
        </w:rPr>
        <w:t xml:space="preserve">The revenue for parking fees and permits has </w:t>
      </w:r>
      <w:r w:rsidR="00500D21" w:rsidRPr="00D6259F">
        <w:rPr>
          <w:color w:val="000000" w:themeColor="text1"/>
          <w:lang w:eastAsia="en-GB"/>
        </w:rPr>
        <w:t xml:space="preserve">been relatively stable over the last </w:t>
      </w:r>
      <w:r w:rsidR="00125B37" w:rsidRPr="00D6259F">
        <w:rPr>
          <w:color w:val="000000" w:themeColor="text1"/>
          <w:lang w:eastAsia="en-GB"/>
        </w:rPr>
        <w:t>4</w:t>
      </w:r>
      <w:r w:rsidR="00500D21" w:rsidRPr="00D6259F">
        <w:rPr>
          <w:color w:val="000000" w:themeColor="text1"/>
          <w:lang w:eastAsia="en-GB"/>
        </w:rPr>
        <w:t xml:space="preserve"> </w:t>
      </w:r>
      <w:r w:rsidR="00125B37" w:rsidRPr="00D6259F">
        <w:rPr>
          <w:color w:val="000000" w:themeColor="text1"/>
          <w:lang w:eastAsia="en-GB"/>
        </w:rPr>
        <w:t>years following the impact of C</w:t>
      </w:r>
      <w:r w:rsidR="00753374" w:rsidRPr="00D6259F">
        <w:rPr>
          <w:color w:val="000000" w:themeColor="text1"/>
          <w:lang w:eastAsia="en-GB"/>
        </w:rPr>
        <w:t>OVID</w:t>
      </w:r>
      <w:r w:rsidR="00125B37" w:rsidRPr="00D6259F">
        <w:rPr>
          <w:color w:val="000000" w:themeColor="text1"/>
          <w:lang w:eastAsia="en-GB"/>
        </w:rPr>
        <w:t>-19 restrictions reducing revenue in 2019/20.</w:t>
      </w:r>
    </w:p>
    <w:p w14:paraId="04832E03" w14:textId="057354FC" w:rsidR="00FB3CC0" w:rsidRPr="00D6259F" w:rsidRDefault="00FB3CC0" w:rsidP="006B2295">
      <w:pPr>
        <w:rPr>
          <w:color w:val="000000" w:themeColor="text1"/>
          <w:lang w:eastAsia="en-GB"/>
        </w:rPr>
      </w:pPr>
      <w:r w:rsidRPr="00D6259F">
        <w:rPr>
          <w:color w:val="000000" w:themeColor="text1"/>
          <w:lang w:eastAsia="en-GB"/>
        </w:rPr>
        <w:t xml:space="preserve">For further information – refer to </w:t>
      </w:r>
      <w:r w:rsidR="00A339CB" w:rsidRPr="00D6259F">
        <w:rPr>
          <w:color w:val="000000" w:themeColor="text1"/>
          <w:lang w:eastAsia="en-GB"/>
        </w:rPr>
        <w:t>Section 4: Our performance in detail -</w:t>
      </w:r>
      <w:r w:rsidRPr="00D6259F">
        <w:rPr>
          <w:color w:val="000000" w:themeColor="text1"/>
          <w:lang w:eastAsia="en-GB"/>
        </w:rPr>
        <w:t xml:space="preserve"> strategy </w:t>
      </w:r>
      <w:r w:rsidR="00F31467" w:rsidRPr="00D6259F">
        <w:rPr>
          <w:color w:val="000000" w:themeColor="text1"/>
          <w:lang w:eastAsia="en-GB"/>
        </w:rPr>
        <w:t xml:space="preserve">area </w:t>
      </w:r>
      <w:r w:rsidRPr="00D6259F">
        <w:rPr>
          <w:color w:val="000000" w:themeColor="text1"/>
          <w:lang w:eastAsia="en-GB"/>
        </w:rPr>
        <w:t>7.2 – Parking (</w:t>
      </w:r>
      <w:r w:rsidR="00E64325" w:rsidRPr="00D6259F">
        <w:rPr>
          <w:color w:val="000000" w:themeColor="text1"/>
          <w:lang w:eastAsia="en-GB"/>
        </w:rPr>
        <w:t xml:space="preserve">Volume 1, </w:t>
      </w:r>
      <w:r w:rsidRPr="00D6259F">
        <w:rPr>
          <w:color w:val="000000" w:themeColor="text1"/>
          <w:lang w:eastAsia="en-GB"/>
        </w:rPr>
        <w:t xml:space="preserve">page </w:t>
      </w:r>
      <w:r w:rsidR="00215DF4" w:rsidRPr="00D6259F">
        <w:rPr>
          <w:color w:val="000000" w:themeColor="text1"/>
          <w:lang w:eastAsia="en-GB"/>
        </w:rPr>
        <w:t>125</w:t>
      </w:r>
      <w:r w:rsidRPr="00D6259F">
        <w:rPr>
          <w:color w:val="000000" w:themeColor="text1"/>
          <w:lang w:eastAsia="en-GB"/>
        </w:rPr>
        <w:t>).</w:t>
      </w:r>
    </w:p>
    <w:p w14:paraId="38EFB645" w14:textId="20474C99" w:rsidR="00273FBC" w:rsidRPr="00D6259F" w:rsidRDefault="00191145" w:rsidP="006B2295">
      <w:pPr>
        <w:pStyle w:val="Heading5"/>
        <w:rPr>
          <w:color w:val="000000" w:themeColor="text1"/>
        </w:rPr>
      </w:pPr>
      <w:bookmarkStart w:id="50" w:name="_Hlk145491639"/>
      <w:r w:rsidRPr="00D6259F">
        <w:rPr>
          <w:color w:val="000000" w:themeColor="text1"/>
        </w:rPr>
        <w:t xml:space="preserve">Consents and </w:t>
      </w:r>
      <w:r w:rsidR="00500D21" w:rsidRPr="00D6259F">
        <w:rPr>
          <w:color w:val="000000" w:themeColor="text1"/>
        </w:rPr>
        <w:t>l</w:t>
      </w:r>
      <w:r w:rsidRPr="00D6259F">
        <w:rPr>
          <w:color w:val="000000" w:themeColor="text1"/>
        </w:rPr>
        <w:t xml:space="preserve">icensing </w:t>
      </w:r>
      <w:r w:rsidR="00E61236" w:rsidRPr="00D6259F">
        <w:rPr>
          <w:color w:val="000000" w:themeColor="text1"/>
        </w:rPr>
        <w:t>s</w:t>
      </w:r>
      <w:r w:rsidRPr="00D6259F">
        <w:rPr>
          <w:color w:val="000000" w:themeColor="text1"/>
        </w:rPr>
        <w:t>ervices</w:t>
      </w:r>
    </w:p>
    <w:bookmarkEnd w:id="50"/>
    <w:p w14:paraId="2EA1BF4D" w14:textId="0B5BA797" w:rsidR="00314FB1" w:rsidRPr="00D6259F" w:rsidRDefault="00E61236" w:rsidP="00314FB1">
      <w:pPr>
        <w:rPr>
          <w:color w:val="000000" w:themeColor="text1"/>
          <w:highlight w:val="yellow"/>
          <w:lang w:eastAsia="en-GB"/>
        </w:rPr>
      </w:pPr>
      <w:r w:rsidRPr="00D6259F">
        <w:rPr>
          <w:color w:val="000000" w:themeColor="text1"/>
          <w:lang w:eastAsia="en-GB"/>
        </w:rPr>
        <w:t>The r</w:t>
      </w:r>
      <w:r w:rsidR="00FE4109" w:rsidRPr="00D6259F">
        <w:rPr>
          <w:color w:val="000000" w:themeColor="text1"/>
          <w:lang w:eastAsia="en-GB"/>
        </w:rPr>
        <w:t xml:space="preserve">evenue </w:t>
      </w:r>
      <w:r w:rsidRPr="00D6259F">
        <w:rPr>
          <w:color w:val="000000" w:themeColor="text1"/>
          <w:lang w:eastAsia="en-GB"/>
        </w:rPr>
        <w:t xml:space="preserve">for consents and licensing services has remained </w:t>
      </w:r>
      <w:r w:rsidR="00FE4109" w:rsidRPr="00D6259F">
        <w:rPr>
          <w:color w:val="000000" w:themeColor="text1"/>
          <w:lang w:eastAsia="en-GB"/>
        </w:rPr>
        <w:t xml:space="preserve">consistent </w:t>
      </w:r>
      <w:r w:rsidRPr="00D6259F">
        <w:rPr>
          <w:color w:val="000000" w:themeColor="text1"/>
          <w:lang w:eastAsia="en-GB"/>
        </w:rPr>
        <w:t xml:space="preserve">with only a small increase in revenue seen in 2023/24. </w:t>
      </w:r>
      <w:r w:rsidR="00433A23" w:rsidRPr="00D6259F">
        <w:rPr>
          <w:color w:val="000000" w:themeColor="text1"/>
          <w:lang w:eastAsia="en-GB"/>
        </w:rPr>
        <w:t xml:space="preserve">While consent volumes continue to increase, they have typically been for smaller projects.   </w:t>
      </w:r>
      <w:r w:rsidRPr="00D6259F">
        <w:rPr>
          <w:color w:val="000000" w:themeColor="text1"/>
          <w:lang w:eastAsia="en-GB"/>
        </w:rPr>
        <w:t xml:space="preserve"> </w:t>
      </w:r>
    </w:p>
    <w:p w14:paraId="5F30416B" w14:textId="75C2D121" w:rsidR="00191145" w:rsidRPr="00D6259F" w:rsidRDefault="00FB3CC0" w:rsidP="006B2295">
      <w:pPr>
        <w:rPr>
          <w:color w:val="000000" w:themeColor="text1"/>
        </w:rPr>
      </w:pPr>
      <w:r w:rsidRPr="00D6259F">
        <w:rPr>
          <w:color w:val="000000" w:themeColor="text1"/>
          <w:lang w:eastAsia="en-GB"/>
        </w:rPr>
        <w:t xml:space="preserve">For further information – refer to </w:t>
      </w:r>
      <w:r w:rsidR="00A339CB" w:rsidRPr="00D6259F">
        <w:rPr>
          <w:color w:val="000000" w:themeColor="text1"/>
          <w:lang w:eastAsia="en-GB"/>
        </w:rPr>
        <w:t>Section 4: Our performance in detail -</w:t>
      </w:r>
      <w:r w:rsidRPr="00D6259F">
        <w:rPr>
          <w:color w:val="000000" w:themeColor="text1"/>
          <w:lang w:eastAsia="en-GB"/>
        </w:rPr>
        <w:t xml:space="preserve"> strategy </w:t>
      </w:r>
      <w:r w:rsidR="00B1203A" w:rsidRPr="00D6259F">
        <w:rPr>
          <w:color w:val="000000" w:themeColor="text1"/>
          <w:lang w:eastAsia="en-GB"/>
        </w:rPr>
        <w:t>area 6</w:t>
      </w:r>
      <w:r w:rsidRPr="00D6259F">
        <w:rPr>
          <w:color w:val="000000" w:themeColor="text1"/>
          <w:lang w:eastAsia="en-GB"/>
        </w:rPr>
        <w:t xml:space="preserve">.2 – </w:t>
      </w:r>
      <w:r w:rsidR="00B1203A" w:rsidRPr="00D6259F">
        <w:rPr>
          <w:color w:val="000000" w:themeColor="text1"/>
          <w:lang w:eastAsia="en-GB"/>
        </w:rPr>
        <w:t>Building and development control</w:t>
      </w:r>
      <w:r w:rsidRPr="00D6259F">
        <w:rPr>
          <w:color w:val="000000" w:themeColor="text1"/>
          <w:lang w:eastAsia="en-GB"/>
        </w:rPr>
        <w:t xml:space="preserve"> (</w:t>
      </w:r>
      <w:r w:rsidR="00562FE2" w:rsidRPr="00D6259F">
        <w:rPr>
          <w:color w:val="000000" w:themeColor="text1"/>
          <w:lang w:eastAsia="en-GB"/>
        </w:rPr>
        <w:t xml:space="preserve">Volume 1, </w:t>
      </w:r>
      <w:r w:rsidRPr="00D6259F">
        <w:rPr>
          <w:color w:val="000000" w:themeColor="text1"/>
          <w:lang w:eastAsia="en-GB"/>
        </w:rPr>
        <w:t xml:space="preserve">page </w:t>
      </w:r>
      <w:r w:rsidR="00215DF4" w:rsidRPr="00D6259F">
        <w:rPr>
          <w:color w:val="000000" w:themeColor="text1"/>
          <w:lang w:eastAsia="en-GB"/>
        </w:rPr>
        <w:t>113</w:t>
      </w:r>
      <w:r w:rsidRPr="00D6259F">
        <w:rPr>
          <w:color w:val="000000" w:themeColor="text1"/>
          <w:lang w:eastAsia="en-GB"/>
        </w:rPr>
        <w:t>).</w:t>
      </w:r>
    </w:p>
    <w:p w14:paraId="594A833B" w14:textId="78B22CE0" w:rsidR="00191145" w:rsidRPr="00D6259F" w:rsidRDefault="00191145" w:rsidP="006B2295">
      <w:pPr>
        <w:pStyle w:val="Heading5"/>
        <w:rPr>
          <w:color w:val="000000" w:themeColor="text1"/>
        </w:rPr>
      </w:pPr>
      <w:r w:rsidRPr="00D6259F">
        <w:rPr>
          <w:color w:val="000000" w:themeColor="text1"/>
        </w:rPr>
        <w:t xml:space="preserve">Convention and </w:t>
      </w:r>
      <w:r w:rsidR="00500D21" w:rsidRPr="00D6259F">
        <w:rPr>
          <w:color w:val="000000" w:themeColor="text1"/>
        </w:rPr>
        <w:t>c</w:t>
      </w:r>
      <w:r w:rsidRPr="00D6259F">
        <w:rPr>
          <w:color w:val="000000" w:themeColor="text1"/>
        </w:rPr>
        <w:t>onference centres</w:t>
      </w:r>
    </w:p>
    <w:p w14:paraId="4A390F94" w14:textId="246CEA62" w:rsidR="00433A23" w:rsidRPr="00D6259F" w:rsidRDefault="00753374" w:rsidP="00433A23">
      <w:pPr>
        <w:rPr>
          <w:rFonts w:ascii="Calibri" w:hAnsi="Calibri"/>
          <w:color w:val="000000" w:themeColor="text1"/>
          <w:lang w:eastAsia="en-GB"/>
        </w:rPr>
      </w:pPr>
      <w:bookmarkStart w:id="51" w:name="_Hlk147225640"/>
      <w:r w:rsidRPr="00D6259F">
        <w:rPr>
          <w:color w:val="000000" w:themeColor="text1"/>
          <w:lang w:eastAsia="en-GB"/>
        </w:rPr>
        <w:t xml:space="preserve">The 2023/24 revenue from convention and conference centres </w:t>
      </w:r>
      <w:r w:rsidR="00433A23" w:rsidRPr="00D6259F">
        <w:rPr>
          <w:color w:val="000000" w:themeColor="text1"/>
          <w:lang w:eastAsia="en-GB"/>
        </w:rPr>
        <w:t xml:space="preserve">is consistent with </w:t>
      </w:r>
      <w:r w:rsidRPr="00D6259F">
        <w:rPr>
          <w:color w:val="000000" w:themeColor="text1"/>
          <w:lang w:eastAsia="en-GB"/>
        </w:rPr>
        <w:t xml:space="preserve">that of the </w:t>
      </w:r>
      <w:r w:rsidR="00433A23" w:rsidRPr="00D6259F">
        <w:rPr>
          <w:color w:val="000000" w:themeColor="text1"/>
          <w:lang w:eastAsia="en-GB"/>
        </w:rPr>
        <w:t xml:space="preserve">prior year but behind </w:t>
      </w:r>
      <w:r w:rsidR="00E33CF5" w:rsidRPr="00D6259F">
        <w:rPr>
          <w:color w:val="000000" w:themeColor="text1"/>
          <w:lang w:eastAsia="en-GB"/>
        </w:rPr>
        <w:t>budget</w:t>
      </w:r>
      <w:r w:rsidR="00433A23" w:rsidRPr="00D6259F">
        <w:rPr>
          <w:color w:val="000000" w:themeColor="text1"/>
          <w:lang w:eastAsia="en-GB"/>
        </w:rPr>
        <w:t xml:space="preserve">. The revenue trend has stabilised to levels prior to COVID-19 with events and </w:t>
      </w:r>
      <w:r w:rsidR="00433A23" w:rsidRPr="00D6259F">
        <w:rPr>
          <w:color w:val="000000" w:themeColor="text1"/>
          <w:lang w:eastAsia="en-GB"/>
        </w:rPr>
        <w:lastRenderedPageBreak/>
        <w:t xml:space="preserve">performances continuing to happen more regularly. The current financial year has </w:t>
      </w:r>
      <w:r w:rsidRPr="00D6259F">
        <w:rPr>
          <w:color w:val="000000" w:themeColor="text1"/>
          <w:lang w:eastAsia="en-GB"/>
        </w:rPr>
        <w:t xml:space="preserve">however </w:t>
      </w:r>
      <w:r w:rsidR="00433A23" w:rsidRPr="00D6259F">
        <w:rPr>
          <w:color w:val="000000" w:themeColor="text1"/>
          <w:lang w:eastAsia="en-GB"/>
        </w:rPr>
        <w:t>been impacted by the adverse economic conditions.    </w:t>
      </w:r>
    </w:p>
    <w:p w14:paraId="1A9954B7" w14:textId="76ADB6A6" w:rsidR="007C1923" w:rsidRPr="00D6259F" w:rsidRDefault="00B1203A" w:rsidP="006B2295">
      <w:pPr>
        <w:rPr>
          <w:color w:val="000000" w:themeColor="text1"/>
          <w:lang w:eastAsia="en-GB"/>
        </w:rPr>
      </w:pPr>
      <w:r w:rsidRPr="00D6259F">
        <w:rPr>
          <w:color w:val="000000" w:themeColor="text1"/>
          <w:lang w:eastAsia="en-GB"/>
        </w:rPr>
        <w:t xml:space="preserve">For further information – refer to </w:t>
      </w:r>
      <w:r w:rsidR="00A339CB" w:rsidRPr="00D6259F">
        <w:rPr>
          <w:color w:val="000000" w:themeColor="text1"/>
          <w:lang w:eastAsia="en-GB"/>
        </w:rPr>
        <w:t>Section 4: Our performance in detail –</w:t>
      </w:r>
      <w:r w:rsidRPr="00D6259F">
        <w:rPr>
          <w:color w:val="000000" w:themeColor="text1"/>
          <w:lang w:eastAsia="en-GB"/>
        </w:rPr>
        <w:t xml:space="preserve"> strategy</w:t>
      </w:r>
      <w:r w:rsidR="00A339CB" w:rsidRPr="00D6259F">
        <w:rPr>
          <w:color w:val="000000" w:themeColor="text1"/>
          <w:lang w:eastAsia="en-GB"/>
        </w:rPr>
        <w:t xml:space="preserve"> area</w:t>
      </w:r>
      <w:r w:rsidRPr="00D6259F">
        <w:rPr>
          <w:color w:val="000000" w:themeColor="text1"/>
          <w:lang w:eastAsia="en-GB"/>
        </w:rPr>
        <w:t xml:space="preserve"> 3.1 – City promotions and business support (</w:t>
      </w:r>
      <w:r w:rsidR="00B63BF4" w:rsidRPr="00D6259F">
        <w:rPr>
          <w:color w:val="000000" w:themeColor="text1"/>
          <w:lang w:eastAsia="en-GB"/>
        </w:rPr>
        <w:t xml:space="preserve">Volume 1, </w:t>
      </w:r>
      <w:r w:rsidRPr="00D6259F">
        <w:rPr>
          <w:color w:val="000000" w:themeColor="text1"/>
          <w:lang w:eastAsia="en-GB"/>
        </w:rPr>
        <w:t xml:space="preserve">page </w:t>
      </w:r>
      <w:r w:rsidR="00215DF4" w:rsidRPr="00D6259F">
        <w:rPr>
          <w:color w:val="000000" w:themeColor="text1"/>
          <w:lang w:eastAsia="en-GB"/>
        </w:rPr>
        <w:t>79</w:t>
      </w:r>
      <w:r w:rsidRPr="00D6259F">
        <w:rPr>
          <w:color w:val="000000" w:themeColor="text1"/>
          <w:lang w:eastAsia="en-GB"/>
        </w:rPr>
        <w:t>).</w:t>
      </w:r>
      <w:bookmarkEnd w:id="46"/>
      <w:bookmarkEnd w:id="49"/>
    </w:p>
    <w:p w14:paraId="4177F283" w14:textId="77777777" w:rsidR="00500D21" w:rsidRPr="00D6259F" w:rsidRDefault="00500D21" w:rsidP="00500D21">
      <w:pPr>
        <w:pStyle w:val="Heading5"/>
        <w:rPr>
          <w:color w:val="000000" w:themeColor="text1"/>
        </w:rPr>
      </w:pPr>
      <w:r w:rsidRPr="00D6259F">
        <w:rPr>
          <w:color w:val="000000" w:themeColor="text1"/>
        </w:rPr>
        <w:t>City Housing</w:t>
      </w:r>
    </w:p>
    <w:p w14:paraId="319F5745" w14:textId="5D95766F" w:rsidR="00500D21" w:rsidRPr="00D6259F" w:rsidRDefault="00500D21" w:rsidP="00500D21">
      <w:pPr>
        <w:rPr>
          <w:color w:val="000000" w:themeColor="text1"/>
          <w:highlight w:val="yellow"/>
          <w:lang w:eastAsia="en-GB"/>
        </w:rPr>
      </w:pPr>
      <w:r w:rsidRPr="00D6259F">
        <w:rPr>
          <w:color w:val="000000" w:themeColor="text1"/>
          <w:lang w:eastAsia="en-GB"/>
        </w:rPr>
        <w:t xml:space="preserve">The revenue trend </w:t>
      </w:r>
      <w:r w:rsidR="00753374" w:rsidRPr="00D6259F">
        <w:rPr>
          <w:color w:val="000000" w:themeColor="text1"/>
          <w:lang w:eastAsia="en-GB"/>
        </w:rPr>
        <w:t xml:space="preserve">for City Housing </w:t>
      </w:r>
      <w:r w:rsidRPr="00D6259F">
        <w:rPr>
          <w:color w:val="000000" w:themeColor="text1"/>
          <w:lang w:eastAsia="en-GB"/>
        </w:rPr>
        <w:t xml:space="preserve">changed significantly in 2023/24 </w:t>
      </w:r>
      <w:r w:rsidR="00753374" w:rsidRPr="00D6259F">
        <w:rPr>
          <w:color w:val="000000" w:themeColor="text1"/>
          <w:lang w:eastAsia="en-GB"/>
        </w:rPr>
        <w:t xml:space="preserve">following </w:t>
      </w:r>
      <w:r w:rsidRPr="00D6259F">
        <w:rPr>
          <w:color w:val="000000" w:themeColor="text1"/>
          <w:lang w:eastAsia="en-GB"/>
        </w:rPr>
        <w:t xml:space="preserve">Te Toi </w:t>
      </w:r>
      <w:proofErr w:type="spellStart"/>
      <w:r w:rsidRPr="00D6259F">
        <w:rPr>
          <w:color w:val="000000" w:themeColor="text1"/>
          <w:lang w:eastAsia="en-GB"/>
        </w:rPr>
        <w:t>Mahana</w:t>
      </w:r>
      <w:proofErr w:type="spellEnd"/>
      <w:r w:rsidRPr="00D6259F">
        <w:rPr>
          <w:color w:val="000000" w:themeColor="text1"/>
          <w:lang w:eastAsia="en-GB"/>
        </w:rPr>
        <w:t xml:space="preserve"> </w:t>
      </w:r>
      <w:r w:rsidR="00753374" w:rsidRPr="00D6259F">
        <w:rPr>
          <w:color w:val="000000" w:themeColor="text1"/>
          <w:lang w:eastAsia="en-GB"/>
        </w:rPr>
        <w:t xml:space="preserve">taking over the operations of the City Housing division </w:t>
      </w:r>
      <w:r w:rsidR="00753374" w:rsidRPr="00D6259F">
        <w:rPr>
          <w:rFonts w:eastAsia="Times New Roman"/>
          <w:color w:val="000000" w:themeColor="text1"/>
        </w:rPr>
        <w:t>in August 2023. </w:t>
      </w:r>
      <w:r w:rsidR="00B10536" w:rsidRPr="00D6259F">
        <w:rPr>
          <w:rFonts w:eastAsia="Times New Roman"/>
          <w:color w:val="000000" w:themeColor="text1"/>
        </w:rPr>
        <w:t xml:space="preserve">The revenue from the lease agreement with Te Toi </w:t>
      </w:r>
      <w:proofErr w:type="spellStart"/>
      <w:r w:rsidR="00B10536" w:rsidRPr="00D6259F">
        <w:rPr>
          <w:rFonts w:eastAsia="Times New Roman"/>
          <w:color w:val="000000" w:themeColor="text1"/>
        </w:rPr>
        <w:t>Mahana</w:t>
      </w:r>
      <w:proofErr w:type="spellEnd"/>
      <w:r w:rsidR="00B10536" w:rsidRPr="00D6259F">
        <w:rPr>
          <w:rFonts w:eastAsia="Times New Roman"/>
          <w:color w:val="000000" w:themeColor="text1"/>
        </w:rPr>
        <w:t xml:space="preserve"> for the Council’s housing properties is </w:t>
      </w:r>
      <w:r w:rsidR="00753374" w:rsidRPr="00D6259F">
        <w:rPr>
          <w:rFonts w:eastAsia="Times New Roman"/>
          <w:color w:val="000000" w:themeColor="text1"/>
        </w:rPr>
        <w:t xml:space="preserve">now recorded as lease revenue </w:t>
      </w:r>
      <w:r w:rsidR="00263438" w:rsidRPr="00D6259F">
        <w:rPr>
          <w:rFonts w:eastAsia="Times New Roman"/>
          <w:color w:val="000000" w:themeColor="text1"/>
        </w:rPr>
        <w:t>(</w:t>
      </w:r>
      <w:r w:rsidR="00CF4BE6" w:rsidRPr="00D6259F">
        <w:rPr>
          <w:rFonts w:eastAsia="Times New Roman"/>
          <w:color w:val="000000" w:themeColor="text1"/>
        </w:rPr>
        <w:t>refer</w:t>
      </w:r>
      <w:r w:rsidR="00263438" w:rsidRPr="00D6259F">
        <w:rPr>
          <w:rFonts w:eastAsia="Times New Roman"/>
          <w:color w:val="000000" w:themeColor="text1"/>
        </w:rPr>
        <w:t xml:space="preserve"> below).</w:t>
      </w:r>
    </w:p>
    <w:p w14:paraId="48E3B713" w14:textId="117451CB" w:rsidR="00500D21" w:rsidRPr="00D6259F" w:rsidRDefault="00500D21" w:rsidP="00500D21">
      <w:pPr>
        <w:rPr>
          <w:color w:val="000000" w:themeColor="text1"/>
          <w:lang w:eastAsia="en-GB"/>
        </w:rPr>
      </w:pPr>
      <w:r w:rsidRPr="00D6259F">
        <w:rPr>
          <w:color w:val="000000" w:themeColor="text1"/>
          <w:lang w:eastAsia="en-GB"/>
        </w:rPr>
        <w:t xml:space="preserve">For further information – refer to Section 4: Our performance in detail - strategy area 5.2 – Community support (Volume 1, page </w:t>
      </w:r>
      <w:r w:rsidR="00215DF4" w:rsidRPr="00D6259F">
        <w:rPr>
          <w:color w:val="000000" w:themeColor="text1"/>
          <w:lang w:eastAsia="en-GB"/>
        </w:rPr>
        <w:t>108</w:t>
      </w:r>
      <w:r w:rsidRPr="00D6259F">
        <w:rPr>
          <w:color w:val="000000" w:themeColor="text1"/>
          <w:lang w:eastAsia="en-GB"/>
        </w:rPr>
        <w:t>).</w:t>
      </w:r>
    </w:p>
    <w:p w14:paraId="419A7BDC" w14:textId="38E14B5A" w:rsidR="00263438" w:rsidRPr="00D6259F" w:rsidRDefault="00263438" w:rsidP="00263438">
      <w:pPr>
        <w:pStyle w:val="Heading5"/>
        <w:rPr>
          <w:color w:val="000000" w:themeColor="text1"/>
        </w:rPr>
      </w:pPr>
      <w:r w:rsidRPr="00D6259F">
        <w:rPr>
          <w:color w:val="000000" w:themeColor="text1"/>
        </w:rPr>
        <w:t xml:space="preserve">Lease </w:t>
      </w:r>
      <w:proofErr w:type="gramStart"/>
      <w:r w:rsidRPr="00D6259F">
        <w:rPr>
          <w:color w:val="000000" w:themeColor="text1"/>
        </w:rPr>
        <w:t>revenue</w:t>
      </w:r>
      <w:proofErr w:type="gramEnd"/>
    </w:p>
    <w:p w14:paraId="6606B9ED" w14:textId="0EBC32CD" w:rsidR="00CF4BE6" w:rsidRPr="00D6259F" w:rsidRDefault="00263438" w:rsidP="00263438">
      <w:pPr>
        <w:rPr>
          <w:rFonts w:eastAsia="Times New Roman"/>
          <w:color w:val="000000" w:themeColor="text1"/>
        </w:rPr>
      </w:pPr>
      <w:r w:rsidRPr="00D6259F">
        <w:rPr>
          <w:color w:val="000000" w:themeColor="text1"/>
          <w:lang w:eastAsia="en-GB"/>
        </w:rPr>
        <w:t>The 2023/24</w:t>
      </w:r>
      <w:r w:rsidRPr="00D6259F">
        <w:rPr>
          <w:rFonts w:eastAsia="Times New Roman"/>
          <w:color w:val="000000" w:themeColor="text1"/>
        </w:rPr>
        <w:t xml:space="preserve"> lease revenue has seen a significant increase with recorded revenue of $29.4m up from $8.3m in 2022/23 </w:t>
      </w:r>
      <w:r w:rsidR="00C91F27" w:rsidRPr="00D6259F">
        <w:rPr>
          <w:rFonts w:eastAsia="Times New Roman"/>
          <w:color w:val="000000" w:themeColor="text1"/>
        </w:rPr>
        <w:t>primarily due to the</w:t>
      </w:r>
      <w:r w:rsidRPr="00D6259F">
        <w:rPr>
          <w:rFonts w:eastAsia="Times New Roman"/>
          <w:color w:val="000000" w:themeColor="text1"/>
        </w:rPr>
        <w:t xml:space="preserve"> </w:t>
      </w:r>
      <w:r w:rsidR="00CF4BE6" w:rsidRPr="00D6259F">
        <w:rPr>
          <w:rFonts w:eastAsia="Times New Roman"/>
          <w:color w:val="000000" w:themeColor="text1"/>
        </w:rPr>
        <w:t xml:space="preserve">new </w:t>
      </w:r>
      <w:r w:rsidRPr="00D6259F">
        <w:rPr>
          <w:rFonts w:eastAsia="Times New Roman"/>
          <w:color w:val="000000" w:themeColor="text1"/>
        </w:rPr>
        <w:t xml:space="preserve">leases with Te Toi </w:t>
      </w:r>
      <w:proofErr w:type="spellStart"/>
      <w:r w:rsidRPr="00D6259F">
        <w:rPr>
          <w:rFonts w:eastAsia="Times New Roman"/>
          <w:color w:val="000000" w:themeColor="text1"/>
        </w:rPr>
        <w:t>Mahana</w:t>
      </w:r>
      <w:proofErr w:type="spellEnd"/>
      <w:r w:rsidRPr="00D6259F">
        <w:rPr>
          <w:rFonts w:eastAsia="Times New Roman"/>
          <w:color w:val="000000" w:themeColor="text1"/>
        </w:rPr>
        <w:t xml:space="preserve"> (</w:t>
      </w:r>
      <w:r w:rsidR="00CF4BE6" w:rsidRPr="00D6259F">
        <w:rPr>
          <w:rFonts w:eastAsia="Times New Roman"/>
          <w:color w:val="000000" w:themeColor="text1"/>
        </w:rPr>
        <w:t>refer above).</w:t>
      </w:r>
    </w:p>
    <w:p w14:paraId="0753A1A3" w14:textId="77777777" w:rsidR="00D422B1" w:rsidRPr="00D6259F" w:rsidRDefault="00D422B1" w:rsidP="006B2295">
      <w:pPr>
        <w:pStyle w:val="Heading3"/>
        <w:spacing w:before="360"/>
      </w:pPr>
      <w:bookmarkStart w:id="52" w:name="_Toc121217080"/>
      <w:bookmarkEnd w:id="47"/>
      <w:bookmarkEnd w:id="48"/>
      <w:bookmarkEnd w:id="51"/>
      <w:r w:rsidRPr="00D6259F">
        <w:t>Relevant significant accounting policies</w:t>
      </w:r>
      <w:bookmarkEnd w:id="52"/>
    </w:p>
    <w:p w14:paraId="2E6CA3B0" w14:textId="77777777" w:rsidR="00D422B1" w:rsidRPr="00D6259F" w:rsidRDefault="00D422B1" w:rsidP="006B2295">
      <w:pPr>
        <w:rPr>
          <w:b/>
          <w:bCs/>
          <w:color w:val="000000" w:themeColor="text1"/>
          <w:lang w:eastAsia="en-GB"/>
        </w:rPr>
      </w:pPr>
      <w:r w:rsidRPr="00D6259F">
        <w:rPr>
          <w:color w:val="000000" w:themeColor="text1"/>
          <w:lang w:eastAsia="en-GB"/>
        </w:rPr>
        <w:t>Revenue from operating activities is generally measured at the fair value of consideration received or receivable.</w:t>
      </w:r>
    </w:p>
    <w:p w14:paraId="18D056A1" w14:textId="27DE5C94" w:rsidR="00D422B1" w:rsidRPr="00D6259F" w:rsidRDefault="00D422B1" w:rsidP="006B2295">
      <w:pPr>
        <w:rPr>
          <w:color w:val="000000" w:themeColor="text1"/>
          <w:lang w:eastAsia="en-GB"/>
        </w:rPr>
      </w:pPr>
      <w:r w:rsidRPr="00D6259F">
        <w:rPr>
          <w:color w:val="000000" w:themeColor="text1"/>
          <w:lang w:eastAsia="en-GB"/>
        </w:rPr>
        <w:t>The Council undertakes various activities as part of its normal operations which generates revenue, but generally at below</w:t>
      </w:r>
      <w:r w:rsidR="001747E5" w:rsidRPr="00D6259F">
        <w:rPr>
          <w:color w:val="000000" w:themeColor="text1"/>
          <w:lang w:eastAsia="en-GB"/>
        </w:rPr>
        <w:t>-</w:t>
      </w:r>
      <w:r w:rsidRPr="00D6259F">
        <w:rPr>
          <w:color w:val="000000" w:themeColor="text1"/>
          <w:lang w:eastAsia="en-GB"/>
        </w:rPr>
        <w:t xml:space="preserve">market prices or at fees and user charges subsidised by rates. The following categories (except where noted) are classified as transfers, which are non-exchange transactions other than taxes. </w:t>
      </w:r>
    </w:p>
    <w:p w14:paraId="0B98211A" w14:textId="71B0B839" w:rsidR="00D422B1" w:rsidRPr="00D6259F" w:rsidRDefault="00D422B1" w:rsidP="006B2295">
      <w:pPr>
        <w:rPr>
          <w:color w:val="000000" w:themeColor="text1"/>
          <w:lang w:eastAsia="en-GB"/>
        </w:rPr>
      </w:pPr>
      <w:r w:rsidRPr="00D6259F">
        <w:rPr>
          <w:color w:val="000000" w:themeColor="text1"/>
          <w:lang w:eastAsia="en-GB"/>
        </w:rPr>
        <w:t xml:space="preserve">See </w:t>
      </w:r>
      <w:r w:rsidR="00FE030D" w:rsidRPr="00D6259F">
        <w:rPr>
          <w:i/>
          <w:iCs/>
          <w:color w:val="000000" w:themeColor="text1"/>
          <w:lang w:eastAsia="en-GB"/>
        </w:rPr>
        <w:t xml:space="preserve">Basis of Reporting </w:t>
      </w:r>
      <w:r w:rsidR="00FE030D" w:rsidRPr="00D6259F">
        <w:rPr>
          <w:color w:val="000000" w:themeColor="text1"/>
          <w:lang w:eastAsia="en-GB"/>
        </w:rPr>
        <w:t>section</w:t>
      </w:r>
      <w:r w:rsidRPr="00D6259F">
        <w:rPr>
          <w:color w:val="000000" w:themeColor="text1"/>
          <w:lang w:eastAsia="en-GB"/>
        </w:rPr>
        <w:t xml:space="preserve"> (</w:t>
      </w:r>
      <w:r w:rsidR="006F6060" w:rsidRPr="00D6259F">
        <w:rPr>
          <w:color w:val="000000" w:themeColor="text1"/>
          <w:lang w:eastAsia="en-GB"/>
        </w:rPr>
        <w:t>page</w:t>
      </w:r>
      <w:r w:rsidR="00354724" w:rsidRPr="00D6259F">
        <w:rPr>
          <w:color w:val="000000" w:themeColor="text1"/>
          <w:lang w:eastAsia="en-GB"/>
        </w:rPr>
        <w:t xml:space="preserve"> </w:t>
      </w:r>
      <w:r w:rsidR="00D127B4" w:rsidRPr="00D6259F">
        <w:rPr>
          <w:color w:val="000000" w:themeColor="text1"/>
          <w:lang w:eastAsia="en-GB"/>
        </w:rPr>
        <w:t>9</w:t>
      </w:r>
      <w:r w:rsidRPr="00D6259F">
        <w:rPr>
          <w:color w:val="000000" w:themeColor="text1"/>
          <w:lang w:eastAsia="en-GB"/>
        </w:rPr>
        <w:t>), for an explanation of exchange and non-exchange transactions.</w:t>
      </w:r>
    </w:p>
    <w:p w14:paraId="663AA847" w14:textId="77777777" w:rsidR="00D422B1" w:rsidRPr="00D6259F" w:rsidRDefault="00D422B1" w:rsidP="00982334">
      <w:pPr>
        <w:pStyle w:val="Heading5"/>
        <w:rPr>
          <w:color w:val="000000" w:themeColor="text1"/>
        </w:rPr>
      </w:pPr>
      <w:r w:rsidRPr="00D6259F">
        <w:rPr>
          <w:color w:val="000000" w:themeColor="text1"/>
        </w:rPr>
        <w:t>Development contributions</w:t>
      </w:r>
    </w:p>
    <w:p w14:paraId="735690B8" w14:textId="77777777" w:rsidR="00D422B1" w:rsidRPr="00D6259F" w:rsidRDefault="00D422B1" w:rsidP="006B2295">
      <w:pPr>
        <w:rPr>
          <w:color w:val="000000" w:themeColor="text1"/>
          <w:lang w:eastAsia="en-GB"/>
        </w:rPr>
      </w:pPr>
      <w:r w:rsidRPr="00D6259F">
        <w:rPr>
          <w:color w:val="000000" w:themeColor="text1"/>
          <w:lang w:eastAsia="en-GB"/>
        </w:rPr>
        <w:t xml:space="preserve">Development contributions are recognised as revenue when the Council provides, or </w:t>
      </w:r>
      <w:proofErr w:type="gramStart"/>
      <w:r w:rsidRPr="00D6259F">
        <w:rPr>
          <w:color w:val="000000" w:themeColor="text1"/>
          <w:lang w:eastAsia="en-GB"/>
        </w:rPr>
        <w:t>is able to</w:t>
      </w:r>
      <w:proofErr w:type="gramEnd"/>
      <w:r w:rsidRPr="00D6259F">
        <w:rPr>
          <w:color w:val="000000" w:themeColor="text1"/>
          <w:lang w:eastAsia="en-GB"/>
        </w:rPr>
        <w:t xml:space="preserve"> provide, the service for which the contribution was charged. Until such time as the Council provides, or </w:t>
      </w:r>
      <w:proofErr w:type="gramStart"/>
      <w:r w:rsidRPr="00D6259F">
        <w:rPr>
          <w:color w:val="000000" w:themeColor="text1"/>
          <w:lang w:eastAsia="en-GB"/>
        </w:rPr>
        <w:t>is able to</w:t>
      </w:r>
      <w:proofErr w:type="gramEnd"/>
      <w:r w:rsidRPr="00D6259F">
        <w:rPr>
          <w:color w:val="000000" w:themeColor="text1"/>
          <w:lang w:eastAsia="en-GB"/>
        </w:rPr>
        <w:t xml:space="preserve"> provide the service, development contributions are recognised as liabilities.</w:t>
      </w:r>
    </w:p>
    <w:p w14:paraId="5AFAD662" w14:textId="77777777" w:rsidR="00D422B1" w:rsidRPr="00D6259F" w:rsidRDefault="00D422B1" w:rsidP="00982334">
      <w:pPr>
        <w:pStyle w:val="Heading5"/>
        <w:rPr>
          <w:color w:val="000000" w:themeColor="text1"/>
        </w:rPr>
      </w:pPr>
      <w:r w:rsidRPr="00D6259F">
        <w:rPr>
          <w:color w:val="000000" w:themeColor="text1"/>
        </w:rPr>
        <w:t xml:space="preserve">Grants, </w:t>
      </w:r>
      <w:proofErr w:type="gramStart"/>
      <w:r w:rsidRPr="00D6259F">
        <w:rPr>
          <w:color w:val="000000" w:themeColor="text1"/>
        </w:rPr>
        <w:t>subsidies</w:t>
      </w:r>
      <w:proofErr w:type="gramEnd"/>
      <w:r w:rsidRPr="00D6259F">
        <w:rPr>
          <w:color w:val="000000" w:themeColor="text1"/>
        </w:rPr>
        <w:t xml:space="preserve"> and reimbursements</w:t>
      </w:r>
    </w:p>
    <w:p w14:paraId="46682818" w14:textId="5C0FCC43" w:rsidR="006D62A3" w:rsidRPr="00D6259F" w:rsidRDefault="00D422B1" w:rsidP="006B2295">
      <w:pPr>
        <w:rPr>
          <w:color w:val="000000" w:themeColor="text1"/>
          <w:lang w:eastAsia="en-GB"/>
        </w:rPr>
      </w:pPr>
      <w:r w:rsidRPr="00D6259F">
        <w:rPr>
          <w:color w:val="000000" w:themeColor="text1"/>
          <w:lang w:eastAsia="en-GB"/>
        </w:rPr>
        <w:t>Grants</w:t>
      </w:r>
      <w:r w:rsidR="006D62A3" w:rsidRPr="00D6259F">
        <w:rPr>
          <w:color w:val="000000" w:themeColor="text1"/>
          <w:lang w:eastAsia="en-GB"/>
        </w:rPr>
        <w:t>,</w:t>
      </w:r>
      <w:r w:rsidR="00705621" w:rsidRPr="00D6259F">
        <w:rPr>
          <w:color w:val="000000" w:themeColor="text1"/>
          <w:lang w:eastAsia="en-GB"/>
        </w:rPr>
        <w:t xml:space="preserve"> </w:t>
      </w:r>
      <w:proofErr w:type="gramStart"/>
      <w:r w:rsidRPr="00D6259F">
        <w:rPr>
          <w:color w:val="000000" w:themeColor="text1"/>
          <w:lang w:eastAsia="en-GB"/>
        </w:rPr>
        <w:t>subsidies</w:t>
      </w:r>
      <w:proofErr w:type="gramEnd"/>
      <w:r w:rsidRPr="00D6259F">
        <w:rPr>
          <w:color w:val="000000" w:themeColor="text1"/>
          <w:lang w:eastAsia="en-GB"/>
        </w:rPr>
        <w:t xml:space="preserve"> and reimbursements are initially recognised at their fair value where there is reasonable assurance that the monies will be </w:t>
      </w:r>
      <w:r w:rsidR="007A5378" w:rsidRPr="00D6259F">
        <w:rPr>
          <w:color w:val="000000" w:themeColor="text1"/>
          <w:lang w:eastAsia="en-GB"/>
        </w:rPr>
        <w:t>received,</w:t>
      </w:r>
      <w:r w:rsidRPr="00D6259F">
        <w:rPr>
          <w:color w:val="000000" w:themeColor="text1"/>
          <w:lang w:eastAsia="en-GB"/>
        </w:rPr>
        <w:t xml:space="preserve"> and all attaching conditions will be complied with.</w:t>
      </w:r>
      <w:r w:rsidR="006D62A3" w:rsidRPr="00D6259F">
        <w:rPr>
          <w:color w:val="000000" w:themeColor="text1"/>
          <w:lang w:eastAsia="en-GB"/>
        </w:rPr>
        <w:t xml:space="preserve"> Grants include the </w:t>
      </w:r>
      <w:r w:rsidR="00C91F27" w:rsidRPr="00D6259F">
        <w:rPr>
          <w:color w:val="000000" w:themeColor="text1"/>
          <w:lang w:eastAsia="en-GB"/>
        </w:rPr>
        <w:t xml:space="preserve">funding from </w:t>
      </w:r>
      <w:r w:rsidR="00091FDD" w:rsidRPr="00D6259F">
        <w:rPr>
          <w:color w:val="000000" w:themeColor="text1"/>
          <w:lang w:eastAsia="en-GB"/>
        </w:rPr>
        <w:t xml:space="preserve">Sludge Finance LP </w:t>
      </w:r>
      <w:r w:rsidR="006D62A3" w:rsidRPr="00D6259F">
        <w:rPr>
          <w:color w:val="000000" w:themeColor="text1"/>
          <w:lang w:eastAsia="en-GB"/>
        </w:rPr>
        <w:t xml:space="preserve">for the SMF. Reimbursements include NZTA roading claim payments. </w:t>
      </w:r>
    </w:p>
    <w:p w14:paraId="53EE8584" w14:textId="77777777" w:rsidR="00D422B1" w:rsidRPr="00D6259F" w:rsidRDefault="00D422B1" w:rsidP="00982334">
      <w:pPr>
        <w:pStyle w:val="Heading5"/>
        <w:rPr>
          <w:color w:val="000000" w:themeColor="text1"/>
        </w:rPr>
      </w:pPr>
      <w:r w:rsidRPr="00D6259F">
        <w:rPr>
          <w:color w:val="000000" w:themeColor="text1"/>
        </w:rPr>
        <w:t>Fines and penalties</w:t>
      </w:r>
    </w:p>
    <w:p w14:paraId="0084EC5A" w14:textId="51F3A5BC" w:rsidR="00D422B1" w:rsidRPr="00D6259F" w:rsidRDefault="00D422B1" w:rsidP="006B2295">
      <w:pPr>
        <w:rPr>
          <w:color w:val="000000" w:themeColor="text1"/>
          <w:lang w:eastAsia="en-GB"/>
        </w:rPr>
      </w:pPr>
      <w:r w:rsidRPr="00D6259F">
        <w:rPr>
          <w:color w:val="000000" w:themeColor="text1"/>
          <w:lang w:eastAsia="en-GB"/>
        </w:rPr>
        <w:t>Revenue from fines and penalties (</w:t>
      </w:r>
      <w:r w:rsidR="00F41286" w:rsidRPr="00D6259F">
        <w:rPr>
          <w:color w:val="000000" w:themeColor="text1"/>
          <w:lang w:eastAsia="en-GB"/>
        </w:rPr>
        <w:t>for example,</w:t>
      </w:r>
      <w:r w:rsidRPr="00D6259F">
        <w:rPr>
          <w:color w:val="000000" w:themeColor="text1"/>
          <w:lang w:eastAsia="en-GB"/>
        </w:rPr>
        <w:t xml:space="preserve"> traffic and parking infringements) is recognised when infringement notices are issued or when the fines/penalties are otherwise imposed. </w:t>
      </w:r>
      <w:r w:rsidR="00F41286" w:rsidRPr="00D6259F">
        <w:rPr>
          <w:color w:val="000000" w:themeColor="text1"/>
          <w:lang w:eastAsia="en-GB"/>
        </w:rPr>
        <w:t>The</w:t>
      </w:r>
      <w:r w:rsidRPr="00D6259F">
        <w:rPr>
          <w:color w:val="000000" w:themeColor="text1"/>
          <w:lang w:eastAsia="en-GB"/>
        </w:rPr>
        <w:t xml:space="preserve"> fair value of parking related fines is </w:t>
      </w:r>
      <w:r w:rsidR="000F1FBE" w:rsidRPr="00D6259F">
        <w:rPr>
          <w:color w:val="000000" w:themeColor="text1"/>
          <w:lang w:eastAsia="en-GB"/>
        </w:rPr>
        <w:t>recorded as the amounts due, less an allowance for expected credit losses (ECL).</w:t>
      </w:r>
    </w:p>
    <w:p w14:paraId="066BF28B" w14:textId="77777777" w:rsidR="00D422B1" w:rsidRPr="00D6259F" w:rsidRDefault="00D422B1" w:rsidP="00982334">
      <w:pPr>
        <w:pStyle w:val="Heading5"/>
        <w:rPr>
          <w:color w:val="000000" w:themeColor="text1"/>
        </w:rPr>
      </w:pPr>
      <w:r w:rsidRPr="00D6259F">
        <w:rPr>
          <w:color w:val="000000" w:themeColor="text1"/>
        </w:rPr>
        <w:t>Rendering of services</w:t>
      </w:r>
    </w:p>
    <w:p w14:paraId="76447AA9" w14:textId="7494E63D" w:rsidR="00D422B1" w:rsidRPr="00D6259F" w:rsidRDefault="00D422B1" w:rsidP="006B2295">
      <w:pPr>
        <w:rPr>
          <w:color w:val="000000" w:themeColor="text1"/>
          <w:lang w:eastAsia="en-GB"/>
        </w:rPr>
      </w:pPr>
      <w:r w:rsidRPr="00D6259F">
        <w:rPr>
          <w:color w:val="000000" w:themeColor="text1"/>
          <w:lang w:eastAsia="en-GB"/>
        </w:rPr>
        <w:t>Revenue from the rendering of services (</w:t>
      </w:r>
      <w:r w:rsidR="00F41286" w:rsidRPr="00D6259F">
        <w:rPr>
          <w:color w:val="000000" w:themeColor="text1"/>
          <w:lang w:eastAsia="en-GB"/>
        </w:rPr>
        <w:t>for example,</w:t>
      </w:r>
      <w:r w:rsidRPr="00D6259F">
        <w:rPr>
          <w:color w:val="000000" w:themeColor="text1"/>
          <w:lang w:eastAsia="en-GB"/>
        </w:rPr>
        <w:t xml:space="preserve"> building consent fees) is recognised by reference to the stage of completion of the transaction, based on the actual service provided as a percentage of the total services to be provided. Under this method, revenue is recognised in the accounting periods in </w:t>
      </w:r>
      <w:r w:rsidRPr="00D6259F">
        <w:rPr>
          <w:color w:val="000000" w:themeColor="text1"/>
          <w:lang w:eastAsia="en-GB"/>
        </w:rPr>
        <w:lastRenderedPageBreak/>
        <w:t>which the services are provided. Some services are provided at a market rate or on a full cost recovery basis (</w:t>
      </w:r>
      <w:r w:rsidR="00F41286" w:rsidRPr="00D6259F">
        <w:rPr>
          <w:color w:val="000000" w:themeColor="text1"/>
          <w:lang w:eastAsia="en-GB"/>
        </w:rPr>
        <w:t>for example,</w:t>
      </w:r>
      <w:r w:rsidRPr="00D6259F">
        <w:rPr>
          <w:color w:val="000000" w:themeColor="text1"/>
          <w:lang w:eastAsia="en-GB"/>
        </w:rPr>
        <w:t xml:space="preserve"> </w:t>
      </w:r>
      <w:r w:rsidR="00F41286" w:rsidRPr="00D6259F">
        <w:rPr>
          <w:color w:val="000000" w:themeColor="text1"/>
          <w:lang w:eastAsia="en-GB"/>
        </w:rPr>
        <w:t>p</w:t>
      </w:r>
      <w:r w:rsidRPr="00D6259F">
        <w:rPr>
          <w:color w:val="000000" w:themeColor="text1"/>
          <w:lang w:eastAsia="en-GB"/>
        </w:rPr>
        <w:t>arking fees) and these are classified as exchange</w:t>
      </w:r>
      <w:r w:rsidR="000F1FBE" w:rsidRPr="00D6259F">
        <w:rPr>
          <w:color w:val="000000" w:themeColor="text1"/>
          <w:lang w:eastAsia="en-GB"/>
        </w:rPr>
        <w:t xml:space="preserve"> revenue.</w:t>
      </w:r>
      <w:r w:rsidRPr="00D6259F">
        <w:rPr>
          <w:color w:val="000000" w:themeColor="text1"/>
          <w:lang w:eastAsia="en-GB"/>
        </w:rPr>
        <w:t xml:space="preserve"> </w:t>
      </w:r>
    </w:p>
    <w:p w14:paraId="3C22ABA0" w14:textId="77777777" w:rsidR="00D422B1" w:rsidRPr="00D6259F" w:rsidRDefault="00D422B1" w:rsidP="00982334">
      <w:pPr>
        <w:pStyle w:val="Heading5"/>
        <w:rPr>
          <w:color w:val="000000" w:themeColor="text1"/>
        </w:rPr>
      </w:pPr>
      <w:r w:rsidRPr="00D6259F">
        <w:rPr>
          <w:color w:val="000000" w:themeColor="text1"/>
        </w:rPr>
        <w:t>Sale of goods</w:t>
      </w:r>
    </w:p>
    <w:p w14:paraId="191EE7E1" w14:textId="77777777" w:rsidR="00D422B1" w:rsidRPr="00D6259F" w:rsidRDefault="00D422B1" w:rsidP="006B2295">
      <w:pPr>
        <w:rPr>
          <w:color w:val="000000" w:themeColor="text1"/>
          <w:lang w:eastAsia="en-GB"/>
        </w:rPr>
      </w:pPr>
      <w:r w:rsidRPr="00D6259F">
        <w:rPr>
          <w:bCs/>
          <w:color w:val="000000" w:themeColor="text1"/>
          <w:lang w:eastAsia="en-GB"/>
        </w:rPr>
        <w:t xml:space="preserve">The sale of goods is classified as exchange revenue. </w:t>
      </w:r>
      <w:r w:rsidRPr="00D6259F">
        <w:rPr>
          <w:color w:val="000000" w:themeColor="text1"/>
          <w:lang w:eastAsia="en-GB"/>
        </w:rPr>
        <w:t>Sale of goods is recognised when products are sold to the customer and all risks and rewards of ownership have transferred to the customer.</w:t>
      </w:r>
    </w:p>
    <w:p w14:paraId="51B2528B" w14:textId="77777777" w:rsidR="00D422B1" w:rsidRPr="00D6259F" w:rsidRDefault="00D422B1" w:rsidP="006B2295">
      <w:pPr>
        <w:pStyle w:val="Heading2"/>
        <w:rPr>
          <w:rFonts w:ascii="Arial" w:hAnsi="Arial" w:cs="Arial"/>
          <w:lang w:eastAsia="en-GB"/>
        </w:rPr>
      </w:pPr>
      <w:bookmarkStart w:id="53" w:name="_Toc55482644"/>
      <w:bookmarkStart w:id="54" w:name="_Toc179890287"/>
      <w:r w:rsidRPr="00D6259F">
        <w:t xml:space="preserve">Note 3: Investment </w:t>
      </w:r>
      <w:proofErr w:type="gramStart"/>
      <w:r w:rsidRPr="00D6259F">
        <w:t>revenue</w:t>
      </w:r>
      <w:bookmarkEnd w:id="53"/>
      <w:bookmarkEnd w:id="54"/>
      <w:proofErr w:type="gramEnd"/>
    </w:p>
    <w:p w14:paraId="411573FD" w14:textId="4A2603BC" w:rsidR="0089103E" w:rsidRPr="00D6259F" w:rsidRDefault="000F20D8" w:rsidP="006B2295">
      <w:pPr>
        <w:rPr>
          <w:color w:val="000000" w:themeColor="text1"/>
        </w:rPr>
      </w:pPr>
      <w:r w:rsidRPr="00D6259F">
        <w:rPr>
          <w:noProof/>
          <w:color w:val="000000" w:themeColor="text1"/>
        </w:rPr>
        <w:object w:dxaOrig="10215" w:dyaOrig="2715" w14:anchorId="0D721B33">
          <v:shape id="_x0000_i1030" type="#_x0000_t75" style="width:495pt;height:136pt" o:ole="">
            <v:imagedata r:id="rId21" o:title=""/>
          </v:shape>
          <o:OLEObject Type="Link" ProgID="Excel.Sheet.12" ShapeID="_x0000_i1030" DrawAspect="Content" r:id="rId22" UpdateMode="Always">
            <o:LinkType>EnhancedMetaFile</o:LinkType>
            <o:LockedField>false</o:LockedField>
          </o:OLEObject>
        </w:object>
      </w:r>
    </w:p>
    <w:p w14:paraId="6F0F946A" w14:textId="0FE6A980" w:rsidR="00D422B1" w:rsidRPr="00D6259F" w:rsidRDefault="00D422B1" w:rsidP="00AD0827">
      <w:pPr>
        <w:pStyle w:val="Heading4"/>
      </w:pPr>
      <w:r w:rsidRPr="00D6259F">
        <w:t>Dividends</w:t>
      </w:r>
      <w:r w:rsidR="00A4546F" w:rsidRPr="00D6259F">
        <w:t xml:space="preserve"> from associates</w:t>
      </w:r>
    </w:p>
    <w:p w14:paraId="59339998" w14:textId="57403FA8" w:rsidR="00D422B1" w:rsidRPr="00D6259F" w:rsidRDefault="004105EC" w:rsidP="006B2295">
      <w:pPr>
        <w:rPr>
          <w:color w:val="000000" w:themeColor="text1"/>
          <w:lang w:eastAsia="en-GB"/>
        </w:rPr>
      </w:pPr>
      <w:r w:rsidRPr="00D6259F">
        <w:rPr>
          <w:color w:val="000000" w:themeColor="text1"/>
          <w:lang w:eastAsia="en-GB"/>
        </w:rPr>
        <w:t>Th</w:t>
      </w:r>
      <w:r w:rsidR="00467C54" w:rsidRPr="00D6259F">
        <w:rPr>
          <w:color w:val="000000" w:themeColor="text1"/>
          <w:lang w:eastAsia="en-GB"/>
        </w:rPr>
        <w:t xml:space="preserve">is relates to </w:t>
      </w:r>
      <w:r w:rsidR="007C1923" w:rsidRPr="00D6259F">
        <w:rPr>
          <w:color w:val="000000" w:themeColor="text1"/>
          <w:lang w:eastAsia="en-GB"/>
        </w:rPr>
        <w:t>dividend</w:t>
      </w:r>
      <w:r w:rsidR="00467C54" w:rsidRPr="00D6259F">
        <w:rPr>
          <w:color w:val="000000" w:themeColor="text1"/>
          <w:lang w:eastAsia="en-GB"/>
        </w:rPr>
        <w:t>s</w:t>
      </w:r>
      <w:r w:rsidR="007C1923" w:rsidRPr="00D6259F">
        <w:rPr>
          <w:color w:val="000000" w:themeColor="text1"/>
          <w:lang w:eastAsia="en-GB"/>
        </w:rPr>
        <w:t xml:space="preserve"> from the Council’s 34 percent shareholding in Wellington International Airport Limited</w:t>
      </w:r>
      <w:r w:rsidR="00467C54" w:rsidRPr="00D6259F">
        <w:rPr>
          <w:color w:val="000000" w:themeColor="text1"/>
          <w:lang w:eastAsia="en-GB"/>
        </w:rPr>
        <w:t>.</w:t>
      </w:r>
      <w:r w:rsidR="00F3714C" w:rsidRPr="00D6259F">
        <w:rPr>
          <w:color w:val="000000" w:themeColor="text1"/>
          <w:lang w:eastAsia="en-GB"/>
        </w:rPr>
        <w:t xml:space="preserve"> </w:t>
      </w:r>
      <w:r w:rsidR="00D422B1" w:rsidRPr="00D6259F">
        <w:rPr>
          <w:color w:val="000000" w:themeColor="text1"/>
          <w:lang w:eastAsia="en-GB"/>
        </w:rPr>
        <w:t xml:space="preserve">The Council continues to </w:t>
      </w:r>
      <w:r w:rsidR="00E26A96" w:rsidRPr="00D6259F">
        <w:rPr>
          <w:color w:val="000000" w:themeColor="text1"/>
          <w:lang w:eastAsia="en-GB"/>
        </w:rPr>
        <w:t xml:space="preserve">review </w:t>
      </w:r>
      <w:r w:rsidR="00D422B1" w:rsidRPr="00D6259F">
        <w:rPr>
          <w:color w:val="000000" w:themeColor="text1"/>
          <w:lang w:eastAsia="en-GB"/>
        </w:rPr>
        <w:t xml:space="preserve">its current level of investment </w:t>
      </w:r>
      <w:r w:rsidR="00004091" w:rsidRPr="00D6259F">
        <w:rPr>
          <w:color w:val="000000" w:themeColor="text1"/>
          <w:lang w:eastAsia="en-GB"/>
        </w:rPr>
        <w:t xml:space="preserve">to ensure </w:t>
      </w:r>
      <w:r w:rsidR="00467C54" w:rsidRPr="00D6259F">
        <w:rPr>
          <w:color w:val="000000" w:themeColor="text1"/>
          <w:lang w:eastAsia="en-GB"/>
        </w:rPr>
        <w:t xml:space="preserve">the overall </w:t>
      </w:r>
      <w:r w:rsidR="00D422B1" w:rsidRPr="00D6259F">
        <w:rPr>
          <w:color w:val="000000" w:themeColor="text1"/>
          <w:lang w:eastAsia="en-GB"/>
        </w:rPr>
        <w:t xml:space="preserve">investment portfolio is </w:t>
      </w:r>
      <w:r w:rsidR="00467C54" w:rsidRPr="00D6259F">
        <w:rPr>
          <w:color w:val="000000" w:themeColor="text1"/>
          <w:lang w:eastAsia="en-GB"/>
        </w:rPr>
        <w:t xml:space="preserve">managed </w:t>
      </w:r>
      <w:r w:rsidR="00D422B1" w:rsidRPr="00D6259F">
        <w:rPr>
          <w:color w:val="000000" w:themeColor="text1"/>
          <w:lang w:eastAsia="en-GB"/>
        </w:rPr>
        <w:t>strategically</w:t>
      </w:r>
      <w:r w:rsidR="00467C54" w:rsidRPr="00D6259F">
        <w:rPr>
          <w:color w:val="000000" w:themeColor="text1"/>
          <w:lang w:eastAsia="en-GB"/>
        </w:rPr>
        <w:t xml:space="preserve"> and in a </w:t>
      </w:r>
      <w:r w:rsidR="00D422B1" w:rsidRPr="00D6259F">
        <w:rPr>
          <w:color w:val="000000" w:themeColor="text1"/>
          <w:lang w:eastAsia="en-GB"/>
        </w:rPr>
        <w:t xml:space="preserve">financially and economically prudent </w:t>
      </w:r>
      <w:r w:rsidR="00467C54" w:rsidRPr="00D6259F">
        <w:rPr>
          <w:color w:val="000000" w:themeColor="text1"/>
          <w:lang w:eastAsia="en-GB"/>
        </w:rPr>
        <w:t>manner</w:t>
      </w:r>
      <w:r w:rsidR="00AE02DF" w:rsidRPr="00D6259F">
        <w:rPr>
          <w:color w:val="000000" w:themeColor="text1"/>
          <w:lang w:eastAsia="en-GB"/>
        </w:rPr>
        <w:t xml:space="preserve">. Refer </w:t>
      </w:r>
      <w:r w:rsidR="00AE02DF" w:rsidRPr="00D6259F">
        <w:rPr>
          <w:i/>
          <w:iCs/>
          <w:color w:val="000000" w:themeColor="text1"/>
          <w:lang w:eastAsia="en-GB"/>
        </w:rPr>
        <w:t>Note 21: Investment in associates and joint venture</w:t>
      </w:r>
      <w:r w:rsidR="00AE02DF" w:rsidRPr="00D6259F">
        <w:rPr>
          <w:color w:val="000000" w:themeColor="text1"/>
          <w:lang w:eastAsia="en-GB"/>
        </w:rPr>
        <w:t xml:space="preserve"> (page </w:t>
      </w:r>
      <w:r w:rsidR="00D127B4" w:rsidRPr="00D6259F">
        <w:rPr>
          <w:color w:val="000000" w:themeColor="text1"/>
          <w:lang w:eastAsia="en-GB"/>
        </w:rPr>
        <w:t>62</w:t>
      </w:r>
      <w:r w:rsidR="00AE02DF" w:rsidRPr="00D6259F">
        <w:rPr>
          <w:color w:val="000000" w:themeColor="text1"/>
          <w:lang w:eastAsia="en-GB"/>
        </w:rPr>
        <w:t xml:space="preserve">) for further information.  </w:t>
      </w:r>
    </w:p>
    <w:p w14:paraId="2B983B61" w14:textId="067BB5C8" w:rsidR="00D422B1" w:rsidRPr="00D6259F" w:rsidRDefault="00D422B1" w:rsidP="00AD0827">
      <w:pPr>
        <w:pStyle w:val="Heading4"/>
      </w:pPr>
      <w:r w:rsidRPr="00D6259F">
        <w:t>Investment propert</w:t>
      </w:r>
      <w:r w:rsidR="00004091" w:rsidRPr="00D6259F">
        <w:t xml:space="preserve">y </w:t>
      </w:r>
      <w:r w:rsidR="00467C54" w:rsidRPr="00D6259F">
        <w:t>revenues</w:t>
      </w:r>
    </w:p>
    <w:p w14:paraId="0A2AC5F1" w14:textId="56249979" w:rsidR="00D422B1" w:rsidRPr="00D6259F" w:rsidRDefault="00D422B1" w:rsidP="006B2295">
      <w:pPr>
        <w:rPr>
          <w:color w:val="000000" w:themeColor="text1"/>
          <w:lang w:eastAsia="en-GB"/>
        </w:rPr>
      </w:pPr>
      <w:r w:rsidRPr="00D6259F">
        <w:rPr>
          <w:color w:val="000000" w:themeColor="text1"/>
          <w:lang w:eastAsia="en-GB"/>
        </w:rPr>
        <w:t xml:space="preserve">The revenues from investment properties </w:t>
      </w:r>
      <w:r w:rsidR="004E2BE3" w:rsidRPr="00D6259F">
        <w:rPr>
          <w:color w:val="000000" w:themeColor="text1"/>
          <w:lang w:eastAsia="en-GB"/>
        </w:rPr>
        <w:t>derive</w:t>
      </w:r>
      <w:r w:rsidRPr="00D6259F">
        <w:rPr>
          <w:color w:val="000000" w:themeColor="text1"/>
          <w:lang w:eastAsia="en-GB"/>
        </w:rPr>
        <w:t xml:space="preserve"> from ground leases around the </w:t>
      </w:r>
      <w:r w:rsidR="00815FD3" w:rsidRPr="00D6259F">
        <w:rPr>
          <w:color w:val="000000" w:themeColor="text1"/>
          <w:lang w:eastAsia="en-GB"/>
        </w:rPr>
        <w:t>central city</w:t>
      </w:r>
      <w:r w:rsidR="004E2BE3" w:rsidRPr="00D6259F">
        <w:rPr>
          <w:color w:val="000000" w:themeColor="text1"/>
          <w:lang w:eastAsia="en-GB"/>
        </w:rPr>
        <w:t>,</w:t>
      </w:r>
      <w:r w:rsidRPr="00D6259F">
        <w:rPr>
          <w:color w:val="000000" w:themeColor="text1"/>
          <w:lang w:eastAsia="en-GB"/>
        </w:rPr>
        <w:t xml:space="preserve"> </w:t>
      </w:r>
      <w:r w:rsidR="009739A5" w:rsidRPr="00D6259F">
        <w:rPr>
          <w:color w:val="000000" w:themeColor="text1"/>
          <w:lang w:eastAsia="en-GB"/>
        </w:rPr>
        <w:t xml:space="preserve">Wellington waterfront investment properties and certain other land and buildings. </w:t>
      </w:r>
      <w:r w:rsidRPr="00D6259F">
        <w:rPr>
          <w:color w:val="000000" w:themeColor="text1"/>
          <w:lang w:eastAsia="en-GB"/>
        </w:rPr>
        <w:t xml:space="preserve">The Council periodically reviews its continued ownership of investment properties by assessing the benefits against other arrangements that could deliver similar benefits. Any assessment is based on both the strategic benefit of the investment/ownership and in terms of the most financially viable method of achieving the delivery of Council services. </w:t>
      </w:r>
    </w:p>
    <w:p w14:paraId="25F86FE4" w14:textId="09A2D123" w:rsidR="00D422B1" w:rsidRPr="00D6259F" w:rsidRDefault="00D422B1" w:rsidP="006B2295">
      <w:pPr>
        <w:rPr>
          <w:color w:val="000000" w:themeColor="text1"/>
          <w:lang w:eastAsia="en-GB"/>
        </w:rPr>
      </w:pPr>
      <w:r w:rsidRPr="00D6259F">
        <w:rPr>
          <w:color w:val="000000" w:themeColor="text1"/>
          <w:lang w:eastAsia="en-GB"/>
        </w:rPr>
        <w:t xml:space="preserve">For further information refer to </w:t>
      </w:r>
      <w:r w:rsidRPr="00D6259F">
        <w:rPr>
          <w:i/>
          <w:iCs/>
          <w:color w:val="000000" w:themeColor="text1"/>
          <w:lang w:eastAsia="en-GB"/>
        </w:rPr>
        <w:t>Note 1</w:t>
      </w:r>
      <w:r w:rsidR="007C1923" w:rsidRPr="00D6259F">
        <w:rPr>
          <w:i/>
          <w:iCs/>
          <w:color w:val="000000" w:themeColor="text1"/>
          <w:lang w:eastAsia="en-GB"/>
        </w:rPr>
        <w:t>8</w:t>
      </w:r>
      <w:r w:rsidRPr="00D6259F">
        <w:rPr>
          <w:i/>
          <w:iCs/>
          <w:color w:val="000000" w:themeColor="text1"/>
          <w:lang w:eastAsia="en-GB"/>
        </w:rPr>
        <w:t>: Investment properties</w:t>
      </w:r>
      <w:r w:rsidRPr="00D6259F">
        <w:rPr>
          <w:color w:val="000000" w:themeColor="text1"/>
          <w:lang w:eastAsia="en-GB"/>
        </w:rPr>
        <w:t xml:space="preserve"> (</w:t>
      </w:r>
      <w:r w:rsidR="006F6060" w:rsidRPr="00D6259F">
        <w:rPr>
          <w:color w:val="000000" w:themeColor="text1"/>
          <w:lang w:eastAsia="en-GB"/>
        </w:rPr>
        <w:t>page</w:t>
      </w:r>
      <w:r w:rsidR="00354724" w:rsidRPr="00D6259F">
        <w:rPr>
          <w:color w:val="000000" w:themeColor="text1"/>
          <w:lang w:eastAsia="en-GB"/>
        </w:rPr>
        <w:t xml:space="preserve"> </w:t>
      </w:r>
      <w:r w:rsidR="00D127B4" w:rsidRPr="00D6259F">
        <w:rPr>
          <w:color w:val="000000" w:themeColor="text1"/>
          <w:lang w:eastAsia="en-GB"/>
        </w:rPr>
        <w:t>46</w:t>
      </w:r>
      <w:r w:rsidRPr="00D6259F">
        <w:rPr>
          <w:color w:val="000000" w:themeColor="text1"/>
          <w:lang w:eastAsia="en-GB"/>
        </w:rPr>
        <w:t>).</w:t>
      </w:r>
    </w:p>
    <w:p w14:paraId="46E9404A" w14:textId="77777777" w:rsidR="00D422B1" w:rsidRPr="00D6259F" w:rsidRDefault="00D422B1" w:rsidP="006B2295">
      <w:pPr>
        <w:pStyle w:val="Heading3"/>
      </w:pPr>
      <w:bookmarkStart w:id="55" w:name="_Toc121217082"/>
      <w:r w:rsidRPr="00D6259F">
        <w:t>Relevant significant accounting policies</w:t>
      </w:r>
      <w:bookmarkEnd w:id="55"/>
    </w:p>
    <w:p w14:paraId="7D543524" w14:textId="77777777" w:rsidR="00D422B1" w:rsidRPr="00D6259F" w:rsidRDefault="00D422B1" w:rsidP="00982334">
      <w:pPr>
        <w:pStyle w:val="Heading5"/>
        <w:rPr>
          <w:color w:val="000000" w:themeColor="text1"/>
        </w:rPr>
      </w:pPr>
      <w:r w:rsidRPr="00D6259F">
        <w:rPr>
          <w:color w:val="000000" w:themeColor="text1"/>
        </w:rPr>
        <w:t>Dividends</w:t>
      </w:r>
    </w:p>
    <w:p w14:paraId="22879340" w14:textId="089AD3E2" w:rsidR="00D422B1" w:rsidRPr="00D6259F" w:rsidRDefault="00D422B1" w:rsidP="006B2295">
      <w:pPr>
        <w:rPr>
          <w:color w:val="000000" w:themeColor="text1"/>
          <w:lang w:eastAsia="en-GB"/>
        </w:rPr>
      </w:pPr>
      <w:r w:rsidRPr="00D6259F">
        <w:rPr>
          <w:color w:val="000000" w:themeColor="text1"/>
          <w:lang w:eastAsia="en-GB"/>
        </w:rPr>
        <w:t xml:space="preserve">Dividends from </w:t>
      </w:r>
      <w:r w:rsidR="00FC58BB" w:rsidRPr="00D6259F">
        <w:rPr>
          <w:color w:val="000000" w:themeColor="text1"/>
          <w:lang w:eastAsia="en-GB"/>
        </w:rPr>
        <w:t xml:space="preserve">associates and </w:t>
      </w:r>
      <w:r w:rsidRPr="00D6259F">
        <w:rPr>
          <w:color w:val="000000" w:themeColor="text1"/>
          <w:lang w:eastAsia="en-GB"/>
        </w:rPr>
        <w:t xml:space="preserve">equity investments are recognised when the Council’s right to receive payment has been established.  </w:t>
      </w:r>
    </w:p>
    <w:p w14:paraId="4628CAC0" w14:textId="77777777" w:rsidR="00D422B1" w:rsidRPr="00D6259F" w:rsidRDefault="00D422B1" w:rsidP="00982334">
      <w:pPr>
        <w:pStyle w:val="Heading5"/>
        <w:rPr>
          <w:color w:val="000000" w:themeColor="text1"/>
        </w:rPr>
      </w:pPr>
      <w:r w:rsidRPr="00D6259F">
        <w:rPr>
          <w:color w:val="000000" w:themeColor="text1"/>
        </w:rPr>
        <w:t>Investment property lease rentals</w:t>
      </w:r>
    </w:p>
    <w:p w14:paraId="25F7130D" w14:textId="2DB28BD9" w:rsidR="00D422B1" w:rsidRPr="00D6259F" w:rsidRDefault="00D422B1" w:rsidP="006B2295">
      <w:pPr>
        <w:rPr>
          <w:color w:val="000000" w:themeColor="text1"/>
          <w:lang w:eastAsia="en-GB"/>
        </w:rPr>
      </w:pPr>
      <w:r w:rsidRPr="00D6259F">
        <w:rPr>
          <w:color w:val="000000" w:themeColor="text1"/>
          <w:lang w:eastAsia="en-GB"/>
        </w:rPr>
        <w:t xml:space="preserve">Lease rentals (net of any incentives given) are recognised on a straight-line basis over the term of the lease unless another systematic basis is more representative of the time pattern in which benefits derived from the leased asset </w:t>
      </w:r>
      <w:r w:rsidR="00A4546F" w:rsidRPr="00D6259F">
        <w:rPr>
          <w:color w:val="000000" w:themeColor="text1"/>
          <w:lang w:eastAsia="en-GB"/>
        </w:rPr>
        <w:t xml:space="preserve">are </w:t>
      </w:r>
      <w:r w:rsidR="00D276A1" w:rsidRPr="00D6259F">
        <w:rPr>
          <w:color w:val="000000" w:themeColor="text1"/>
          <w:lang w:eastAsia="en-GB"/>
        </w:rPr>
        <w:t>diminished.</w:t>
      </w:r>
      <w:r w:rsidRPr="00D6259F">
        <w:rPr>
          <w:color w:val="000000" w:themeColor="text1"/>
          <w:lang w:eastAsia="en-GB"/>
        </w:rPr>
        <w:t xml:space="preserve"> </w:t>
      </w:r>
    </w:p>
    <w:p w14:paraId="0711C924" w14:textId="77777777" w:rsidR="00AE02DF" w:rsidRPr="00D6259F" w:rsidRDefault="00AE02DF" w:rsidP="006B2295">
      <w:pPr>
        <w:rPr>
          <w:color w:val="000000" w:themeColor="text1"/>
          <w:lang w:eastAsia="en-GB"/>
        </w:rPr>
      </w:pPr>
    </w:p>
    <w:p w14:paraId="12A29166" w14:textId="5A0593B9" w:rsidR="00D422B1" w:rsidRPr="00D6259F" w:rsidRDefault="00D422B1" w:rsidP="00982334">
      <w:pPr>
        <w:pStyle w:val="Heading2"/>
      </w:pPr>
      <w:bookmarkStart w:id="56" w:name="_Toc55482645"/>
      <w:bookmarkStart w:id="57" w:name="_Toc179890288"/>
      <w:r w:rsidRPr="00D6259F">
        <w:lastRenderedPageBreak/>
        <w:t xml:space="preserve">Note 4: Vested assets and other </w:t>
      </w:r>
      <w:proofErr w:type="gramStart"/>
      <w:r w:rsidRPr="00D6259F">
        <w:t>revenue</w:t>
      </w:r>
      <w:bookmarkEnd w:id="56"/>
      <w:bookmarkEnd w:id="57"/>
      <w:proofErr w:type="gramEnd"/>
    </w:p>
    <w:p w14:paraId="01B0A7F6" w14:textId="641E220B" w:rsidR="00D422B1" w:rsidRPr="00D6259F" w:rsidRDefault="000F20D8" w:rsidP="00982334">
      <w:pPr>
        <w:rPr>
          <w:color w:val="000000" w:themeColor="text1"/>
        </w:rPr>
      </w:pPr>
      <w:r w:rsidRPr="00D6259F">
        <w:rPr>
          <w:b/>
          <w:bCs/>
          <w:color w:val="000000" w:themeColor="text1"/>
          <w:lang w:val="en-US"/>
        </w:rPr>
        <w:object w:dxaOrig="10215" w:dyaOrig="2415" w14:anchorId="3A289E30">
          <v:shape id="_x0000_i1031" type="#_x0000_t75" style="width:490pt;height:123pt" o:ole="">
            <v:imagedata r:id="rId23" o:title=""/>
          </v:shape>
          <o:OLEObject Type="Link" ProgID="Excel.Sheet.12" ShapeID="_x0000_i1031" DrawAspect="Content" r:id="rId24" UpdateMode="Always">
            <o:LinkType>EnhancedMetaFile</o:LinkType>
            <o:LockedField>false</o:LockedField>
          </o:OLEObject>
        </w:object>
      </w:r>
    </w:p>
    <w:p w14:paraId="71283ACB" w14:textId="69D1F024" w:rsidR="00D422B1" w:rsidRPr="00D6259F" w:rsidRDefault="00D422B1" w:rsidP="00982334">
      <w:pPr>
        <w:rPr>
          <w:color w:val="000000" w:themeColor="text1"/>
          <w:lang w:eastAsia="en-GB"/>
        </w:rPr>
      </w:pPr>
      <w:r w:rsidRPr="00D6259F">
        <w:rPr>
          <w:color w:val="000000" w:themeColor="text1"/>
          <w:lang w:eastAsia="en-GB"/>
        </w:rPr>
        <w:t xml:space="preserve">Vested assets are principally infrastructural assets such as roading, drainage, </w:t>
      </w:r>
      <w:r w:rsidR="00537468" w:rsidRPr="00D6259F">
        <w:rPr>
          <w:color w:val="000000" w:themeColor="text1"/>
          <w:lang w:eastAsia="en-GB"/>
        </w:rPr>
        <w:t>water and waste</w:t>
      </w:r>
      <w:r w:rsidRPr="00D6259F">
        <w:rPr>
          <w:color w:val="000000" w:themeColor="text1"/>
          <w:lang w:eastAsia="en-GB"/>
        </w:rPr>
        <w:t xml:space="preserve"> assets that have been constructed by developers. As part of the consents process, ownership of these assets is transferred to the Council, and on completion they become part of the city’s network. Although vested assets are non-cash in nature and represent a future obligation to the Council, as the Council will have the ongoing costs associated with maintaining the assets, they are recognised as revenue in accordance with the applicable accounting standard.</w:t>
      </w:r>
    </w:p>
    <w:p w14:paraId="2F6460F4" w14:textId="3ADCA8E0" w:rsidR="00D422B1" w:rsidRPr="00D6259F" w:rsidRDefault="00A4546F" w:rsidP="00982334">
      <w:pPr>
        <w:rPr>
          <w:color w:val="000000" w:themeColor="text1"/>
          <w:lang w:eastAsia="en-GB"/>
        </w:rPr>
      </w:pPr>
      <w:r w:rsidRPr="00D6259F">
        <w:rPr>
          <w:color w:val="000000" w:themeColor="text1"/>
          <w:lang w:eastAsia="en-GB"/>
        </w:rPr>
        <w:t>V</w:t>
      </w:r>
      <w:r w:rsidR="00D422B1" w:rsidRPr="00D6259F">
        <w:rPr>
          <w:color w:val="000000" w:themeColor="text1"/>
          <w:lang w:eastAsia="en-GB"/>
        </w:rPr>
        <w:t>ested asset</w:t>
      </w:r>
      <w:r w:rsidR="00C26ACC" w:rsidRPr="00D6259F">
        <w:rPr>
          <w:color w:val="000000" w:themeColor="text1"/>
          <w:lang w:eastAsia="en-GB"/>
        </w:rPr>
        <w:t>s</w:t>
      </w:r>
      <w:r w:rsidR="00D422B1" w:rsidRPr="00D6259F">
        <w:rPr>
          <w:color w:val="000000" w:themeColor="text1"/>
          <w:lang w:eastAsia="en-GB"/>
        </w:rPr>
        <w:t xml:space="preserve"> </w:t>
      </w:r>
      <w:r w:rsidR="00A00F18" w:rsidRPr="00D6259F">
        <w:rPr>
          <w:color w:val="000000" w:themeColor="text1"/>
          <w:lang w:eastAsia="en-GB"/>
        </w:rPr>
        <w:t xml:space="preserve">revenue </w:t>
      </w:r>
      <w:r w:rsidR="001F631D" w:rsidRPr="00D6259F">
        <w:rPr>
          <w:color w:val="000000" w:themeColor="text1"/>
          <w:lang w:eastAsia="en-GB"/>
        </w:rPr>
        <w:t>co</w:t>
      </w:r>
      <w:r w:rsidR="00A00F18" w:rsidRPr="00D6259F">
        <w:rPr>
          <w:color w:val="000000" w:themeColor="text1"/>
          <w:lang w:eastAsia="en-GB"/>
        </w:rPr>
        <w:t>mprises of</w:t>
      </w:r>
      <w:r w:rsidR="00D422B1" w:rsidRPr="00D6259F">
        <w:rPr>
          <w:color w:val="000000" w:themeColor="text1"/>
          <w:lang w:eastAsia="en-GB"/>
        </w:rPr>
        <w:t>:</w:t>
      </w:r>
    </w:p>
    <w:p w14:paraId="56949D69" w14:textId="77777777" w:rsidR="00FE030D" w:rsidRPr="00D6259F" w:rsidRDefault="00FE030D" w:rsidP="00FE030D">
      <w:pPr>
        <w:pStyle w:val="ListParagraph"/>
        <w:numPr>
          <w:ilvl w:val="0"/>
          <w:numId w:val="15"/>
        </w:numPr>
        <w:rPr>
          <w:color w:val="000000" w:themeColor="text1"/>
          <w:lang w:eastAsia="en-GB"/>
        </w:rPr>
      </w:pPr>
      <w:r w:rsidRPr="00D6259F">
        <w:rPr>
          <w:color w:val="000000" w:themeColor="text1"/>
          <w:lang w:eastAsia="en-GB"/>
        </w:rPr>
        <w:t xml:space="preserve">Drainage, </w:t>
      </w:r>
      <w:proofErr w:type="gramStart"/>
      <w:r w:rsidRPr="00D6259F">
        <w:rPr>
          <w:color w:val="000000" w:themeColor="text1"/>
          <w:lang w:eastAsia="en-GB"/>
        </w:rPr>
        <w:t>water</w:t>
      </w:r>
      <w:proofErr w:type="gramEnd"/>
      <w:r w:rsidRPr="00D6259F">
        <w:rPr>
          <w:color w:val="000000" w:themeColor="text1"/>
          <w:lang w:eastAsia="en-GB"/>
        </w:rPr>
        <w:t xml:space="preserve"> and waste - $18.8m (2023: $2.5m) – this </w:t>
      </w:r>
      <w:r w:rsidRPr="00D6259F">
        <w:rPr>
          <w:rStyle w:val="ui-provider"/>
          <w:color w:val="000000" w:themeColor="text1"/>
        </w:rPr>
        <w:t xml:space="preserve">revenue relates to vested assets from subdivision developers working with the Council. The increased revenue for the year is mainly attributable to the East </w:t>
      </w:r>
      <w:proofErr w:type="spellStart"/>
      <w:r w:rsidRPr="00D6259F">
        <w:rPr>
          <w:rStyle w:val="ui-provider"/>
          <w:color w:val="000000" w:themeColor="text1"/>
        </w:rPr>
        <w:t>Stebbings</w:t>
      </w:r>
      <w:proofErr w:type="spellEnd"/>
      <w:r w:rsidRPr="00D6259F">
        <w:rPr>
          <w:rStyle w:val="ui-provider"/>
          <w:color w:val="000000" w:themeColor="text1"/>
        </w:rPr>
        <w:t xml:space="preserve"> Subdivision.  </w:t>
      </w:r>
    </w:p>
    <w:p w14:paraId="1D28DEDF" w14:textId="17BA6DF1" w:rsidR="005B05BE" w:rsidRPr="00D6259F" w:rsidRDefault="005B05BE" w:rsidP="00E76A2E">
      <w:pPr>
        <w:pStyle w:val="ListParagraph"/>
        <w:numPr>
          <w:ilvl w:val="0"/>
          <w:numId w:val="15"/>
        </w:numPr>
        <w:rPr>
          <w:color w:val="000000" w:themeColor="text1"/>
          <w:lang w:eastAsia="en-GB"/>
        </w:rPr>
      </w:pPr>
      <w:r w:rsidRPr="00D6259F">
        <w:rPr>
          <w:color w:val="000000" w:themeColor="text1"/>
          <w:lang w:eastAsia="en-GB"/>
        </w:rPr>
        <w:t>Roading - $</w:t>
      </w:r>
      <w:r w:rsidR="00EF6469" w:rsidRPr="00D6259F">
        <w:rPr>
          <w:color w:val="000000" w:themeColor="text1"/>
          <w:lang w:eastAsia="en-GB"/>
        </w:rPr>
        <w:t>1</w:t>
      </w:r>
      <w:r w:rsidR="005B757A" w:rsidRPr="00D6259F">
        <w:rPr>
          <w:color w:val="000000" w:themeColor="text1"/>
          <w:lang w:eastAsia="en-GB"/>
        </w:rPr>
        <w:t>2.1</w:t>
      </w:r>
      <w:r w:rsidR="00EF6469" w:rsidRPr="00D6259F">
        <w:rPr>
          <w:color w:val="000000" w:themeColor="text1"/>
          <w:lang w:eastAsia="en-GB"/>
        </w:rPr>
        <w:t>m</w:t>
      </w:r>
      <w:r w:rsidR="00332A07" w:rsidRPr="00D6259F">
        <w:rPr>
          <w:color w:val="000000" w:themeColor="text1"/>
          <w:lang w:eastAsia="en-GB"/>
        </w:rPr>
        <w:t xml:space="preserve"> </w:t>
      </w:r>
      <w:r w:rsidRPr="00D6259F">
        <w:rPr>
          <w:color w:val="000000" w:themeColor="text1"/>
          <w:lang w:eastAsia="en-GB"/>
        </w:rPr>
        <w:t>(202</w:t>
      </w:r>
      <w:r w:rsidR="00332A07" w:rsidRPr="00D6259F">
        <w:rPr>
          <w:color w:val="000000" w:themeColor="text1"/>
          <w:lang w:eastAsia="en-GB"/>
        </w:rPr>
        <w:t>3</w:t>
      </w:r>
      <w:r w:rsidRPr="00D6259F">
        <w:rPr>
          <w:color w:val="000000" w:themeColor="text1"/>
          <w:lang w:eastAsia="en-GB"/>
        </w:rPr>
        <w:t>: $</w:t>
      </w:r>
      <w:r w:rsidR="00332A07" w:rsidRPr="00D6259F">
        <w:rPr>
          <w:color w:val="000000" w:themeColor="text1"/>
          <w:lang w:eastAsia="en-GB"/>
        </w:rPr>
        <w:t>9.2m</w:t>
      </w:r>
      <w:r w:rsidRPr="00D6259F">
        <w:rPr>
          <w:color w:val="000000" w:themeColor="text1"/>
          <w:lang w:eastAsia="en-GB"/>
        </w:rPr>
        <w:t xml:space="preserve">) – </w:t>
      </w:r>
      <w:r w:rsidR="005B757A" w:rsidRPr="00D6259F">
        <w:rPr>
          <w:color w:val="000000" w:themeColor="text1"/>
          <w:lang w:eastAsia="en-GB"/>
        </w:rPr>
        <w:t>i</w:t>
      </w:r>
      <w:r w:rsidRPr="00D6259F">
        <w:rPr>
          <w:color w:val="000000" w:themeColor="text1"/>
          <w:lang w:eastAsia="en-GB"/>
        </w:rPr>
        <w:t xml:space="preserve">ncludes </w:t>
      </w:r>
      <w:r w:rsidRPr="00D6259F">
        <w:rPr>
          <w:color w:val="000000" w:themeColor="text1"/>
        </w:rPr>
        <w:t>LGWM vested asset revenue of $</w:t>
      </w:r>
      <w:r w:rsidR="005B757A" w:rsidRPr="00D6259F">
        <w:rPr>
          <w:color w:val="000000" w:themeColor="text1"/>
        </w:rPr>
        <w:t>11.0m</w:t>
      </w:r>
      <w:r w:rsidR="0089199C" w:rsidRPr="00D6259F">
        <w:rPr>
          <w:color w:val="000000" w:themeColor="text1"/>
          <w:lang w:eastAsia="en-GB"/>
        </w:rPr>
        <w:t xml:space="preserve"> (2023: $7.3m)</w:t>
      </w:r>
      <w:r w:rsidR="00332A07" w:rsidRPr="00D6259F">
        <w:rPr>
          <w:color w:val="000000" w:themeColor="text1"/>
          <w:lang w:eastAsia="en-GB"/>
        </w:rPr>
        <w:t xml:space="preserve"> </w:t>
      </w:r>
      <w:r w:rsidRPr="00D6259F">
        <w:rPr>
          <w:color w:val="000000" w:themeColor="text1"/>
        </w:rPr>
        <w:t xml:space="preserve">representing </w:t>
      </w:r>
      <w:r w:rsidR="004D7981" w:rsidRPr="00D6259F">
        <w:rPr>
          <w:color w:val="000000" w:themeColor="text1"/>
        </w:rPr>
        <w:t>NZ</w:t>
      </w:r>
      <w:r w:rsidR="00910A76" w:rsidRPr="00D6259F">
        <w:rPr>
          <w:color w:val="000000" w:themeColor="text1"/>
        </w:rPr>
        <w:t>TA’s</w:t>
      </w:r>
      <w:r w:rsidR="004D7981" w:rsidRPr="00D6259F">
        <w:rPr>
          <w:color w:val="000000" w:themeColor="text1"/>
        </w:rPr>
        <w:t xml:space="preserve"> </w:t>
      </w:r>
      <w:r w:rsidRPr="00D6259F">
        <w:rPr>
          <w:color w:val="000000" w:themeColor="text1"/>
        </w:rPr>
        <w:t xml:space="preserve">contribution to </w:t>
      </w:r>
      <w:r w:rsidR="00A00F18" w:rsidRPr="00D6259F">
        <w:rPr>
          <w:color w:val="000000" w:themeColor="text1"/>
        </w:rPr>
        <w:t xml:space="preserve">the </w:t>
      </w:r>
      <w:r w:rsidRPr="00D6259F">
        <w:rPr>
          <w:color w:val="000000" w:themeColor="text1"/>
        </w:rPr>
        <w:t>Council’s portion of the capital delivery programme.</w:t>
      </w:r>
      <w:r w:rsidRPr="00D6259F">
        <w:rPr>
          <w:color w:val="000000" w:themeColor="text1"/>
          <w:lang w:eastAsia="en-GB"/>
        </w:rPr>
        <w:t xml:space="preserve"> </w:t>
      </w:r>
    </w:p>
    <w:p w14:paraId="43081C26" w14:textId="1EE578EA" w:rsidR="00830100" w:rsidRPr="00D6259F" w:rsidRDefault="00830100" w:rsidP="00E76A2E">
      <w:pPr>
        <w:pStyle w:val="ListParagraph"/>
        <w:numPr>
          <w:ilvl w:val="0"/>
          <w:numId w:val="15"/>
        </w:numPr>
        <w:rPr>
          <w:color w:val="000000" w:themeColor="text1"/>
          <w:lang w:eastAsia="en-GB"/>
        </w:rPr>
      </w:pPr>
      <w:r w:rsidRPr="00D6259F">
        <w:rPr>
          <w:color w:val="000000" w:themeColor="text1"/>
          <w:lang w:eastAsia="en-GB"/>
        </w:rPr>
        <w:t>Land - $</w:t>
      </w:r>
      <w:r w:rsidR="00EF6469" w:rsidRPr="00D6259F">
        <w:rPr>
          <w:color w:val="000000" w:themeColor="text1"/>
          <w:lang w:eastAsia="en-GB"/>
        </w:rPr>
        <w:t>1.4m</w:t>
      </w:r>
      <w:r w:rsidR="00332A07" w:rsidRPr="00D6259F">
        <w:rPr>
          <w:color w:val="000000" w:themeColor="text1"/>
          <w:lang w:eastAsia="en-GB"/>
        </w:rPr>
        <w:t xml:space="preserve"> </w:t>
      </w:r>
      <w:r w:rsidRPr="00D6259F">
        <w:rPr>
          <w:color w:val="000000" w:themeColor="text1"/>
          <w:lang w:eastAsia="en-GB"/>
        </w:rPr>
        <w:t>(202</w:t>
      </w:r>
      <w:r w:rsidR="00332A07" w:rsidRPr="00D6259F">
        <w:rPr>
          <w:color w:val="000000" w:themeColor="text1"/>
          <w:lang w:eastAsia="en-GB"/>
        </w:rPr>
        <w:t>3</w:t>
      </w:r>
      <w:r w:rsidRPr="00D6259F">
        <w:rPr>
          <w:color w:val="000000" w:themeColor="text1"/>
          <w:lang w:eastAsia="en-GB"/>
        </w:rPr>
        <w:t xml:space="preserve">: </w:t>
      </w:r>
      <w:r w:rsidR="00DF07C0" w:rsidRPr="00D6259F">
        <w:rPr>
          <w:color w:val="000000" w:themeColor="text1"/>
          <w:lang w:eastAsia="en-GB"/>
        </w:rPr>
        <w:t>$</w:t>
      </w:r>
      <w:r w:rsidR="00332A07" w:rsidRPr="00D6259F">
        <w:rPr>
          <w:color w:val="000000" w:themeColor="text1"/>
          <w:lang w:eastAsia="en-GB"/>
        </w:rPr>
        <w:t>1.</w:t>
      </w:r>
      <w:r w:rsidR="00A4546F" w:rsidRPr="00D6259F">
        <w:rPr>
          <w:color w:val="000000" w:themeColor="text1"/>
          <w:lang w:eastAsia="en-GB"/>
        </w:rPr>
        <w:t>2</w:t>
      </w:r>
      <w:r w:rsidR="00332A07" w:rsidRPr="00D6259F">
        <w:rPr>
          <w:color w:val="000000" w:themeColor="text1"/>
          <w:lang w:eastAsia="en-GB"/>
        </w:rPr>
        <w:t>m</w:t>
      </w:r>
      <w:r w:rsidRPr="00D6259F">
        <w:rPr>
          <w:color w:val="000000" w:themeColor="text1"/>
          <w:lang w:eastAsia="en-GB"/>
        </w:rPr>
        <w:t>)</w:t>
      </w:r>
      <w:r w:rsidR="005B05BE" w:rsidRPr="00D6259F">
        <w:rPr>
          <w:color w:val="000000" w:themeColor="text1"/>
          <w:lang w:eastAsia="en-GB"/>
        </w:rPr>
        <w:t>.</w:t>
      </w:r>
    </w:p>
    <w:p w14:paraId="5598BBC1" w14:textId="4EA4B457" w:rsidR="00684D1B" w:rsidRPr="00D6259F" w:rsidRDefault="00684D1B" w:rsidP="00E76A2E">
      <w:pPr>
        <w:pStyle w:val="ListParagraph"/>
        <w:numPr>
          <w:ilvl w:val="0"/>
          <w:numId w:val="15"/>
        </w:numPr>
        <w:rPr>
          <w:color w:val="000000" w:themeColor="text1"/>
          <w:lang w:eastAsia="en-GB"/>
        </w:rPr>
      </w:pPr>
      <w:r w:rsidRPr="00D6259F">
        <w:rPr>
          <w:color w:val="000000" w:themeColor="text1"/>
          <w:lang w:eastAsia="en-GB"/>
        </w:rPr>
        <w:t>Carbon credits - $</w:t>
      </w:r>
      <w:r w:rsidR="00EF6469" w:rsidRPr="00D6259F">
        <w:rPr>
          <w:color w:val="000000" w:themeColor="text1"/>
          <w:lang w:eastAsia="en-GB"/>
        </w:rPr>
        <w:t>1.3m</w:t>
      </w:r>
      <w:r w:rsidR="00332A07" w:rsidRPr="00D6259F">
        <w:rPr>
          <w:color w:val="000000" w:themeColor="text1"/>
          <w:lang w:eastAsia="en-GB"/>
        </w:rPr>
        <w:t xml:space="preserve"> </w:t>
      </w:r>
      <w:r w:rsidRPr="00D6259F">
        <w:rPr>
          <w:color w:val="000000" w:themeColor="text1"/>
          <w:lang w:eastAsia="en-GB"/>
        </w:rPr>
        <w:t>(202</w:t>
      </w:r>
      <w:r w:rsidR="00332A07" w:rsidRPr="00D6259F">
        <w:rPr>
          <w:color w:val="000000" w:themeColor="text1"/>
          <w:lang w:eastAsia="en-GB"/>
        </w:rPr>
        <w:t>3</w:t>
      </w:r>
      <w:r w:rsidRPr="00D6259F">
        <w:rPr>
          <w:color w:val="000000" w:themeColor="text1"/>
          <w:lang w:eastAsia="en-GB"/>
        </w:rPr>
        <w:t>: $</w:t>
      </w:r>
      <w:r w:rsidR="00332A07" w:rsidRPr="00D6259F">
        <w:rPr>
          <w:color w:val="000000" w:themeColor="text1"/>
          <w:lang w:eastAsia="en-GB"/>
        </w:rPr>
        <w:t>1.1m</w:t>
      </w:r>
      <w:r w:rsidR="005E66B1" w:rsidRPr="00D6259F">
        <w:rPr>
          <w:color w:val="000000" w:themeColor="text1"/>
          <w:lang w:eastAsia="en-GB"/>
        </w:rPr>
        <w:t>)</w:t>
      </w:r>
      <w:r w:rsidR="005B05BE" w:rsidRPr="00D6259F">
        <w:rPr>
          <w:color w:val="000000" w:themeColor="text1"/>
          <w:lang w:eastAsia="en-GB"/>
        </w:rPr>
        <w:t>.</w:t>
      </w:r>
    </w:p>
    <w:p w14:paraId="3296D1BD" w14:textId="625DCD7E" w:rsidR="00D422B1" w:rsidRPr="00D6259F" w:rsidRDefault="00D422B1" w:rsidP="00982334">
      <w:pPr>
        <w:rPr>
          <w:color w:val="000000" w:themeColor="text1"/>
          <w:lang w:eastAsia="en-GB"/>
        </w:rPr>
      </w:pPr>
      <w:r w:rsidRPr="00D6259F">
        <w:rPr>
          <w:color w:val="000000" w:themeColor="text1"/>
          <w:lang w:eastAsia="en-GB"/>
        </w:rPr>
        <w:t xml:space="preserve">Other revenue </w:t>
      </w:r>
      <w:r w:rsidR="00A00F18" w:rsidRPr="00D6259F">
        <w:rPr>
          <w:color w:val="000000" w:themeColor="text1"/>
          <w:lang w:eastAsia="en-GB"/>
        </w:rPr>
        <w:t xml:space="preserve">comprises </w:t>
      </w:r>
      <w:r w:rsidR="001D54FD" w:rsidRPr="00D6259F">
        <w:rPr>
          <w:color w:val="000000" w:themeColor="text1"/>
          <w:lang w:eastAsia="en-GB"/>
        </w:rPr>
        <w:t>of</w:t>
      </w:r>
      <w:r w:rsidRPr="00D6259F">
        <w:rPr>
          <w:color w:val="000000" w:themeColor="text1"/>
          <w:lang w:eastAsia="en-GB"/>
        </w:rPr>
        <w:t>:</w:t>
      </w:r>
    </w:p>
    <w:p w14:paraId="5EF8FBD3" w14:textId="290AA43E" w:rsidR="00D422B1" w:rsidRPr="00D6259F" w:rsidRDefault="00D422B1" w:rsidP="00E76A2E">
      <w:pPr>
        <w:pStyle w:val="ListParagraph"/>
        <w:numPr>
          <w:ilvl w:val="0"/>
          <w:numId w:val="16"/>
        </w:numPr>
        <w:rPr>
          <w:color w:val="000000" w:themeColor="text1"/>
          <w:lang w:eastAsia="en-GB"/>
        </w:rPr>
      </w:pPr>
      <w:r w:rsidRPr="00D6259F">
        <w:rPr>
          <w:color w:val="000000" w:themeColor="text1"/>
          <w:lang w:eastAsia="en-GB"/>
        </w:rPr>
        <w:t>Gains on disposal of assets - $</w:t>
      </w:r>
      <w:r w:rsidR="00EF6469" w:rsidRPr="00D6259F">
        <w:rPr>
          <w:color w:val="000000" w:themeColor="text1"/>
          <w:lang w:eastAsia="en-GB"/>
        </w:rPr>
        <w:t>1.4m</w:t>
      </w:r>
      <w:r w:rsidR="00332A07" w:rsidRPr="00D6259F">
        <w:rPr>
          <w:color w:val="000000" w:themeColor="text1"/>
          <w:lang w:eastAsia="en-GB"/>
        </w:rPr>
        <w:t xml:space="preserve"> </w:t>
      </w:r>
      <w:r w:rsidRPr="00D6259F">
        <w:rPr>
          <w:color w:val="000000" w:themeColor="text1"/>
          <w:lang w:eastAsia="en-GB"/>
        </w:rPr>
        <w:t>(</w:t>
      </w:r>
      <w:r w:rsidR="00DF2527" w:rsidRPr="00D6259F">
        <w:rPr>
          <w:color w:val="000000" w:themeColor="text1"/>
          <w:lang w:eastAsia="en-GB"/>
        </w:rPr>
        <w:t>202</w:t>
      </w:r>
      <w:r w:rsidR="00332A07" w:rsidRPr="00D6259F">
        <w:rPr>
          <w:color w:val="000000" w:themeColor="text1"/>
          <w:lang w:eastAsia="en-GB"/>
        </w:rPr>
        <w:t>3</w:t>
      </w:r>
      <w:r w:rsidRPr="00D6259F">
        <w:rPr>
          <w:color w:val="000000" w:themeColor="text1"/>
          <w:lang w:eastAsia="en-GB"/>
        </w:rPr>
        <w:t>: $</w:t>
      </w:r>
      <w:r w:rsidR="00332A07" w:rsidRPr="00D6259F">
        <w:rPr>
          <w:color w:val="000000" w:themeColor="text1"/>
          <w:lang w:eastAsia="en-GB"/>
        </w:rPr>
        <w:t>3.</w:t>
      </w:r>
      <w:r w:rsidR="001F631D" w:rsidRPr="00D6259F">
        <w:rPr>
          <w:color w:val="000000" w:themeColor="text1"/>
          <w:lang w:eastAsia="en-GB"/>
        </w:rPr>
        <w:t>2</w:t>
      </w:r>
      <w:r w:rsidR="00332A07" w:rsidRPr="00D6259F">
        <w:rPr>
          <w:color w:val="000000" w:themeColor="text1"/>
          <w:lang w:eastAsia="en-GB"/>
        </w:rPr>
        <w:t>m</w:t>
      </w:r>
      <w:r w:rsidRPr="00D6259F">
        <w:rPr>
          <w:color w:val="000000" w:themeColor="text1"/>
          <w:lang w:eastAsia="en-GB"/>
        </w:rPr>
        <w:t>)</w:t>
      </w:r>
    </w:p>
    <w:p w14:paraId="03739BA4" w14:textId="77777777" w:rsidR="00A00F18" w:rsidRPr="00D6259F" w:rsidRDefault="00D422B1" w:rsidP="00E76A2E">
      <w:pPr>
        <w:pStyle w:val="ListParagraph"/>
        <w:numPr>
          <w:ilvl w:val="0"/>
          <w:numId w:val="16"/>
        </w:numPr>
        <w:rPr>
          <w:color w:val="000000" w:themeColor="text1"/>
          <w:lang w:eastAsia="en-GB"/>
        </w:rPr>
      </w:pPr>
      <w:r w:rsidRPr="00D6259F">
        <w:rPr>
          <w:color w:val="000000" w:themeColor="text1"/>
          <w:lang w:eastAsia="en-GB"/>
        </w:rPr>
        <w:t>Fuel tax - $</w:t>
      </w:r>
      <w:r w:rsidR="00EF6469" w:rsidRPr="00D6259F">
        <w:rPr>
          <w:color w:val="000000" w:themeColor="text1"/>
          <w:lang w:eastAsia="en-GB"/>
        </w:rPr>
        <w:t>1.1m</w:t>
      </w:r>
      <w:r w:rsidR="00332A07" w:rsidRPr="00D6259F">
        <w:rPr>
          <w:color w:val="000000" w:themeColor="text1"/>
          <w:lang w:eastAsia="en-GB"/>
        </w:rPr>
        <w:t xml:space="preserve"> </w:t>
      </w:r>
      <w:r w:rsidRPr="00D6259F">
        <w:rPr>
          <w:color w:val="000000" w:themeColor="text1"/>
          <w:lang w:eastAsia="en-GB"/>
        </w:rPr>
        <w:t>(</w:t>
      </w:r>
      <w:r w:rsidR="00DF2527" w:rsidRPr="00D6259F">
        <w:rPr>
          <w:color w:val="000000" w:themeColor="text1"/>
          <w:lang w:eastAsia="en-GB"/>
        </w:rPr>
        <w:t>202</w:t>
      </w:r>
      <w:r w:rsidR="00332A07" w:rsidRPr="00D6259F">
        <w:rPr>
          <w:color w:val="000000" w:themeColor="text1"/>
          <w:lang w:eastAsia="en-GB"/>
        </w:rPr>
        <w:t>3</w:t>
      </w:r>
      <w:r w:rsidRPr="00D6259F">
        <w:rPr>
          <w:color w:val="000000" w:themeColor="text1"/>
          <w:lang w:eastAsia="en-GB"/>
        </w:rPr>
        <w:t>: $</w:t>
      </w:r>
      <w:r w:rsidR="00332A07" w:rsidRPr="00D6259F">
        <w:rPr>
          <w:color w:val="000000" w:themeColor="text1"/>
          <w:lang w:eastAsia="en-GB"/>
        </w:rPr>
        <w:t>0.9m</w:t>
      </w:r>
      <w:r w:rsidRPr="00D6259F">
        <w:rPr>
          <w:color w:val="000000" w:themeColor="text1"/>
          <w:lang w:eastAsia="en-GB"/>
        </w:rPr>
        <w:t>)</w:t>
      </w:r>
    </w:p>
    <w:p w14:paraId="05268B45" w14:textId="77777777" w:rsidR="00A00F18" w:rsidRPr="00D6259F" w:rsidRDefault="00A00F18" w:rsidP="00A00F18">
      <w:pPr>
        <w:pStyle w:val="ListParagraph"/>
        <w:numPr>
          <w:ilvl w:val="0"/>
          <w:numId w:val="16"/>
        </w:numPr>
        <w:rPr>
          <w:color w:val="000000" w:themeColor="text1"/>
          <w:lang w:eastAsia="en-GB"/>
        </w:rPr>
      </w:pPr>
      <w:r w:rsidRPr="00D6259F">
        <w:rPr>
          <w:color w:val="000000" w:themeColor="text1"/>
          <w:lang w:eastAsia="en-GB"/>
        </w:rPr>
        <w:t>Recovered capital expenditure - $0.6m (2023: $3.1m)</w:t>
      </w:r>
    </w:p>
    <w:p w14:paraId="12277A14" w14:textId="77777777" w:rsidR="00D422B1" w:rsidRPr="00D6259F" w:rsidRDefault="00D422B1" w:rsidP="00982334">
      <w:pPr>
        <w:pStyle w:val="Heading3"/>
      </w:pPr>
      <w:bookmarkStart w:id="58" w:name="_Toc121217084"/>
      <w:r w:rsidRPr="00D6259F">
        <w:t>Relevant significant accounting policies</w:t>
      </w:r>
      <w:bookmarkEnd w:id="58"/>
    </w:p>
    <w:p w14:paraId="0F83118F" w14:textId="77777777" w:rsidR="00D422B1" w:rsidRPr="00D6259F" w:rsidRDefault="00D422B1" w:rsidP="00982334">
      <w:pPr>
        <w:pStyle w:val="Heading5"/>
        <w:rPr>
          <w:color w:val="000000" w:themeColor="text1"/>
        </w:rPr>
      </w:pPr>
      <w:r w:rsidRPr="00D6259F">
        <w:rPr>
          <w:color w:val="000000" w:themeColor="text1"/>
        </w:rPr>
        <w:t xml:space="preserve">Donated, subsidised or vested </w:t>
      </w:r>
      <w:proofErr w:type="gramStart"/>
      <w:r w:rsidRPr="00D6259F">
        <w:rPr>
          <w:color w:val="000000" w:themeColor="text1"/>
        </w:rPr>
        <w:t>assets</w:t>
      </w:r>
      <w:proofErr w:type="gramEnd"/>
      <w:r w:rsidRPr="00D6259F">
        <w:rPr>
          <w:color w:val="000000" w:themeColor="text1"/>
        </w:rPr>
        <w:t xml:space="preserve"> </w:t>
      </w:r>
    </w:p>
    <w:p w14:paraId="32454895" w14:textId="77777777" w:rsidR="00D422B1" w:rsidRPr="00D6259F" w:rsidRDefault="00D422B1" w:rsidP="00982334">
      <w:pPr>
        <w:rPr>
          <w:color w:val="000000" w:themeColor="text1"/>
          <w:lang w:eastAsia="en-GB"/>
        </w:rPr>
      </w:pPr>
      <w:r w:rsidRPr="00D6259F">
        <w:rPr>
          <w:color w:val="000000" w:themeColor="text1"/>
          <w:lang w:eastAsia="en-GB"/>
        </w:rPr>
        <w:t>Where a physical asset is acquired for nil or nominal consideration, with no conditions attached, the fair value of the asset received, as determined by active market prices, is recognised as non-exchange revenue when the control of the asset is transferred to the Council.</w:t>
      </w:r>
    </w:p>
    <w:p w14:paraId="26FE475C" w14:textId="0DC29EBD" w:rsidR="00D422B1" w:rsidRPr="00D6259F" w:rsidRDefault="00D422B1" w:rsidP="00982334">
      <w:pPr>
        <w:pStyle w:val="Heading5"/>
        <w:rPr>
          <w:color w:val="000000" w:themeColor="text1"/>
        </w:rPr>
      </w:pPr>
      <w:r w:rsidRPr="00D6259F">
        <w:rPr>
          <w:color w:val="000000" w:themeColor="text1"/>
        </w:rPr>
        <w:t>Gains</w:t>
      </w:r>
      <w:r w:rsidR="00A00F18" w:rsidRPr="00D6259F">
        <w:rPr>
          <w:color w:val="000000" w:themeColor="text1"/>
        </w:rPr>
        <w:t xml:space="preserve"> on disposal of assets</w:t>
      </w:r>
    </w:p>
    <w:p w14:paraId="040455FD" w14:textId="6DB126A2" w:rsidR="00D422B1" w:rsidRPr="00D6259F" w:rsidRDefault="00D422B1" w:rsidP="00982334">
      <w:pPr>
        <w:rPr>
          <w:color w:val="000000" w:themeColor="text1"/>
          <w:lang w:eastAsia="en-GB"/>
        </w:rPr>
      </w:pPr>
      <w:r w:rsidRPr="00D6259F">
        <w:rPr>
          <w:color w:val="000000" w:themeColor="text1"/>
          <w:lang w:eastAsia="en-GB"/>
        </w:rPr>
        <w:t xml:space="preserve">Gains </w:t>
      </w:r>
      <w:r w:rsidR="00A00F18" w:rsidRPr="00D6259F">
        <w:rPr>
          <w:color w:val="000000" w:themeColor="text1"/>
          <w:lang w:eastAsia="en-GB"/>
        </w:rPr>
        <w:t xml:space="preserve">on disposal of assets </w:t>
      </w:r>
      <w:r w:rsidRPr="00D6259F">
        <w:rPr>
          <w:color w:val="000000" w:themeColor="text1"/>
          <w:lang w:eastAsia="en-GB"/>
        </w:rPr>
        <w:t>include additional earnings (</w:t>
      </w:r>
      <w:r w:rsidR="008D3D40" w:rsidRPr="00D6259F">
        <w:rPr>
          <w:color w:val="000000" w:themeColor="text1"/>
          <w:lang w:eastAsia="en-GB"/>
        </w:rPr>
        <w:t>for example, s</w:t>
      </w:r>
      <w:r w:rsidRPr="00D6259F">
        <w:rPr>
          <w:color w:val="000000" w:themeColor="text1"/>
          <w:lang w:eastAsia="en-GB"/>
        </w:rPr>
        <w:t xml:space="preserve">ale proceeds </w:t>
      </w:r>
      <w:proofErr w:type="gramStart"/>
      <w:r w:rsidRPr="00D6259F">
        <w:rPr>
          <w:color w:val="000000" w:themeColor="text1"/>
          <w:lang w:eastAsia="en-GB"/>
        </w:rPr>
        <w:t>in excess of</w:t>
      </w:r>
      <w:proofErr w:type="gramEnd"/>
      <w:r w:rsidRPr="00D6259F">
        <w:rPr>
          <w:color w:val="000000" w:themeColor="text1"/>
          <w:lang w:eastAsia="en-GB"/>
        </w:rPr>
        <w:t xml:space="preserve"> the book value) on the disposal of property, plant and equipment. </w:t>
      </w:r>
    </w:p>
    <w:p w14:paraId="15E18CBF" w14:textId="77777777" w:rsidR="00400A3B" w:rsidRPr="00D6259F" w:rsidRDefault="00400A3B" w:rsidP="00982334">
      <w:pPr>
        <w:rPr>
          <w:color w:val="000000" w:themeColor="text1"/>
          <w:lang w:eastAsia="en-GB"/>
        </w:rPr>
      </w:pPr>
    </w:p>
    <w:p w14:paraId="35637BEA" w14:textId="77777777" w:rsidR="00D422B1" w:rsidRPr="00D6259F" w:rsidRDefault="00D422B1" w:rsidP="00982334">
      <w:pPr>
        <w:pStyle w:val="Heading5"/>
        <w:rPr>
          <w:color w:val="000000" w:themeColor="text1"/>
        </w:rPr>
      </w:pPr>
      <w:r w:rsidRPr="00D6259F">
        <w:rPr>
          <w:color w:val="000000" w:themeColor="text1"/>
        </w:rPr>
        <w:lastRenderedPageBreak/>
        <w:t>Donated services</w:t>
      </w:r>
    </w:p>
    <w:p w14:paraId="449591E8" w14:textId="1F04F89B" w:rsidR="00FA6D44" w:rsidRPr="00D6259F" w:rsidRDefault="00D422B1" w:rsidP="006B2295">
      <w:pPr>
        <w:rPr>
          <w:color w:val="000000" w:themeColor="text1"/>
        </w:rPr>
      </w:pPr>
      <w:r w:rsidRPr="00D6259F">
        <w:rPr>
          <w:color w:val="000000" w:themeColor="text1"/>
          <w:lang w:eastAsia="en-GB"/>
        </w:rPr>
        <w:t>The Council benefits from the voluntary service of many Wellingtonians in the delivery of its activities and services (</w:t>
      </w:r>
      <w:r w:rsidR="008D3D40" w:rsidRPr="00D6259F">
        <w:rPr>
          <w:color w:val="000000" w:themeColor="text1"/>
          <w:lang w:eastAsia="en-GB"/>
        </w:rPr>
        <w:t>for example,</w:t>
      </w:r>
      <w:r w:rsidRPr="00D6259F">
        <w:rPr>
          <w:color w:val="000000" w:themeColor="text1"/>
          <w:lang w:eastAsia="en-GB"/>
        </w:rPr>
        <w:t xml:space="preserve"> beach cleaning and </w:t>
      </w:r>
      <w:r w:rsidR="009039BB" w:rsidRPr="00D6259F">
        <w:rPr>
          <w:color w:val="000000" w:themeColor="text1"/>
        </w:rPr>
        <w:t>Ō</w:t>
      </w:r>
      <w:r w:rsidRPr="00D6259F">
        <w:rPr>
          <w:color w:val="000000" w:themeColor="text1"/>
          <w:lang w:eastAsia="en-GB"/>
        </w:rPr>
        <w:t>tari-Wilton’s Bush guiding and planting). Due to the difficulty in determining the precise value of these donated services with sufficient reliability, donated services are not recognised in these financial statements.</w:t>
      </w:r>
      <w:r w:rsidR="0022228E" w:rsidRPr="00D6259F">
        <w:rPr>
          <w:color w:val="000000" w:themeColor="text1"/>
          <w:lang w:eastAsia="en-GB"/>
        </w:rPr>
        <w:t xml:space="preserve"> More information on the network of volunteers can be found on page </w:t>
      </w:r>
      <w:r w:rsidR="00215DF4" w:rsidRPr="00D6259F">
        <w:rPr>
          <w:color w:val="000000" w:themeColor="text1"/>
          <w:lang w:eastAsia="en-GB"/>
        </w:rPr>
        <w:t>160</w:t>
      </w:r>
      <w:r w:rsidR="0022228E" w:rsidRPr="00D6259F">
        <w:rPr>
          <w:color w:val="000000" w:themeColor="text1"/>
          <w:lang w:eastAsia="en-GB"/>
        </w:rPr>
        <w:t xml:space="preserve"> of Volume 1.</w:t>
      </w:r>
    </w:p>
    <w:p w14:paraId="390B3937" w14:textId="77777777" w:rsidR="00D422B1" w:rsidRPr="00D6259F" w:rsidRDefault="00D422B1" w:rsidP="00982334">
      <w:pPr>
        <w:pStyle w:val="Heading2"/>
      </w:pPr>
      <w:bookmarkStart w:id="59" w:name="_Toc55482646"/>
      <w:bookmarkStart w:id="60" w:name="_Toc179890289"/>
      <w:r w:rsidRPr="00D6259F">
        <w:t xml:space="preserve">Note 5: Fair value </w:t>
      </w:r>
      <w:proofErr w:type="gramStart"/>
      <w:r w:rsidRPr="00D6259F">
        <w:t>movements</w:t>
      </w:r>
      <w:bookmarkEnd w:id="59"/>
      <w:bookmarkEnd w:id="60"/>
      <w:proofErr w:type="gramEnd"/>
    </w:p>
    <w:p w14:paraId="7E9EB4D7" w14:textId="37D3AB16" w:rsidR="00D422B1" w:rsidRPr="00D6259F" w:rsidRDefault="000F20D8" w:rsidP="00982334">
      <w:pPr>
        <w:rPr>
          <w:b/>
          <w:bCs/>
          <w:noProof/>
          <w:color w:val="000000" w:themeColor="text1"/>
          <w:lang w:val="en-US"/>
        </w:rPr>
      </w:pPr>
      <w:r w:rsidRPr="00D6259F">
        <w:rPr>
          <w:b/>
          <w:bCs/>
          <w:noProof/>
          <w:color w:val="000000" w:themeColor="text1"/>
          <w:lang w:val="en-US"/>
        </w:rPr>
        <w:object w:dxaOrig="10215" w:dyaOrig="5115" w14:anchorId="55DDBD68">
          <v:shape id="_x0000_i1032" type="#_x0000_t75" style="width:483pt;height:260pt" o:ole="">
            <v:imagedata r:id="rId25" o:title=""/>
          </v:shape>
          <o:OLEObject Type="Link" ProgID="Excel.Sheet.12" ShapeID="_x0000_i1032" DrawAspect="Content" r:id="rId26" UpdateMode="Always">
            <o:LinkType>EnhancedMetaFile</o:LinkType>
            <o:LockedField>false</o:LockedField>
          </o:OLEObject>
        </w:object>
      </w:r>
    </w:p>
    <w:p w14:paraId="298C8F59" w14:textId="770EA82A" w:rsidR="005A700C" w:rsidRPr="00D6259F" w:rsidRDefault="00D422B1" w:rsidP="00982334">
      <w:pPr>
        <w:rPr>
          <w:color w:val="000000" w:themeColor="text1"/>
          <w:lang w:eastAsia="en-GB"/>
        </w:rPr>
      </w:pPr>
      <w:r w:rsidRPr="00D6259F">
        <w:rPr>
          <w:color w:val="000000" w:themeColor="text1"/>
          <w:lang w:eastAsia="en-GB"/>
        </w:rPr>
        <w:t>Investment properties, which are revalued annually, are held primarily to earn lease revenue and/or for capital growth. These properties include the Council’s ground leases</w:t>
      </w:r>
      <w:r w:rsidR="00C109CA" w:rsidRPr="00D6259F">
        <w:rPr>
          <w:color w:val="000000" w:themeColor="text1"/>
          <w:lang w:eastAsia="en-GB"/>
        </w:rPr>
        <w:t>, Wellington waterfront investment properties</w:t>
      </w:r>
      <w:r w:rsidRPr="00D6259F">
        <w:rPr>
          <w:color w:val="000000" w:themeColor="text1"/>
          <w:lang w:eastAsia="en-GB"/>
        </w:rPr>
        <w:t xml:space="preserve"> and certain </w:t>
      </w:r>
      <w:r w:rsidR="00C109CA" w:rsidRPr="00D6259F">
        <w:rPr>
          <w:color w:val="000000" w:themeColor="text1"/>
          <w:lang w:eastAsia="en-GB"/>
        </w:rPr>
        <w:t xml:space="preserve">other </w:t>
      </w:r>
      <w:r w:rsidRPr="00D6259F">
        <w:rPr>
          <w:color w:val="000000" w:themeColor="text1"/>
          <w:lang w:eastAsia="en-GB"/>
        </w:rPr>
        <w:t>land and buildings</w:t>
      </w:r>
      <w:r w:rsidR="00C109CA" w:rsidRPr="00D6259F">
        <w:rPr>
          <w:color w:val="000000" w:themeColor="text1"/>
          <w:lang w:eastAsia="en-GB"/>
        </w:rPr>
        <w:t xml:space="preserve">. </w:t>
      </w:r>
      <w:r w:rsidRPr="00D6259F">
        <w:rPr>
          <w:color w:val="000000" w:themeColor="text1"/>
          <w:lang w:eastAsia="en-GB"/>
        </w:rPr>
        <w:t xml:space="preserve">For more information refer to </w:t>
      </w:r>
      <w:r w:rsidRPr="00D6259F">
        <w:rPr>
          <w:i/>
          <w:iCs/>
          <w:color w:val="000000" w:themeColor="text1"/>
          <w:lang w:eastAsia="en-GB"/>
        </w:rPr>
        <w:t>Note 1</w:t>
      </w:r>
      <w:r w:rsidR="00862CDF" w:rsidRPr="00D6259F">
        <w:rPr>
          <w:i/>
          <w:iCs/>
          <w:color w:val="000000" w:themeColor="text1"/>
          <w:lang w:eastAsia="en-GB"/>
        </w:rPr>
        <w:t>8</w:t>
      </w:r>
      <w:r w:rsidRPr="00D6259F">
        <w:rPr>
          <w:i/>
          <w:iCs/>
          <w:color w:val="000000" w:themeColor="text1"/>
          <w:lang w:eastAsia="en-GB"/>
        </w:rPr>
        <w:t>: Investment properties</w:t>
      </w:r>
      <w:r w:rsidRPr="00D6259F">
        <w:rPr>
          <w:color w:val="000000" w:themeColor="text1"/>
          <w:lang w:eastAsia="en-GB"/>
        </w:rPr>
        <w:t xml:space="preserve"> (</w:t>
      </w:r>
      <w:r w:rsidR="00B00417" w:rsidRPr="00D6259F">
        <w:rPr>
          <w:color w:val="000000" w:themeColor="text1"/>
          <w:lang w:eastAsia="en-GB"/>
        </w:rPr>
        <w:t>p</w:t>
      </w:r>
      <w:r w:rsidR="006F6060" w:rsidRPr="00D6259F">
        <w:rPr>
          <w:color w:val="000000" w:themeColor="text1"/>
          <w:lang w:eastAsia="en-GB"/>
        </w:rPr>
        <w:t>age</w:t>
      </w:r>
      <w:r w:rsidR="00B00417" w:rsidRPr="00D6259F">
        <w:rPr>
          <w:color w:val="000000" w:themeColor="text1"/>
          <w:lang w:eastAsia="en-GB"/>
        </w:rPr>
        <w:t xml:space="preserve"> </w:t>
      </w:r>
      <w:r w:rsidR="00D127B4" w:rsidRPr="00D6259F">
        <w:rPr>
          <w:color w:val="000000" w:themeColor="text1"/>
          <w:lang w:eastAsia="en-GB"/>
        </w:rPr>
        <w:t>46</w:t>
      </w:r>
      <w:r w:rsidRPr="00D6259F">
        <w:rPr>
          <w:color w:val="000000" w:themeColor="text1"/>
          <w:lang w:eastAsia="en-GB"/>
        </w:rPr>
        <w:t>).</w:t>
      </w:r>
    </w:p>
    <w:p w14:paraId="6902CA8E" w14:textId="77777777" w:rsidR="00D422B1" w:rsidRPr="00D6259F" w:rsidRDefault="00D422B1" w:rsidP="00982334">
      <w:pPr>
        <w:pStyle w:val="Heading3"/>
      </w:pPr>
      <w:bookmarkStart w:id="61" w:name="_Toc121217086"/>
      <w:r w:rsidRPr="00D6259F">
        <w:t>Relevant significant accounting policies</w:t>
      </w:r>
      <w:bookmarkEnd w:id="61"/>
    </w:p>
    <w:p w14:paraId="042B2612" w14:textId="77777777" w:rsidR="00D422B1" w:rsidRPr="00D6259F" w:rsidRDefault="00D422B1" w:rsidP="0063730B">
      <w:pPr>
        <w:pStyle w:val="Heading5"/>
        <w:rPr>
          <w:color w:val="000000" w:themeColor="text1"/>
        </w:rPr>
      </w:pPr>
      <w:r w:rsidRPr="00D6259F">
        <w:rPr>
          <w:color w:val="000000" w:themeColor="text1"/>
        </w:rPr>
        <w:t>Investment properties</w:t>
      </w:r>
    </w:p>
    <w:p w14:paraId="0660270E" w14:textId="59CD15CA" w:rsidR="00D422B1" w:rsidRPr="00D6259F" w:rsidRDefault="00D422B1" w:rsidP="00982334">
      <w:pPr>
        <w:rPr>
          <w:color w:val="000000" w:themeColor="text1"/>
          <w:lang w:eastAsia="en-GB"/>
        </w:rPr>
      </w:pPr>
      <w:r w:rsidRPr="00D6259F">
        <w:rPr>
          <w:color w:val="000000" w:themeColor="text1"/>
          <w:lang w:eastAsia="en-GB"/>
        </w:rPr>
        <w:t>Investment properties are measured initially at cost and subsequently measured at fair value,</w:t>
      </w:r>
      <w:r w:rsidR="009A6555" w:rsidRPr="00D6259F">
        <w:rPr>
          <w:color w:val="000000" w:themeColor="text1"/>
          <w:lang w:eastAsia="en-GB"/>
        </w:rPr>
        <w:t xml:space="preserve"> </w:t>
      </w:r>
      <w:r w:rsidRPr="00D6259F">
        <w:rPr>
          <w:color w:val="000000" w:themeColor="text1"/>
          <w:lang w:eastAsia="en-GB"/>
        </w:rPr>
        <w:t xml:space="preserve">determined annually by an independent registered valuer. Any gain or loss arising is recognised </w:t>
      </w:r>
      <w:r w:rsidR="009A6555" w:rsidRPr="00D6259F">
        <w:rPr>
          <w:color w:val="000000" w:themeColor="text1"/>
          <w:lang w:eastAsia="en-GB"/>
        </w:rPr>
        <w:t>within the</w:t>
      </w:r>
      <w:r w:rsidR="00CB0158" w:rsidRPr="00D6259F">
        <w:rPr>
          <w:color w:val="000000" w:themeColor="text1"/>
          <w:lang w:eastAsia="en-GB"/>
        </w:rPr>
        <w:t xml:space="preserve"> </w:t>
      </w:r>
      <w:r w:rsidRPr="00D6259F">
        <w:rPr>
          <w:color w:val="000000" w:themeColor="text1"/>
          <w:lang w:eastAsia="en-GB"/>
        </w:rPr>
        <w:t>surplus or deficit. Investment properties are not depreciated.</w:t>
      </w:r>
    </w:p>
    <w:p w14:paraId="736B2C99" w14:textId="77777777" w:rsidR="0060770D" w:rsidRPr="00D6259F" w:rsidRDefault="0060770D" w:rsidP="006B2295">
      <w:pPr>
        <w:rPr>
          <w:color w:val="000000" w:themeColor="text1"/>
          <w:lang w:eastAsia="en-GB"/>
        </w:rPr>
      </w:pPr>
    </w:p>
    <w:p w14:paraId="719AD720" w14:textId="77777777" w:rsidR="00C5002D" w:rsidRPr="00D6259F" w:rsidRDefault="00C5002D" w:rsidP="006B2295">
      <w:pPr>
        <w:rPr>
          <w:color w:val="000000" w:themeColor="text1"/>
          <w:lang w:eastAsia="en-GB"/>
        </w:rPr>
      </w:pPr>
    </w:p>
    <w:p w14:paraId="5C3BD60B" w14:textId="77777777" w:rsidR="00D422B1" w:rsidRPr="00D6259F" w:rsidRDefault="00D422B1" w:rsidP="00982334">
      <w:pPr>
        <w:pStyle w:val="Heading2"/>
      </w:pPr>
      <w:bookmarkStart w:id="62" w:name="_Toc55482647"/>
      <w:bookmarkStart w:id="63" w:name="_Toc179890290"/>
      <w:r w:rsidRPr="00D6259F">
        <w:lastRenderedPageBreak/>
        <w:t xml:space="preserve">Note 6: Finance </w:t>
      </w:r>
      <w:r w:rsidR="00C5002D" w:rsidRPr="00D6259F">
        <w:t xml:space="preserve">revenue and </w:t>
      </w:r>
      <w:proofErr w:type="gramStart"/>
      <w:r w:rsidRPr="00D6259F">
        <w:t>expense</w:t>
      </w:r>
      <w:bookmarkEnd w:id="62"/>
      <w:bookmarkEnd w:id="63"/>
      <w:proofErr w:type="gramEnd"/>
    </w:p>
    <w:p w14:paraId="7E8F41BA" w14:textId="126106BB" w:rsidR="00C5002D" w:rsidRPr="00D6259F" w:rsidRDefault="000F20D8" w:rsidP="0063730B">
      <w:pPr>
        <w:rPr>
          <w:color w:val="000000" w:themeColor="text1"/>
          <w:lang w:eastAsia="en-NZ"/>
        </w:rPr>
      </w:pPr>
      <w:r w:rsidRPr="00D6259F">
        <w:rPr>
          <w:b/>
          <w:bCs/>
          <w:color w:val="000000" w:themeColor="text1"/>
          <w:lang w:val="en-US" w:eastAsia="en-NZ"/>
        </w:rPr>
        <w:object w:dxaOrig="10215" w:dyaOrig="5445" w14:anchorId="4B06AF67">
          <v:shape id="_x0000_i1033" type="#_x0000_t75" style="width:489pt;height:244pt" o:ole="">
            <v:imagedata r:id="rId27" o:title=""/>
          </v:shape>
          <o:OLEObject Type="Link" ProgID="Excel.Sheet.12" ShapeID="_x0000_i1033" DrawAspect="Content" r:id="rId28" UpdateMode="Always">
            <o:LinkType>EnhancedMetaFile</o:LinkType>
            <o:LockedField>false</o:LockedField>
          </o:OLEObject>
        </w:object>
      </w:r>
    </w:p>
    <w:p w14:paraId="7EEFECA4" w14:textId="77777777" w:rsidR="00275E62" w:rsidRPr="00D6259F" w:rsidRDefault="00B87E9A" w:rsidP="00275E62">
      <w:pPr>
        <w:rPr>
          <w:color w:val="000000" w:themeColor="text1"/>
          <w:lang w:eastAsia="en-GB"/>
        </w:rPr>
      </w:pPr>
      <w:r w:rsidRPr="00D6259F">
        <w:rPr>
          <w:color w:val="000000" w:themeColor="text1"/>
          <w:lang w:eastAsia="en-GB"/>
        </w:rPr>
        <w:t>Due to</w:t>
      </w:r>
      <w:r w:rsidR="0008331E" w:rsidRPr="00D6259F">
        <w:rPr>
          <w:color w:val="000000" w:themeColor="text1"/>
          <w:lang w:eastAsia="en-GB"/>
        </w:rPr>
        <w:t xml:space="preserve"> a higher level of borrowings, the interest expense has increased compared to the previous year. </w:t>
      </w:r>
      <w:r w:rsidR="0063730B" w:rsidRPr="00D6259F">
        <w:rPr>
          <w:color w:val="000000" w:themeColor="text1"/>
          <w:lang w:eastAsia="en-GB"/>
        </w:rPr>
        <w:t xml:space="preserve">The </w:t>
      </w:r>
      <w:r w:rsidR="00D422B1" w:rsidRPr="00D6259F">
        <w:rPr>
          <w:color w:val="000000" w:themeColor="text1"/>
          <w:lang w:eastAsia="en-GB"/>
        </w:rPr>
        <w:t xml:space="preserve">Council’s policy is to have </w:t>
      </w:r>
      <w:r w:rsidR="001E6EDD" w:rsidRPr="00D6259F">
        <w:rPr>
          <w:color w:val="000000" w:themeColor="text1"/>
          <w:lang w:eastAsia="en-GB"/>
        </w:rPr>
        <w:t xml:space="preserve">a portion of </w:t>
      </w:r>
      <w:r w:rsidR="00D422B1" w:rsidRPr="00D6259F">
        <w:rPr>
          <w:color w:val="000000" w:themeColor="text1"/>
          <w:lang w:eastAsia="en-GB"/>
        </w:rPr>
        <w:t xml:space="preserve">borrowings on fixed interest rates to avoid </w:t>
      </w:r>
      <w:r w:rsidR="001E6EDD" w:rsidRPr="00D6259F">
        <w:rPr>
          <w:color w:val="000000" w:themeColor="text1"/>
          <w:lang w:eastAsia="en-GB"/>
        </w:rPr>
        <w:t xml:space="preserve">total exposure to </w:t>
      </w:r>
      <w:r w:rsidR="00D422B1" w:rsidRPr="00D6259F">
        <w:rPr>
          <w:color w:val="000000" w:themeColor="text1"/>
          <w:lang w:eastAsia="en-GB"/>
        </w:rPr>
        <w:t>volatility in its interest expense as interest rates change. To achieve this, it uses interest rate swaps</w:t>
      </w:r>
      <w:r w:rsidR="001E6EDD" w:rsidRPr="00D6259F">
        <w:rPr>
          <w:color w:val="000000" w:themeColor="text1"/>
          <w:lang w:eastAsia="en-GB"/>
        </w:rPr>
        <w:t xml:space="preserve"> (</w:t>
      </w:r>
      <w:r w:rsidR="00D422B1" w:rsidRPr="00D6259F">
        <w:rPr>
          <w:color w:val="000000" w:themeColor="text1"/>
          <w:lang w:eastAsia="en-GB"/>
        </w:rPr>
        <w:t>which effectively changes floating rate debt to fixed rate debt</w:t>
      </w:r>
      <w:r w:rsidR="00BC40C8" w:rsidRPr="00D6259F">
        <w:rPr>
          <w:color w:val="000000" w:themeColor="text1"/>
          <w:lang w:eastAsia="en-GB"/>
        </w:rPr>
        <w:t>) along with fixed rate debt.</w:t>
      </w:r>
      <w:r w:rsidR="00D5722F" w:rsidRPr="00D6259F">
        <w:rPr>
          <w:color w:val="000000" w:themeColor="text1"/>
          <w:lang w:eastAsia="en-GB"/>
        </w:rPr>
        <w:t xml:space="preserve"> </w:t>
      </w:r>
    </w:p>
    <w:p w14:paraId="2BEA9A5D" w14:textId="4A6D18B8" w:rsidR="004E4576" w:rsidRPr="00D6259F" w:rsidRDefault="00275E62" w:rsidP="00275E62">
      <w:pPr>
        <w:rPr>
          <w:color w:val="000000" w:themeColor="text1"/>
          <w:lang w:eastAsia="en-GB"/>
        </w:rPr>
      </w:pPr>
      <w:r w:rsidRPr="00D6259F">
        <w:rPr>
          <w:color w:val="000000" w:themeColor="text1"/>
          <w:lang w:eastAsia="en-GB"/>
        </w:rPr>
        <w:t>Interest earned has increased due to higher levels of term deposits being held</w:t>
      </w:r>
      <w:r w:rsidR="004B3DB9" w:rsidRPr="00D6259F">
        <w:rPr>
          <w:color w:val="000000" w:themeColor="text1"/>
          <w:lang w:eastAsia="en-GB"/>
        </w:rPr>
        <w:t xml:space="preserve"> </w:t>
      </w:r>
      <w:r w:rsidR="00C53DD9" w:rsidRPr="00D6259F">
        <w:rPr>
          <w:color w:val="000000" w:themeColor="text1"/>
          <w:lang w:eastAsia="en-GB"/>
        </w:rPr>
        <w:t>to</w:t>
      </w:r>
      <w:r w:rsidR="004B3DB9" w:rsidRPr="00D6259F">
        <w:rPr>
          <w:color w:val="000000" w:themeColor="text1"/>
          <w:lang w:eastAsia="en-GB"/>
        </w:rPr>
        <w:t xml:space="preserve"> pre-fund the maturity of some borrowings</w:t>
      </w:r>
      <w:r w:rsidR="00A90166" w:rsidRPr="00D6259F">
        <w:rPr>
          <w:color w:val="000000" w:themeColor="text1"/>
          <w:lang w:eastAsia="en-GB"/>
        </w:rPr>
        <w:t xml:space="preserve"> along with the rolling liquidity facility maintained by the Council.</w:t>
      </w:r>
    </w:p>
    <w:p w14:paraId="001F7762" w14:textId="77777777" w:rsidR="00D422B1" w:rsidRPr="00D6259F" w:rsidRDefault="00D422B1" w:rsidP="00982334">
      <w:pPr>
        <w:pStyle w:val="Heading3"/>
      </w:pPr>
      <w:bookmarkStart w:id="64" w:name="_Toc121217088"/>
      <w:r w:rsidRPr="00D6259F">
        <w:t>Relevant significant accounting policies</w:t>
      </w:r>
      <w:bookmarkEnd w:id="64"/>
    </w:p>
    <w:p w14:paraId="523393A9" w14:textId="77777777" w:rsidR="00D422B1" w:rsidRPr="00D6259F" w:rsidRDefault="00D422B1" w:rsidP="002C2C45">
      <w:pPr>
        <w:pStyle w:val="Heading5"/>
        <w:rPr>
          <w:color w:val="000000" w:themeColor="text1"/>
        </w:rPr>
      </w:pPr>
      <w:r w:rsidRPr="00D6259F">
        <w:rPr>
          <w:color w:val="000000" w:themeColor="text1"/>
        </w:rPr>
        <w:t>Interest on borrowings</w:t>
      </w:r>
    </w:p>
    <w:p w14:paraId="1FB4A8EB" w14:textId="2B18CB7A" w:rsidR="00D422B1" w:rsidRPr="00D6259F" w:rsidRDefault="00D422B1" w:rsidP="00982334">
      <w:pPr>
        <w:rPr>
          <w:color w:val="000000" w:themeColor="text1"/>
          <w:lang w:eastAsia="en-GB"/>
        </w:rPr>
      </w:pPr>
      <w:r w:rsidRPr="00D6259F">
        <w:rPr>
          <w:color w:val="000000" w:themeColor="text1"/>
          <w:lang w:eastAsia="en-GB"/>
        </w:rPr>
        <w:t xml:space="preserve">Interest expense is recognised using the effective interest rate method. All </w:t>
      </w:r>
      <w:r w:rsidR="00182AC4" w:rsidRPr="00D6259F">
        <w:rPr>
          <w:color w:val="000000" w:themeColor="text1"/>
          <w:lang w:eastAsia="en-GB"/>
        </w:rPr>
        <w:t>interest expense</w:t>
      </w:r>
      <w:r w:rsidRPr="00D6259F">
        <w:rPr>
          <w:color w:val="000000" w:themeColor="text1"/>
          <w:lang w:eastAsia="en-GB"/>
        </w:rPr>
        <w:t xml:space="preserve"> </w:t>
      </w:r>
      <w:r w:rsidR="00182AC4" w:rsidRPr="00D6259F">
        <w:rPr>
          <w:color w:val="000000" w:themeColor="text1"/>
          <w:lang w:eastAsia="en-GB"/>
        </w:rPr>
        <w:t xml:space="preserve">is recognised </w:t>
      </w:r>
      <w:r w:rsidRPr="00D6259F">
        <w:rPr>
          <w:color w:val="000000" w:themeColor="text1"/>
          <w:lang w:eastAsia="en-GB"/>
        </w:rPr>
        <w:t xml:space="preserve">in the period in which </w:t>
      </w:r>
      <w:r w:rsidR="00182AC4" w:rsidRPr="00D6259F">
        <w:rPr>
          <w:color w:val="000000" w:themeColor="text1"/>
          <w:lang w:eastAsia="en-GB"/>
        </w:rPr>
        <w:t>it is</w:t>
      </w:r>
      <w:r w:rsidRPr="00D6259F">
        <w:rPr>
          <w:color w:val="000000" w:themeColor="text1"/>
          <w:lang w:eastAsia="en-GB"/>
        </w:rPr>
        <w:t xml:space="preserve"> incurred.</w:t>
      </w:r>
    </w:p>
    <w:p w14:paraId="70C0FE29" w14:textId="77777777" w:rsidR="00D422B1" w:rsidRPr="00D6259F" w:rsidRDefault="00D422B1" w:rsidP="002C2C45">
      <w:pPr>
        <w:pStyle w:val="Heading5"/>
        <w:rPr>
          <w:color w:val="000000" w:themeColor="text1"/>
        </w:rPr>
      </w:pPr>
      <w:r w:rsidRPr="00D6259F">
        <w:rPr>
          <w:color w:val="000000" w:themeColor="text1"/>
        </w:rPr>
        <w:t>Re-discounting of interest</w:t>
      </w:r>
    </w:p>
    <w:p w14:paraId="36E34CFA" w14:textId="5FCC7B08" w:rsidR="00D422B1" w:rsidRPr="00D6259F" w:rsidRDefault="00D422B1" w:rsidP="00982334">
      <w:pPr>
        <w:rPr>
          <w:color w:val="000000" w:themeColor="text1"/>
          <w:lang w:eastAsia="en-GB"/>
        </w:rPr>
      </w:pPr>
      <w:r w:rsidRPr="00D6259F">
        <w:rPr>
          <w:color w:val="000000" w:themeColor="text1"/>
          <w:lang w:eastAsia="en-GB"/>
        </w:rPr>
        <w:t xml:space="preserve">Re-discounting of interest on provisions is the Council’s funding cost for non-current provisions (where the cash flows will not occur until a future date). For further information refer to </w:t>
      </w:r>
      <w:r w:rsidRPr="00D6259F">
        <w:rPr>
          <w:i/>
          <w:iCs/>
          <w:color w:val="000000" w:themeColor="text1"/>
          <w:lang w:eastAsia="en-GB"/>
        </w:rPr>
        <w:t>Note 2</w:t>
      </w:r>
      <w:r w:rsidR="00862CDF" w:rsidRPr="00D6259F">
        <w:rPr>
          <w:i/>
          <w:iCs/>
          <w:color w:val="000000" w:themeColor="text1"/>
          <w:lang w:eastAsia="en-GB"/>
        </w:rPr>
        <w:t>5</w:t>
      </w:r>
      <w:r w:rsidRPr="00D6259F">
        <w:rPr>
          <w:i/>
          <w:iCs/>
          <w:color w:val="000000" w:themeColor="text1"/>
          <w:lang w:eastAsia="en-GB"/>
        </w:rPr>
        <w:t>: Employee benefit liabilities and provisions</w:t>
      </w:r>
      <w:r w:rsidRPr="00D6259F">
        <w:rPr>
          <w:color w:val="000000" w:themeColor="text1"/>
          <w:lang w:eastAsia="en-GB"/>
        </w:rPr>
        <w:t xml:space="preserve"> (</w:t>
      </w:r>
      <w:r w:rsidR="006F6060" w:rsidRPr="00D6259F">
        <w:rPr>
          <w:color w:val="000000" w:themeColor="text1"/>
          <w:lang w:eastAsia="en-GB"/>
        </w:rPr>
        <w:t>page</w:t>
      </w:r>
      <w:r w:rsidR="00B00417" w:rsidRPr="00D6259F">
        <w:rPr>
          <w:color w:val="000000" w:themeColor="text1"/>
          <w:lang w:eastAsia="en-GB"/>
        </w:rPr>
        <w:t xml:space="preserve"> </w:t>
      </w:r>
      <w:r w:rsidR="00D127B4" w:rsidRPr="00D6259F">
        <w:rPr>
          <w:color w:val="000000" w:themeColor="text1"/>
          <w:lang w:eastAsia="en-GB"/>
        </w:rPr>
        <w:t>74</w:t>
      </w:r>
      <w:r w:rsidRPr="00D6259F">
        <w:rPr>
          <w:color w:val="000000" w:themeColor="text1"/>
          <w:lang w:eastAsia="en-GB"/>
        </w:rPr>
        <w:t xml:space="preserve">) and </w:t>
      </w:r>
      <w:r w:rsidRPr="00D6259F">
        <w:rPr>
          <w:i/>
          <w:iCs/>
          <w:color w:val="000000" w:themeColor="text1"/>
          <w:lang w:eastAsia="en-GB"/>
        </w:rPr>
        <w:t>Note 2</w:t>
      </w:r>
      <w:r w:rsidR="00862CDF" w:rsidRPr="00D6259F">
        <w:rPr>
          <w:i/>
          <w:iCs/>
          <w:color w:val="000000" w:themeColor="text1"/>
          <w:lang w:eastAsia="en-GB"/>
        </w:rPr>
        <w:t>6</w:t>
      </w:r>
      <w:r w:rsidRPr="00D6259F">
        <w:rPr>
          <w:i/>
          <w:iCs/>
          <w:color w:val="000000" w:themeColor="text1"/>
          <w:lang w:eastAsia="en-GB"/>
        </w:rPr>
        <w:t>: Provision for other liabilities</w:t>
      </w:r>
      <w:r w:rsidRPr="00D6259F">
        <w:rPr>
          <w:color w:val="000000" w:themeColor="text1"/>
          <w:lang w:eastAsia="en-GB"/>
        </w:rPr>
        <w:t xml:space="preserve"> (</w:t>
      </w:r>
      <w:r w:rsidR="006F6060" w:rsidRPr="00D6259F">
        <w:rPr>
          <w:color w:val="000000" w:themeColor="text1"/>
          <w:lang w:eastAsia="en-GB"/>
        </w:rPr>
        <w:t>page</w:t>
      </w:r>
      <w:r w:rsidR="00CD5AEA" w:rsidRPr="00D6259F">
        <w:rPr>
          <w:color w:val="000000" w:themeColor="text1"/>
          <w:lang w:eastAsia="en-GB"/>
        </w:rPr>
        <w:t xml:space="preserve"> </w:t>
      </w:r>
      <w:r w:rsidR="00D127B4" w:rsidRPr="00D6259F">
        <w:rPr>
          <w:color w:val="000000" w:themeColor="text1"/>
          <w:lang w:eastAsia="en-GB"/>
        </w:rPr>
        <w:t>75</w:t>
      </w:r>
      <w:r w:rsidRPr="00D6259F">
        <w:rPr>
          <w:color w:val="000000" w:themeColor="text1"/>
          <w:lang w:eastAsia="en-GB"/>
        </w:rPr>
        <w:t>).</w:t>
      </w:r>
    </w:p>
    <w:p w14:paraId="490CE3D1" w14:textId="77777777" w:rsidR="00D422B1" w:rsidRPr="00D6259F" w:rsidRDefault="00D422B1" w:rsidP="002C2C45">
      <w:pPr>
        <w:pStyle w:val="Heading5"/>
        <w:rPr>
          <w:color w:val="000000" w:themeColor="text1"/>
        </w:rPr>
      </w:pPr>
      <w:r w:rsidRPr="00D6259F">
        <w:rPr>
          <w:color w:val="000000" w:themeColor="text1"/>
        </w:rPr>
        <w:t xml:space="preserve">Interest </w:t>
      </w:r>
      <w:proofErr w:type="gramStart"/>
      <w:r w:rsidRPr="00D6259F">
        <w:rPr>
          <w:color w:val="000000" w:themeColor="text1"/>
        </w:rPr>
        <w:t>earned</w:t>
      </w:r>
      <w:proofErr w:type="gramEnd"/>
    </w:p>
    <w:p w14:paraId="0E8CB055" w14:textId="3F41C571" w:rsidR="00D422B1" w:rsidRPr="00D6259F" w:rsidRDefault="00D422B1" w:rsidP="006B2295">
      <w:pPr>
        <w:rPr>
          <w:color w:val="000000" w:themeColor="text1"/>
          <w:lang w:eastAsia="en-GB"/>
        </w:rPr>
      </w:pPr>
      <w:r w:rsidRPr="00D6259F">
        <w:rPr>
          <w:color w:val="000000" w:themeColor="text1"/>
          <w:lang w:eastAsia="en-GB"/>
        </w:rPr>
        <w:t>Interest earned is recognised using the effective interest rate method.</w:t>
      </w:r>
      <w:r w:rsidR="00BC40C8" w:rsidRPr="00D6259F">
        <w:rPr>
          <w:color w:val="000000" w:themeColor="text1"/>
          <w:lang w:eastAsia="en-GB"/>
        </w:rPr>
        <w:t xml:space="preserve"> All interest revenue is recognised in the period in which it is earned.</w:t>
      </w:r>
      <w:r w:rsidRPr="00D6259F">
        <w:rPr>
          <w:color w:val="000000" w:themeColor="text1"/>
          <w:lang w:eastAsia="en-GB"/>
        </w:rPr>
        <w:tab/>
      </w:r>
    </w:p>
    <w:p w14:paraId="46555378" w14:textId="77777777" w:rsidR="00D422B1" w:rsidRPr="00D6259F" w:rsidRDefault="00D422B1" w:rsidP="00982334">
      <w:pPr>
        <w:pStyle w:val="Heading2"/>
      </w:pPr>
      <w:bookmarkStart w:id="65" w:name="_Toc55482648"/>
      <w:bookmarkStart w:id="66" w:name="_Toc179890291"/>
      <w:r w:rsidRPr="00D6259F">
        <w:lastRenderedPageBreak/>
        <w:t xml:space="preserve">Note 7: Expenditure on operating </w:t>
      </w:r>
      <w:proofErr w:type="gramStart"/>
      <w:r w:rsidRPr="00D6259F">
        <w:t>activities</w:t>
      </w:r>
      <w:bookmarkStart w:id="67" w:name="_Hlk85544277"/>
      <w:bookmarkEnd w:id="65"/>
      <w:bookmarkEnd w:id="66"/>
      <w:proofErr w:type="gramEnd"/>
    </w:p>
    <w:p w14:paraId="526FEAF9" w14:textId="3B95103D" w:rsidR="00D422B1" w:rsidRPr="00D6259F" w:rsidRDefault="000F20D8" w:rsidP="002C2C45">
      <w:pPr>
        <w:rPr>
          <w:color w:val="000000" w:themeColor="text1"/>
        </w:rPr>
      </w:pPr>
      <w:r w:rsidRPr="00D6259F">
        <w:rPr>
          <w:b/>
          <w:bCs/>
          <w:color w:val="000000" w:themeColor="text1"/>
          <w:lang w:val="en-US"/>
        </w:rPr>
        <w:object w:dxaOrig="10290" w:dyaOrig="11310" w14:anchorId="278BF303">
          <v:shape id="_x0000_i1034" type="#_x0000_t75" style="width:463pt;height:8in" o:ole="">
            <v:imagedata r:id="rId29" o:title=""/>
          </v:shape>
          <o:OLEObject Type="Link" ProgID="Excel.Sheet.12" ShapeID="_x0000_i1034" DrawAspect="Content" r:id="rId30" UpdateMode="Always">
            <o:LinkType>EnhancedMetaFile</o:LinkType>
            <o:LockedField>false</o:LockedField>
          </o:OLEObject>
        </w:object>
      </w:r>
    </w:p>
    <w:p w14:paraId="2A963E21" w14:textId="77777777" w:rsidR="00D422B1" w:rsidRPr="00D6259F" w:rsidRDefault="00D422B1" w:rsidP="00361631">
      <w:pPr>
        <w:pStyle w:val="Heading5"/>
        <w:rPr>
          <w:color w:val="000000" w:themeColor="text1"/>
        </w:rPr>
      </w:pPr>
      <w:r w:rsidRPr="00D6259F">
        <w:rPr>
          <w:color w:val="000000" w:themeColor="text1"/>
        </w:rPr>
        <w:t>Governance and employment</w:t>
      </w:r>
    </w:p>
    <w:p w14:paraId="60DA5280" w14:textId="0D90AC2D" w:rsidR="00D422B1" w:rsidRPr="00D6259F" w:rsidRDefault="00D422B1" w:rsidP="00982334">
      <w:pPr>
        <w:rPr>
          <w:color w:val="000000" w:themeColor="text1"/>
          <w:lang w:eastAsia="en-GB"/>
        </w:rPr>
      </w:pPr>
      <w:r w:rsidRPr="00D6259F">
        <w:rPr>
          <w:color w:val="000000" w:themeColor="text1"/>
          <w:lang w:eastAsia="en-GB"/>
        </w:rPr>
        <w:t xml:space="preserve">Governance costs relate to the remuneration made to all elected members, comprising the Mayor, Councillors and Community Board members </w:t>
      </w:r>
      <w:r w:rsidR="001677D0" w:rsidRPr="00D6259F">
        <w:rPr>
          <w:color w:val="000000" w:themeColor="text1"/>
          <w:lang w:eastAsia="en-GB"/>
        </w:rPr>
        <w:t>and</w:t>
      </w:r>
      <w:r w:rsidRPr="00D6259F">
        <w:rPr>
          <w:color w:val="000000" w:themeColor="text1"/>
          <w:lang w:eastAsia="en-GB"/>
        </w:rPr>
        <w:t xml:space="preserve"> to directors</w:t>
      </w:r>
      <w:r w:rsidR="00EA0906" w:rsidRPr="00D6259F">
        <w:rPr>
          <w:color w:val="000000" w:themeColor="text1"/>
          <w:lang w:eastAsia="en-GB"/>
        </w:rPr>
        <w:t>/trustees</w:t>
      </w:r>
      <w:r w:rsidRPr="00D6259F">
        <w:rPr>
          <w:color w:val="000000" w:themeColor="text1"/>
          <w:lang w:eastAsia="en-GB"/>
        </w:rPr>
        <w:t xml:space="preserve"> appointed to boards of controlled entities. </w:t>
      </w:r>
    </w:p>
    <w:p w14:paraId="329BE286" w14:textId="2F5A6202" w:rsidR="00D422B1" w:rsidRPr="00D6259F" w:rsidRDefault="00D422B1" w:rsidP="00982334">
      <w:pPr>
        <w:rPr>
          <w:color w:val="000000" w:themeColor="text1"/>
          <w:lang w:eastAsia="en-GB"/>
        </w:rPr>
      </w:pPr>
      <w:r w:rsidRPr="00D6259F">
        <w:rPr>
          <w:color w:val="000000" w:themeColor="text1"/>
          <w:lang w:eastAsia="en-GB"/>
        </w:rPr>
        <w:lastRenderedPageBreak/>
        <w:t>Employment costs relate to the remuneration paid directly to</w:t>
      </w:r>
      <w:r w:rsidR="009A6555" w:rsidRPr="00D6259F">
        <w:rPr>
          <w:color w:val="000000" w:themeColor="text1"/>
          <w:lang w:eastAsia="en-GB"/>
        </w:rPr>
        <w:t xml:space="preserve"> employees</w:t>
      </w:r>
      <w:r w:rsidRPr="00D6259F">
        <w:rPr>
          <w:color w:val="000000" w:themeColor="text1"/>
          <w:lang w:eastAsia="en-GB"/>
        </w:rPr>
        <w:t xml:space="preserve">, other employee benefits such as KiwiSaver and other associated costs such as recruitment and training. </w:t>
      </w:r>
    </w:p>
    <w:p w14:paraId="214E0958" w14:textId="78E22077" w:rsidR="00D422B1" w:rsidRPr="00D6259F" w:rsidRDefault="00D422B1" w:rsidP="00982334">
      <w:pPr>
        <w:rPr>
          <w:color w:val="000000" w:themeColor="text1"/>
          <w:lang w:eastAsia="en-GB"/>
        </w:rPr>
      </w:pPr>
      <w:r w:rsidRPr="00D6259F">
        <w:rPr>
          <w:color w:val="000000" w:themeColor="text1"/>
          <w:lang w:eastAsia="en-GB"/>
        </w:rPr>
        <w:t xml:space="preserve">During the year </w:t>
      </w:r>
      <w:r w:rsidR="00EC5565" w:rsidRPr="00D6259F">
        <w:rPr>
          <w:color w:val="000000" w:themeColor="text1"/>
          <w:lang w:eastAsia="en-GB"/>
        </w:rPr>
        <w:t>$</w:t>
      </w:r>
      <w:r w:rsidR="001677D0" w:rsidRPr="00D6259F">
        <w:rPr>
          <w:color w:val="000000" w:themeColor="text1"/>
          <w:lang w:eastAsia="en-GB"/>
        </w:rPr>
        <w:t>0.</w:t>
      </w:r>
      <w:r w:rsidR="004B3DB9" w:rsidRPr="00D6259F">
        <w:rPr>
          <w:color w:val="000000" w:themeColor="text1"/>
          <w:lang w:eastAsia="en-GB"/>
        </w:rPr>
        <w:t>3</w:t>
      </w:r>
      <w:r w:rsidR="001677D0" w:rsidRPr="00D6259F">
        <w:rPr>
          <w:color w:val="000000" w:themeColor="text1"/>
          <w:lang w:eastAsia="en-GB"/>
        </w:rPr>
        <w:t xml:space="preserve">m </w:t>
      </w:r>
      <w:r w:rsidRPr="00D6259F">
        <w:rPr>
          <w:color w:val="000000" w:themeColor="text1"/>
          <w:lang w:eastAsia="en-GB"/>
        </w:rPr>
        <w:t>(</w:t>
      </w:r>
      <w:r w:rsidR="005A700C" w:rsidRPr="00D6259F">
        <w:rPr>
          <w:color w:val="000000" w:themeColor="text1"/>
          <w:lang w:eastAsia="en-GB"/>
        </w:rPr>
        <w:t>202</w:t>
      </w:r>
      <w:r w:rsidR="00332A07" w:rsidRPr="00D6259F">
        <w:rPr>
          <w:color w:val="000000" w:themeColor="text1"/>
          <w:lang w:eastAsia="en-GB"/>
        </w:rPr>
        <w:t>3</w:t>
      </w:r>
      <w:r w:rsidRPr="00D6259F">
        <w:rPr>
          <w:color w:val="000000" w:themeColor="text1"/>
          <w:lang w:eastAsia="en-GB"/>
        </w:rPr>
        <w:t>: $</w:t>
      </w:r>
      <w:r w:rsidR="00332A07" w:rsidRPr="00D6259F">
        <w:rPr>
          <w:color w:val="000000" w:themeColor="text1"/>
          <w:lang w:eastAsia="en-GB"/>
        </w:rPr>
        <w:t>0.</w:t>
      </w:r>
      <w:r w:rsidR="00F4797D" w:rsidRPr="00D6259F">
        <w:rPr>
          <w:color w:val="000000" w:themeColor="text1"/>
          <w:lang w:eastAsia="en-GB"/>
        </w:rPr>
        <w:t>6</w:t>
      </w:r>
      <w:r w:rsidR="00332A07" w:rsidRPr="00D6259F">
        <w:rPr>
          <w:color w:val="000000" w:themeColor="text1"/>
          <w:lang w:eastAsia="en-GB"/>
        </w:rPr>
        <w:t>m</w:t>
      </w:r>
      <w:r w:rsidRPr="00D6259F">
        <w:rPr>
          <w:color w:val="000000" w:themeColor="text1"/>
          <w:lang w:eastAsia="en-GB"/>
        </w:rPr>
        <w:t>) of termination benefits were incurred by the Council and $</w:t>
      </w:r>
      <w:r w:rsidR="001677D0" w:rsidRPr="00D6259F">
        <w:rPr>
          <w:color w:val="000000" w:themeColor="text1"/>
          <w:lang w:eastAsia="en-GB"/>
        </w:rPr>
        <w:t>0.</w:t>
      </w:r>
      <w:r w:rsidR="004B3DB9" w:rsidRPr="00D6259F">
        <w:rPr>
          <w:color w:val="000000" w:themeColor="text1"/>
          <w:lang w:eastAsia="en-GB"/>
        </w:rPr>
        <w:t>3</w:t>
      </w:r>
      <w:r w:rsidR="001677D0" w:rsidRPr="00D6259F">
        <w:rPr>
          <w:color w:val="000000" w:themeColor="text1"/>
          <w:lang w:eastAsia="en-GB"/>
        </w:rPr>
        <w:t xml:space="preserve">m </w:t>
      </w:r>
      <w:r w:rsidRPr="00D6259F">
        <w:rPr>
          <w:color w:val="000000" w:themeColor="text1"/>
          <w:lang w:eastAsia="en-GB"/>
        </w:rPr>
        <w:t>(</w:t>
      </w:r>
      <w:r w:rsidR="005A700C" w:rsidRPr="00D6259F">
        <w:rPr>
          <w:color w:val="000000" w:themeColor="text1"/>
          <w:lang w:eastAsia="en-GB"/>
        </w:rPr>
        <w:t>202</w:t>
      </w:r>
      <w:r w:rsidR="00332A07" w:rsidRPr="00D6259F">
        <w:rPr>
          <w:color w:val="000000" w:themeColor="text1"/>
          <w:lang w:eastAsia="en-GB"/>
        </w:rPr>
        <w:t>3</w:t>
      </w:r>
      <w:r w:rsidRPr="00D6259F">
        <w:rPr>
          <w:color w:val="000000" w:themeColor="text1"/>
          <w:lang w:eastAsia="en-GB"/>
        </w:rPr>
        <w:t>:</w:t>
      </w:r>
      <w:r w:rsidR="008463C1" w:rsidRPr="00D6259F">
        <w:rPr>
          <w:color w:val="000000" w:themeColor="text1"/>
          <w:lang w:eastAsia="en-GB"/>
        </w:rPr>
        <w:t xml:space="preserve"> </w:t>
      </w:r>
      <w:r w:rsidRPr="00D6259F">
        <w:rPr>
          <w:color w:val="000000" w:themeColor="text1"/>
          <w:lang w:eastAsia="en-GB"/>
        </w:rPr>
        <w:t>$</w:t>
      </w:r>
      <w:r w:rsidR="00332A07" w:rsidRPr="00D6259F">
        <w:rPr>
          <w:color w:val="000000" w:themeColor="text1"/>
          <w:lang w:eastAsia="en-GB"/>
        </w:rPr>
        <w:t>0.6m</w:t>
      </w:r>
      <w:r w:rsidRPr="00D6259F">
        <w:rPr>
          <w:color w:val="000000" w:themeColor="text1"/>
          <w:lang w:eastAsia="en-GB"/>
        </w:rPr>
        <w:t xml:space="preserve">) </w:t>
      </w:r>
      <w:r w:rsidR="007A0997" w:rsidRPr="00D6259F">
        <w:rPr>
          <w:color w:val="000000" w:themeColor="text1"/>
          <w:lang w:eastAsia="en-GB"/>
        </w:rPr>
        <w:t>for</w:t>
      </w:r>
      <w:r w:rsidRPr="00D6259F">
        <w:rPr>
          <w:color w:val="000000" w:themeColor="text1"/>
          <w:lang w:eastAsia="en-GB"/>
        </w:rPr>
        <w:t xml:space="preserve"> the</w:t>
      </w:r>
      <w:r w:rsidR="006020F7" w:rsidRPr="00D6259F">
        <w:rPr>
          <w:color w:val="000000" w:themeColor="text1"/>
          <w:lang w:eastAsia="en-GB"/>
        </w:rPr>
        <w:t xml:space="preserve"> Group</w:t>
      </w:r>
      <w:r w:rsidRPr="00D6259F">
        <w:rPr>
          <w:color w:val="000000" w:themeColor="text1"/>
          <w:lang w:eastAsia="en-GB"/>
        </w:rPr>
        <w:t>. Termination benefits include all payments relating to the</w:t>
      </w:r>
      <w:r w:rsidRPr="00D6259F">
        <w:rPr>
          <w:rFonts w:cs="Arial"/>
          <w:color w:val="000000" w:themeColor="text1"/>
          <w:lang w:eastAsia="en-GB"/>
        </w:rPr>
        <w:t xml:space="preserve"> </w:t>
      </w:r>
      <w:r w:rsidRPr="00D6259F">
        <w:rPr>
          <w:color w:val="000000" w:themeColor="text1"/>
          <w:lang w:eastAsia="en-GB"/>
        </w:rPr>
        <w:t xml:space="preserve">end of employment other than unpaid salary and leave entitlements. Termination benefits </w:t>
      </w:r>
      <w:r w:rsidR="00D46FFC" w:rsidRPr="00D6259F">
        <w:rPr>
          <w:color w:val="000000" w:themeColor="text1"/>
          <w:lang w:eastAsia="en-GB"/>
        </w:rPr>
        <w:t>include contractual</w:t>
      </w:r>
      <w:r w:rsidRPr="00D6259F">
        <w:rPr>
          <w:color w:val="000000" w:themeColor="text1"/>
          <w:lang w:eastAsia="en-GB"/>
        </w:rPr>
        <w:t xml:space="preserve"> </w:t>
      </w:r>
      <w:r w:rsidR="00CB0158" w:rsidRPr="00D6259F">
        <w:rPr>
          <w:color w:val="000000" w:themeColor="text1"/>
          <w:lang w:eastAsia="en-GB"/>
        </w:rPr>
        <w:t xml:space="preserve">payments </w:t>
      </w:r>
      <w:r w:rsidRPr="00D6259F">
        <w:rPr>
          <w:color w:val="000000" w:themeColor="text1"/>
          <w:lang w:eastAsia="en-GB"/>
        </w:rPr>
        <w:t>(</w:t>
      </w:r>
      <w:r w:rsidR="003F3C07" w:rsidRPr="00D6259F">
        <w:rPr>
          <w:color w:val="000000" w:themeColor="text1"/>
          <w:lang w:eastAsia="en-GB"/>
        </w:rPr>
        <w:t>for example,</w:t>
      </w:r>
      <w:r w:rsidRPr="00D6259F">
        <w:rPr>
          <w:color w:val="000000" w:themeColor="text1"/>
          <w:lang w:eastAsia="en-GB"/>
        </w:rPr>
        <w:t xml:space="preserve"> redundancy) and non-contractual </w:t>
      </w:r>
      <w:r w:rsidR="00CB0158" w:rsidRPr="00D6259F">
        <w:rPr>
          <w:color w:val="000000" w:themeColor="text1"/>
          <w:lang w:eastAsia="en-GB"/>
        </w:rPr>
        <w:t>payments</w:t>
      </w:r>
      <w:r w:rsidR="00F4797D" w:rsidRPr="00D6259F">
        <w:rPr>
          <w:color w:val="000000" w:themeColor="text1"/>
          <w:lang w:eastAsia="en-GB"/>
        </w:rPr>
        <w:t xml:space="preserve"> </w:t>
      </w:r>
      <w:r w:rsidRPr="00D6259F">
        <w:rPr>
          <w:color w:val="000000" w:themeColor="text1"/>
          <w:lang w:eastAsia="en-GB"/>
        </w:rPr>
        <w:t>(</w:t>
      </w:r>
      <w:r w:rsidR="003F3C07" w:rsidRPr="00D6259F">
        <w:rPr>
          <w:color w:val="000000" w:themeColor="text1"/>
          <w:lang w:eastAsia="en-GB"/>
        </w:rPr>
        <w:t>for example,</w:t>
      </w:r>
      <w:r w:rsidRPr="00D6259F">
        <w:rPr>
          <w:color w:val="000000" w:themeColor="text1"/>
          <w:lang w:eastAsia="en-GB"/>
        </w:rPr>
        <w:t xml:space="preserve"> severance)</w:t>
      </w:r>
      <w:r w:rsidR="00046AA8" w:rsidRPr="00D6259F">
        <w:rPr>
          <w:color w:val="000000" w:themeColor="text1"/>
          <w:lang w:eastAsia="en-GB"/>
        </w:rPr>
        <w:t>,</w:t>
      </w:r>
      <w:r w:rsidR="00216E13" w:rsidRPr="00D6259F">
        <w:rPr>
          <w:color w:val="000000" w:themeColor="text1"/>
          <w:lang w:eastAsia="en-GB"/>
        </w:rPr>
        <w:t xml:space="preserve"> but exclude retirement payments already provided for.</w:t>
      </w:r>
    </w:p>
    <w:p w14:paraId="49C94691" w14:textId="09C8DC03" w:rsidR="00D422B1" w:rsidRPr="00D6259F" w:rsidRDefault="00D422B1" w:rsidP="00982334">
      <w:pPr>
        <w:rPr>
          <w:color w:val="000000" w:themeColor="text1"/>
          <w:lang w:eastAsia="en-GB"/>
        </w:rPr>
      </w:pPr>
      <w:r w:rsidRPr="00D6259F">
        <w:rPr>
          <w:color w:val="000000" w:themeColor="text1"/>
          <w:lang w:eastAsia="en-GB"/>
        </w:rPr>
        <w:t xml:space="preserve">For further information refer to </w:t>
      </w:r>
      <w:r w:rsidRPr="00D6259F">
        <w:rPr>
          <w:i/>
          <w:iCs/>
          <w:color w:val="000000" w:themeColor="text1"/>
          <w:lang w:eastAsia="en-GB"/>
        </w:rPr>
        <w:t>Note 3</w:t>
      </w:r>
      <w:r w:rsidR="00611CC3" w:rsidRPr="00D6259F">
        <w:rPr>
          <w:i/>
          <w:iCs/>
          <w:color w:val="000000" w:themeColor="text1"/>
          <w:lang w:eastAsia="en-GB"/>
        </w:rPr>
        <w:t>8</w:t>
      </w:r>
      <w:r w:rsidRPr="00D6259F">
        <w:rPr>
          <w:i/>
          <w:iCs/>
          <w:color w:val="000000" w:themeColor="text1"/>
          <w:lang w:eastAsia="en-GB"/>
        </w:rPr>
        <w:t xml:space="preserve">: Remuneration and staffing </w:t>
      </w:r>
      <w:r w:rsidRPr="00D6259F">
        <w:rPr>
          <w:color w:val="000000" w:themeColor="text1"/>
          <w:lang w:eastAsia="en-GB"/>
        </w:rPr>
        <w:t>(</w:t>
      </w:r>
      <w:r w:rsidR="006F6060" w:rsidRPr="00D6259F">
        <w:rPr>
          <w:color w:val="000000" w:themeColor="text1"/>
          <w:lang w:eastAsia="en-GB"/>
        </w:rPr>
        <w:t>page</w:t>
      </w:r>
      <w:r w:rsidRPr="00D6259F">
        <w:rPr>
          <w:color w:val="000000" w:themeColor="text1"/>
          <w:lang w:eastAsia="en-GB"/>
        </w:rPr>
        <w:t xml:space="preserve"> </w:t>
      </w:r>
      <w:r w:rsidR="00D127B4" w:rsidRPr="00D6259F">
        <w:rPr>
          <w:color w:val="000000" w:themeColor="text1"/>
          <w:lang w:eastAsia="en-GB"/>
        </w:rPr>
        <w:t>116</w:t>
      </w:r>
      <w:r w:rsidRPr="00D6259F">
        <w:rPr>
          <w:color w:val="000000" w:themeColor="text1"/>
          <w:lang w:eastAsia="en-GB"/>
        </w:rPr>
        <w:t>)</w:t>
      </w:r>
      <w:r w:rsidR="001E5182" w:rsidRPr="00D6259F">
        <w:rPr>
          <w:color w:val="000000" w:themeColor="text1"/>
          <w:lang w:eastAsia="en-GB"/>
        </w:rPr>
        <w:t>.</w:t>
      </w:r>
    </w:p>
    <w:p w14:paraId="548FA77C" w14:textId="662F730A" w:rsidR="00C82676" w:rsidRPr="00D6259F" w:rsidRDefault="00C82676" w:rsidP="00C82676">
      <w:pPr>
        <w:pStyle w:val="Heading5"/>
        <w:rPr>
          <w:color w:val="000000" w:themeColor="text1"/>
        </w:rPr>
      </w:pPr>
      <w:r w:rsidRPr="00D6259F">
        <w:rPr>
          <w:color w:val="000000" w:themeColor="text1"/>
        </w:rPr>
        <w:t>Impairments</w:t>
      </w:r>
    </w:p>
    <w:p w14:paraId="1B0211FD" w14:textId="6611AAEF" w:rsidR="00C82676" w:rsidRPr="00D6259F" w:rsidRDefault="00C82676" w:rsidP="00982334">
      <w:pPr>
        <w:rPr>
          <w:color w:val="000000" w:themeColor="text1"/>
          <w:lang w:eastAsia="en-GB"/>
        </w:rPr>
      </w:pPr>
      <w:r w:rsidRPr="00D6259F">
        <w:rPr>
          <w:color w:val="000000" w:themeColor="text1"/>
          <w:lang w:eastAsia="en-GB"/>
        </w:rPr>
        <w:t>Included within bad debts are amounts of $</w:t>
      </w:r>
      <w:r w:rsidR="00B94792" w:rsidRPr="00D6259F">
        <w:rPr>
          <w:color w:val="000000" w:themeColor="text1"/>
          <w:lang w:eastAsia="en-GB"/>
        </w:rPr>
        <w:t>0.</w:t>
      </w:r>
      <w:r w:rsidR="003010F0" w:rsidRPr="00D6259F">
        <w:rPr>
          <w:color w:val="000000" w:themeColor="text1"/>
          <w:lang w:eastAsia="en-GB"/>
        </w:rPr>
        <w:t>1</w:t>
      </w:r>
      <w:r w:rsidR="00B94792" w:rsidRPr="00D6259F">
        <w:rPr>
          <w:color w:val="000000" w:themeColor="text1"/>
          <w:lang w:eastAsia="en-GB"/>
        </w:rPr>
        <w:t>m</w:t>
      </w:r>
      <w:r w:rsidR="004634B9" w:rsidRPr="00D6259F">
        <w:rPr>
          <w:color w:val="000000" w:themeColor="text1"/>
          <w:lang w:eastAsia="en-GB"/>
        </w:rPr>
        <w:t xml:space="preserve"> </w:t>
      </w:r>
      <w:r w:rsidRPr="00D6259F">
        <w:rPr>
          <w:color w:val="000000" w:themeColor="text1"/>
          <w:lang w:eastAsia="en-GB"/>
        </w:rPr>
        <w:t>(2023</w:t>
      </w:r>
      <w:r w:rsidR="00E46A2D" w:rsidRPr="00D6259F">
        <w:rPr>
          <w:color w:val="000000" w:themeColor="text1"/>
          <w:lang w:eastAsia="en-GB"/>
        </w:rPr>
        <w:t xml:space="preserve">: </w:t>
      </w:r>
      <w:r w:rsidR="00B94792" w:rsidRPr="00D6259F">
        <w:rPr>
          <w:color w:val="000000" w:themeColor="text1"/>
          <w:lang w:eastAsia="en-GB"/>
        </w:rPr>
        <w:t>$</w:t>
      </w:r>
      <w:r w:rsidR="00093D7E" w:rsidRPr="00D6259F">
        <w:rPr>
          <w:color w:val="000000" w:themeColor="text1"/>
          <w:lang w:eastAsia="en-GB"/>
        </w:rPr>
        <w:t>nil</w:t>
      </w:r>
      <w:r w:rsidR="00E46A2D" w:rsidRPr="00D6259F">
        <w:rPr>
          <w:color w:val="000000" w:themeColor="text1"/>
          <w:lang w:eastAsia="en-GB"/>
        </w:rPr>
        <w:t xml:space="preserve">) relating to </w:t>
      </w:r>
      <w:r w:rsidR="00A87071" w:rsidRPr="00D6259F">
        <w:rPr>
          <w:color w:val="000000" w:themeColor="text1"/>
          <w:lang w:eastAsia="en-GB"/>
        </w:rPr>
        <w:t>the write-off of rates receivable during the year. This was approved by the Chief Executive, as the</w:t>
      </w:r>
      <w:r w:rsidR="007965B0" w:rsidRPr="00D6259F">
        <w:rPr>
          <w:color w:val="000000" w:themeColor="text1"/>
          <w:lang w:eastAsia="en-GB"/>
        </w:rPr>
        <w:t xml:space="preserve"> debt</w:t>
      </w:r>
      <w:r w:rsidR="00A87071" w:rsidRPr="00D6259F">
        <w:rPr>
          <w:color w:val="000000" w:themeColor="text1"/>
          <w:lang w:eastAsia="en-GB"/>
        </w:rPr>
        <w:t xml:space="preserve"> could not reasonably be recovered. </w:t>
      </w:r>
    </w:p>
    <w:p w14:paraId="3358B957" w14:textId="71F158BD" w:rsidR="007B051F" w:rsidRPr="00D6259F" w:rsidRDefault="00D422B1" w:rsidP="00361631">
      <w:pPr>
        <w:pStyle w:val="Heading5"/>
        <w:rPr>
          <w:color w:val="000000" w:themeColor="text1"/>
        </w:rPr>
      </w:pPr>
      <w:bookmarkStart w:id="68" w:name="_Hlk85538858"/>
      <w:r w:rsidRPr="00D6259F">
        <w:rPr>
          <w:color w:val="000000" w:themeColor="text1"/>
        </w:rPr>
        <w:t xml:space="preserve">General </w:t>
      </w:r>
      <w:r w:rsidR="005101ED" w:rsidRPr="00D6259F">
        <w:rPr>
          <w:color w:val="000000" w:themeColor="text1"/>
        </w:rPr>
        <w:t>costs</w:t>
      </w:r>
      <w:r w:rsidR="00361631" w:rsidRPr="00D6259F">
        <w:rPr>
          <w:color w:val="000000" w:themeColor="text1"/>
        </w:rPr>
        <w:t xml:space="preserve"> </w:t>
      </w:r>
    </w:p>
    <w:p w14:paraId="5941C06D" w14:textId="32B6C188" w:rsidR="005A700C" w:rsidRPr="00D6259F" w:rsidRDefault="000F20D8" w:rsidP="00982334">
      <w:pPr>
        <w:rPr>
          <w:noProof/>
          <w:color w:val="000000" w:themeColor="text1"/>
        </w:rPr>
      </w:pPr>
      <w:r w:rsidRPr="00D6259F">
        <w:rPr>
          <w:b/>
          <w:bCs/>
          <w:noProof/>
          <w:color w:val="000000" w:themeColor="text1"/>
          <w:lang w:val="en-US"/>
        </w:rPr>
        <w:object w:dxaOrig="10290" w:dyaOrig="3315" w14:anchorId="48CCEE6B">
          <v:shape id="_x0000_i1035" type="#_x0000_t75" style="width:453pt;height:165pt" o:ole="">
            <v:imagedata r:id="rId31" o:title=""/>
          </v:shape>
          <o:OLEObject Type="Link" ProgID="Excel.Sheet.12" ShapeID="_x0000_i1035" DrawAspect="Content" r:id="rId32" UpdateMode="Always">
            <o:LinkType>EnhancedMetaFile</o:LinkType>
            <o:LockedField>false</o:LockedField>
          </o:OLEObject>
        </w:object>
      </w:r>
    </w:p>
    <w:p w14:paraId="09A573DF" w14:textId="38A574BA" w:rsidR="009C4B57" w:rsidRPr="00D6259F" w:rsidRDefault="00D422B1" w:rsidP="00560B06">
      <w:pPr>
        <w:rPr>
          <w:color w:val="000000" w:themeColor="text1"/>
          <w:lang w:eastAsia="en-GB"/>
        </w:rPr>
      </w:pPr>
      <w:r w:rsidRPr="00D6259F">
        <w:rPr>
          <w:color w:val="000000" w:themeColor="text1"/>
          <w:lang w:eastAsia="en-GB"/>
        </w:rPr>
        <w:t xml:space="preserve">During the </w:t>
      </w:r>
      <w:r w:rsidR="00CB0158" w:rsidRPr="00D6259F">
        <w:rPr>
          <w:color w:val="000000" w:themeColor="text1"/>
          <w:lang w:eastAsia="en-GB"/>
        </w:rPr>
        <w:t>year</w:t>
      </w:r>
      <w:r w:rsidR="00183884" w:rsidRPr="00D6259F">
        <w:rPr>
          <w:color w:val="000000" w:themeColor="text1"/>
          <w:lang w:eastAsia="en-GB"/>
        </w:rPr>
        <w:t xml:space="preserve"> end</w:t>
      </w:r>
      <w:r w:rsidR="00FE030D" w:rsidRPr="00D6259F">
        <w:rPr>
          <w:color w:val="000000" w:themeColor="text1"/>
          <w:lang w:eastAsia="en-GB"/>
        </w:rPr>
        <w:t xml:space="preserve">ed </w:t>
      </w:r>
      <w:r w:rsidR="00183884" w:rsidRPr="00D6259F">
        <w:rPr>
          <w:color w:val="000000" w:themeColor="text1"/>
          <w:lang w:eastAsia="en-GB"/>
        </w:rPr>
        <w:t>30 June 202</w:t>
      </w:r>
      <w:r w:rsidR="00877A0C" w:rsidRPr="00D6259F">
        <w:rPr>
          <w:color w:val="000000" w:themeColor="text1"/>
          <w:lang w:eastAsia="en-GB"/>
        </w:rPr>
        <w:t>4</w:t>
      </w:r>
      <w:r w:rsidR="00C96054" w:rsidRPr="00D6259F">
        <w:rPr>
          <w:color w:val="000000" w:themeColor="text1"/>
          <w:lang w:eastAsia="en-GB"/>
        </w:rPr>
        <w:t>,</w:t>
      </w:r>
      <w:r w:rsidRPr="00D6259F">
        <w:rPr>
          <w:color w:val="000000" w:themeColor="text1"/>
          <w:lang w:eastAsia="en-GB"/>
        </w:rPr>
        <w:t xml:space="preserve"> Audit New Zealand provided</w:t>
      </w:r>
      <w:bookmarkStart w:id="69" w:name="_Hlk121482532"/>
      <w:r w:rsidR="008A1334" w:rsidRPr="00D6259F">
        <w:rPr>
          <w:color w:val="000000" w:themeColor="text1"/>
          <w:lang w:eastAsia="en-GB"/>
        </w:rPr>
        <w:t xml:space="preserve"> </w:t>
      </w:r>
      <w:r w:rsidR="00361631" w:rsidRPr="00D6259F">
        <w:rPr>
          <w:color w:val="000000" w:themeColor="text1"/>
          <w:lang w:eastAsia="en-GB"/>
        </w:rPr>
        <w:t xml:space="preserve">assurances and services </w:t>
      </w:r>
      <w:r w:rsidR="008A1334" w:rsidRPr="00D6259F">
        <w:rPr>
          <w:color w:val="000000" w:themeColor="text1"/>
          <w:lang w:eastAsia="en-GB"/>
        </w:rPr>
        <w:t>as included</w:t>
      </w:r>
      <w:r w:rsidR="00361631" w:rsidRPr="00D6259F">
        <w:rPr>
          <w:color w:val="000000" w:themeColor="text1"/>
          <w:lang w:eastAsia="en-GB"/>
        </w:rPr>
        <w:t xml:space="preserve"> in</w:t>
      </w:r>
      <w:r w:rsidR="008A1334" w:rsidRPr="00D6259F">
        <w:rPr>
          <w:color w:val="000000" w:themeColor="text1"/>
          <w:lang w:eastAsia="en-GB"/>
        </w:rPr>
        <w:t xml:space="preserve"> </w:t>
      </w:r>
      <w:r w:rsidR="008A1334" w:rsidRPr="00D6259F">
        <w:rPr>
          <w:i/>
          <w:iCs/>
          <w:color w:val="000000" w:themeColor="text1"/>
          <w:lang w:eastAsia="en-GB"/>
        </w:rPr>
        <w:t xml:space="preserve">Table </w:t>
      </w:r>
      <w:r w:rsidR="00D127B4" w:rsidRPr="00D6259F">
        <w:rPr>
          <w:i/>
          <w:iCs/>
          <w:color w:val="000000" w:themeColor="text1"/>
          <w:lang w:eastAsia="en-GB"/>
        </w:rPr>
        <w:t>10</w:t>
      </w:r>
      <w:r w:rsidR="00361631" w:rsidRPr="00D6259F">
        <w:rPr>
          <w:color w:val="000000" w:themeColor="text1"/>
          <w:lang w:eastAsia="en-GB"/>
        </w:rPr>
        <w:t xml:space="preserve"> </w:t>
      </w:r>
      <w:r w:rsidR="008A1334" w:rsidRPr="00D6259F">
        <w:rPr>
          <w:color w:val="000000" w:themeColor="text1"/>
          <w:lang w:eastAsia="en-GB"/>
        </w:rPr>
        <w:t>above:</w:t>
      </w:r>
    </w:p>
    <w:p w14:paraId="03F2F026" w14:textId="6DEB3276" w:rsidR="00C96054" w:rsidRPr="00D6259F" w:rsidRDefault="00C96054" w:rsidP="00BB0BEE">
      <w:pPr>
        <w:pStyle w:val="ANZBodyText"/>
        <w:numPr>
          <w:ilvl w:val="0"/>
          <w:numId w:val="41"/>
        </w:numPr>
        <w:spacing w:before="240"/>
        <w:rPr>
          <w:rFonts w:ascii="Arial" w:hAnsi="Arial"/>
        </w:rPr>
      </w:pPr>
      <w:r w:rsidRPr="00D6259F">
        <w:rPr>
          <w:rFonts w:ascii="Arial" w:hAnsi="Arial"/>
        </w:rPr>
        <w:t>Other assurance</w:t>
      </w:r>
      <w:r w:rsidR="00F8404B" w:rsidRPr="00D6259F">
        <w:rPr>
          <w:rFonts w:ascii="Arial" w:hAnsi="Arial"/>
        </w:rPr>
        <w:t>s</w:t>
      </w:r>
      <w:r w:rsidRPr="00D6259F">
        <w:rPr>
          <w:rFonts w:ascii="Arial" w:hAnsi="Arial"/>
        </w:rPr>
        <w:t xml:space="preserve"> - assurance on the Council’s </w:t>
      </w:r>
      <w:r w:rsidR="0069445A" w:rsidRPr="00D6259F">
        <w:rPr>
          <w:rFonts w:ascii="Arial" w:hAnsi="Arial"/>
        </w:rPr>
        <w:t xml:space="preserve">greenhouse gas emissions performance measures, </w:t>
      </w:r>
      <w:r w:rsidRPr="00D6259F">
        <w:rPr>
          <w:rFonts w:ascii="Arial" w:hAnsi="Arial"/>
        </w:rPr>
        <w:t>debenture trust deed compliance and the Clifton Terrace Car</w:t>
      </w:r>
      <w:r w:rsidR="00FE030D" w:rsidRPr="00D6259F">
        <w:rPr>
          <w:rFonts w:ascii="Arial" w:hAnsi="Arial"/>
        </w:rPr>
        <w:t xml:space="preserve"> P</w:t>
      </w:r>
      <w:r w:rsidRPr="00D6259F">
        <w:rPr>
          <w:rFonts w:ascii="Arial" w:hAnsi="Arial"/>
        </w:rPr>
        <w:t xml:space="preserve">ark managed by the Council on behalf of </w:t>
      </w:r>
      <w:r w:rsidR="00910A76" w:rsidRPr="00D6259F">
        <w:rPr>
          <w:rFonts w:ascii="Arial" w:hAnsi="Arial"/>
        </w:rPr>
        <w:t>NZTA</w:t>
      </w:r>
      <w:r w:rsidRPr="00D6259F">
        <w:rPr>
          <w:rFonts w:ascii="Arial" w:hAnsi="Arial"/>
        </w:rPr>
        <w:t xml:space="preserve"> (202</w:t>
      </w:r>
      <w:r w:rsidR="005D56AC" w:rsidRPr="00D6259F">
        <w:rPr>
          <w:rFonts w:ascii="Arial" w:hAnsi="Arial"/>
        </w:rPr>
        <w:t>3</w:t>
      </w:r>
      <w:r w:rsidRPr="00D6259F">
        <w:rPr>
          <w:rFonts w:ascii="Arial" w:hAnsi="Arial"/>
        </w:rPr>
        <w:t>: Council’s debenture trust deed compliance and the Clifton Terrace Car</w:t>
      </w:r>
      <w:r w:rsidR="00FE030D" w:rsidRPr="00D6259F">
        <w:rPr>
          <w:rFonts w:ascii="Arial" w:hAnsi="Arial"/>
        </w:rPr>
        <w:t xml:space="preserve"> P</w:t>
      </w:r>
      <w:r w:rsidRPr="00D6259F">
        <w:rPr>
          <w:rFonts w:ascii="Arial" w:hAnsi="Arial"/>
        </w:rPr>
        <w:t>ark</w:t>
      </w:r>
      <w:r w:rsidR="008A1334" w:rsidRPr="00D6259F">
        <w:rPr>
          <w:rFonts w:ascii="Arial" w:hAnsi="Arial"/>
        </w:rPr>
        <w:t>)</w:t>
      </w:r>
      <w:r w:rsidR="005024C3" w:rsidRPr="00D6259F">
        <w:rPr>
          <w:rFonts w:ascii="Arial" w:hAnsi="Arial"/>
        </w:rPr>
        <w:t>.</w:t>
      </w:r>
    </w:p>
    <w:p w14:paraId="34C72B0E" w14:textId="11452FB8" w:rsidR="008A1334" w:rsidRPr="00D6259F" w:rsidRDefault="00C96054" w:rsidP="00BB0BEE">
      <w:pPr>
        <w:pStyle w:val="ANZBodyText"/>
        <w:numPr>
          <w:ilvl w:val="0"/>
          <w:numId w:val="41"/>
        </w:numPr>
        <w:spacing w:before="240"/>
        <w:rPr>
          <w:rFonts w:ascii="Arial" w:hAnsi="Arial"/>
        </w:rPr>
      </w:pPr>
      <w:r w:rsidRPr="00D6259F">
        <w:rPr>
          <w:rFonts w:ascii="Arial" w:hAnsi="Arial"/>
        </w:rPr>
        <w:t xml:space="preserve">Other services </w:t>
      </w:r>
      <w:r w:rsidR="00361631" w:rsidRPr="00D6259F">
        <w:rPr>
          <w:rFonts w:ascii="Arial" w:hAnsi="Arial"/>
        </w:rPr>
        <w:t xml:space="preserve">– </w:t>
      </w:r>
      <w:r w:rsidR="0069445A" w:rsidRPr="00D6259F">
        <w:rPr>
          <w:rFonts w:ascii="Arial" w:hAnsi="Arial"/>
        </w:rPr>
        <w:t>procurement assurance for a regional solution for organics in the Wellington region</w:t>
      </w:r>
      <w:r w:rsidR="005024C3" w:rsidRPr="00D6259F">
        <w:rPr>
          <w:rFonts w:ascii="Arial" w:hAnsi="Arial"/>
        </w:rPr>
        <w:t xml:space="preserve"> </w:t>
      </w:r>
      <w:r w:rsidR="00361631" w:rsidRPr="00D6259F">
        <w:rPr>
          <w:rFonts w:ascii="Arial" w:hAnsi="Arial"/>
        </w:rPr>
        <w:t>(2023:</w:t>
      </w:r>
      <w:r w:rsidRPr="00D6259F">
        <w:rPr>
          <w:rFonts w:ascii="Arial" w:hAnsi="Arial"/>
        </w:rPr>
        <w:t xml:space="preserve"> </w:t>
      </w:r>
      <w:r w:rsidR="005D56AC" w:rsidRPr="00D6259F">
        <w:rPr>
          <w:rFonts w:ascii="Arial" w:hAnsi="Arial"/>
        </w:rPr>
        <w:t>probity assurance</w:t>
      </w:r>
      <w:r w:rsidR="00607C55" w:rsidRPr="00D6259F">
        <w:rPr>
          <w:rFonts w:ascii="Arial" w:hAnsi="Arial"/>
        </w:rPr>
        <w:t xml:space="preserve"> </w:t>
      </w:r>
      <w:r w:rsidR="00361631" w:rsidRPr="00D6259F">
        <w:rPr>
          <w:rFonts w:ascii="Arial" w:hAnsi="Arial"/>
        </w:rPr>
        <w:t xml:space="preserve">over the </w:t>
      </w:r>
      <w:r w:rsidR="00041F7B" w:rsidRPr="00D6259F">
        <w:rPr>
          <w:rFonts w:ascii="Arial" w:hAnsi="Arial"/>
        </w:rPr>
        <w:t>tender process for T</w:t>
      </w:r>
      <w:r w:rsidR="002D6017" w:rsidRPr="00D6259F">
        <w:rPr>
          <w:rFonts w:ascii="Arial" w:hAnsi="Arial"/>
        </w:rPr>
        <w:t>ā</w:t>
      </w:r>
      <w:r w:rsidR="00041F7B" w:rsidRPr="00D6259F">
        <w:rPr>
          <w:rFonts w:ascii="Arial" w:hAnsi="Arial"/>
        </w:rPr>
        <w:t>kina facilities ma</w:t>
      </w:r>
      <w:r w:rsidR="005024C3" w:rsidRPr="00D6259F">
        <w:rPr>
          <w:rFonts w:ascii="Arial" w:hAnsi="Arial"/>
        </w:rPr>
        <w:t>intenance</w:t>
      </w:r>
      <w:r w:rsidR="00041F7B" w:rsidRPr="00D6259F">
        <w:rPr>
          <w:rFonts w:ascii="Arial" w:hAnsi="Arial"/>
        </w:rPr>
        <w:t>)</w:t>
      </w:r>
      <w:r w:rsidR="005024C3" w:rsidRPr="00D6259F">
        <w:rPr>
          <w:rFonts w:ascii="Arial" w:hAnsi="Arial"/>
        </w:rPr>
        <w:t>.</w:t>
      </w:r>
    </w:p>
    <w:bookmarkEnd w:id="68"/>
    <w:bookmarkEnd w:id="69"/>
    <w:p w14:paraId="2553F1A5" w14:textId="6F65A983" w:rsidR="007B051F" w:rsidRPr="00D6259F" w:rsidRDefault="007B051F" w:rsidP="007B051F">
      <w:pPr>
        <w:pStyle w:val="BodyText"/>
        <w:ind w:left="0"/>
        <w:rPr>
          <w:b/>
          <w:bCs/>
          <w:i/>
          <w:iCs/>
          <w:color w:val="000000" w:themeColor="text1"/>
          <w:sz w:val="22"/>
        </w:rPr>
      </w:pPr>
      <w:r w:rsidRPr="00D6259F">
        <w:rPr>
          <w:b/>
          <w:bCs/>
          <w:i/>
          <w:iCs/>
          <w:color w:val="000000" w:themeColor="text1"/>
          <w:sz w:val="22"/>
        </w:rPr>
        <w:t xml:space="preserve">Contracts, </w:t>
      </w:r>
      <w:proofErr w:type="gramStart"/>
      <w:r w:rsidRPr="00D6259F">
        <w:rPr>
          <w:b/>
          <w:bCs/>
          <w:i/>
          <w:iCs/>
          <w:color w:val="000000" w:themeColor="text1"/>
          <w:sz w:val="22"/>
        </w:rPr>
        <w:t>services</w:t>
      </w:r>
      <w:proofErr w:type="gramEnd"/>
      <w:r w:rsidRPr="00D6259F">
        <w:rPr>
          <w:b/>
          <w:bCs/>
          <w:i/>
          <w:iCs/>
          <w:color w:val="000000" w:themeColor="text1"/>
          <w:sz w:val="22"/>
        </w:rPr>
        <w:t xml:space="preserve"> and materials</w:t>
      </w:r>
    </w:p>
    <w:p w14:paraId="065B2EF0" w14:textId="045E43C1" w:rsidR="00D422B1" w:rsidRPr="00D6259F" w:rsidRDefault="007B051F" w:rsidP="00982334">
      <w:pPr>
        <w:rPr>
          <w:color w:val="000000" w:themeColor="text1"/>
          <w:lang w:eastAsia="en-GB"/>
        </w:rPr>
      </w:pPr>
      <w:r w:rsidRPr="00D6259F">
        <w:rPr>
          <w:color w:val="000000" w:themeColor="text1"/>
          <w:lang w:eastAsia="en-GB"/>
        </w:rPr>
        <w:t xml:space="preserve">Contracts, </w:t>
      </w:r>
      <w:proofErr w:type="gramStart"/>
      <w:r w:rsidRPr="00D6259F">
        <w:rPr>
          <w:color w:val="000000" w:themeColor="text1"/>
          <w:lang w:eastAsia="en-GB"/>
        </w:rPr>
        <w:t>services</w:t>
      </w:r>
      <w:proofErr w:type="gramEnd"/>
      <w:r w:rsidRPr="00D6259F">
        <w:rPr>
          <w:color w:val="000000" w:themeColor="text1"/>
          <w:lang w:eastAsia="en-GB"/>
        </w:rPr>
        <w:t xml:space="preserve"> and materials reflect</w:t>
      </w:r>
      <w:r w:rsidR="005F0F66" w:rsidRPr="00D6259F">
        <w:rPr>
          <w:color w:val="000000" w:themeColor="text1"/>
          <w:lang w:eastAsia="en-GB"/>
        </w:rPr>
        <w:t>s</w:t>
      </w:r>
      <w:r w:rsidRPr="00D6259F">
        <w:rPr>
          <w:color w:val="000000" w:themeColor="text1"/>
          <w:lang w:eastAsia="en-GB"/>
        </w:rPr>
        <w:t xml:space="preserve"> the d</w:t>
      </w:r>
      <w:r w:rsidR="00D422B1" w:rsidRPr="00D6259F">
        <w:rPr>
          <w:color w:val="000000" w:themeColor="text1"/>
          <w:lang w:eastAsia="en-GB"/>
        </w:rPr>
        <w:t xml:space="preserve">irect costs attributable to </w:t>
      </w:r>
      <w:r w:rsidR="005F0F66" w:rsidRPr="00D6259F">
        <w:rPr>
          <w:color w:val="000000" w:themeColor="text1"/>
          <w:lang w:eastAsia="en-GB"/>
        </w:rPr>
        <w:t>providing the</w:t>
      </w:r>
      <w:r w:rsidR="00D422B1" w:rsidRPr="00D6259F">
        <w:rPr>
          <w:color w:val="000000" w:themeColor="text1"/>
          <w:lang w:eastAsia="en-GB"/>
        </w:rPr>
        <w:t xml:space="preserve"> Council</w:t>
      </w:r>
      <w:r w:rsidR="005F0F66" w:rsidRPr="00D6259F">
        <w:rPr>
          <w:color w:val="000000" w:themeColor="text1"/>
          <w:lang w:eastAsia="en-GB"/>
        </w:rPr>
        <w:t>’s</w:t>
      </w:r>
      <w:r w:rsidR="00D422B1" w:rsidRPr="00D6259F">
        <w:rPr>
          <w:color w:val="000000" w:themeColor="text1"/>
          <w:lang w:eastAsia="en-GB"/>
        </w:rPr>
        <w:t xml:space="preserve"> services</w:t>
      </w:r>
      <w:r w:rsidR="005F0F66" w:rsidRPr="00D6259F">
        <w:rPr>
          <w:color w:val="000000" w:themeColor="text1"/>
          <w:lang w:eastAsia="en-GB"/>
        </w:rPr>
        <w:t>. This includes procurement costs,</w:t>
      </w:r>
      <w:r w:rsidR="00D422B1" w:rsidRPr="00D6259F">
        <w:rPr>
          <w:color w:val="000000" w:themeColor="text1"/>
          <w:lang w:eastAsia="en-GB"/>
        </w:rPr>
        <w:t xml:space="preserve"> maintenance, management fees</w:t>
      </w:r>
      <w:r w:rsidR="005F0F66" w:rsidRPr="00D6259F">
        <w:rPr>
          <w:color w:val="000000" w:themeColor="text1"/>
          <w:lang w:eastAsia="en-GB"/>
        </w:rPr>
        <w:t xml:space="preserve"> plus all other direct </w:t>
      </w:r>
      <w:r w:rsidR="00D422B1" w:rsidRPr="00D6259F">
        <w:rPr>
          <w:color w:val="000000" w:themeColor="text1"/>
          <w:lang w:eastAsia="en-GB"/>
        </w:rPr>
        <w:t>material and services</w:t>
      </w:r>
      <w:r w:rsidR="005F0F66" w:rsidRPr="00D6259F">
        <w:rPr>
          <w:color w:val="000000" w:themeColor="text1"/>
          <w:lang w:eastAsia="en-GB"/>
        </w:rPr>
        <w:t xml:space="preserve"> costs</w:t>
      </w:r>
      <w:r w:rsidR="00D422B1" w:rsidRPr="00D6259F">
        <w:rPr>
          <w:color w:val="000000" w:themeColor="text1"/>
          <w:lang w:eastAsia="en-GB"/>
        </w:rPr>
        <w:t>.</w:t>
      </w:r>
    </w:p>
    <w:p w14:paraId="5B3E702A" w14:textId="77777777" w:rsidR="007B051F" w:rsidRPr="00D6259F" w:rsidRDefault="007B051F" w:rsidP="007B051F">
      <w:pPr>
        <w:pStyle w:val="BodyText"/>
        <w:ind w:left="0"/>
        <w:rPr>
          <w:b/>
          <w:bCs/>
          <w:i/>
          <w:iCs/>
          <w:color w:val="000000" w:themeColor="text1"/>
          <w:sz w:val="22"/>
        </w:rPr>
      </w:pPr>
      <w:r w:rsidRPr="00D6259F">
        <w:rPr>
          <w:b/>
          <w:bCs/>
          <w:i/>
          <w:iCs/>
          <w:color w:val="000000" w:themeColor="text1"/>
          <w:sz w:val="22"/>
        </w:rPr>
        <w:t>Grants</w:t>
      </w:r>
    </w:p>
    <w:p w14:paraId="73245978" w14:textId="1550DCCD" w:rsidR="00D422B1" w:rsidRPr="00D6259F" w:rsidRDefault="00D422B1" w:rsidP="00982334">
      <w:pPr>
        <w:rPr>
          <w:color w:val="000000" w:themeColor="text1"/>
          <w:lang w:eastAsia="en-GB"/>
        </w:rPr>
      </w:pPr>
      <w:r w:rsidRPr="00D6259F">
        <w:rPr>
          <w:color w:val="000000" w:themeColor="text1"/>
          <w:lang w:eastAsia="en-GB"/>
        </w:rPr>
        <w:t xml:space="preserve">Grants include the operating grants </w:t>
      </w:r>
      <w:r w:rsidR="005F0F66" w:rsidRPr="00D6259F">
        <w:rPr>
          <w:color w:val="000000" w:themeColor="text1"/>
          <w:lang w:eastAsia="en-GB"/>
        </w:rPr>
        <w:t xml:space="preserve">paid </w:t>
      </w:r>
      <w:r w:rsidRPr="00D6259F">
        <w:rPr>
          <w:color w:val="000000" w:themeColor="text1"/>
          <w:lang w:eastAsia="en-GB"/>
        </w:rPr>
        <w:t xml:space="preserve">to </w:t>
      </w:r>
      <w:r w:rsidR="003D481F" w:rsidRPr="00D6259F">
        <w:rPr>
          <w:color w:val="000000" w:themeColor="text1"/>
          <w:lang w:eastAsia="en-GB"/>
        </w:rPr>
        <w:t xml:space="preserve">the </w:t>
      </w:r>
      <w:r w:rsidRPr="00D6259F">
        <w:rPr>
          <w:color w:val="000000" w:themeColor="text1"/>
          <w:lang w:eastAsia="en-GB"/>
        </w:rPr>
        <w:t xml:space="preserve">Council’s controlled entities (refer to </w:t>
      </w:r>
      <w:r w:rsidRPr="00D6259F">
        <w:rPr>
          <w:i/>
          <w:iCs/>
          <w:color w:val="000000" w:themeColor="text1"/>
          <w:lang w:eastAsia="en-GB"/>
        </w:rPr>
        <w:t>Note 3</w:t>
      </w:r>
      <w:r w:rsidR="008463C1" w:rsidRPr="00D6259F">
        <w:rPr>
          <w:i/>
          <w:iCs/>
          <w:color w:val="000000" w:themeColor="text1"/>
          <w:lang w:eastAsia="en-GB"/>
        </w:rPr>
        <w:t>7</w:t>
      </w:r>
      <w:r w:rsidRPr="00D6259F">
        <w:rPr>
          <w:i/>
          <w:iCs/>
          <w:color w:val="000000" w:themeColor="text1"/>
          <w:lang w:eastAsia="en-GB"/>
        </w:rPr>
        <w:t xml:space="preserve">: Related </w:t>
      </w:r>
      <w:r w:rsidR="00D351F6" w:rsidRPr="00D6259F">
        <w:rPr>
          <w:i/>
          <w:iCs/>
          <w:color w:val="000000" w:themeColor="text1"/>
          <w:lang w:eastAsia="en-GB"/>
        </w:rPr>
        <w:t>p</w:t>
      </w:r>
      <w:r w:rsidRPr="00D6259F">
        <w:rPr>
          <w:i/>
          <w:iCs/>
          <w:color w:val="000000" w:themeColor="text1"/>
          <w:lang w:eastAsia="en-GB"/>
        </w:rPr>
        <w:t>arty disclosures</w:t>
      </w:r>
      <w:r w:rsidRPr="00D6259F">
        <w:rPr>
          <w:color w:val="000000" w:themeColor="text1"/>
          <w:lang w:eastAsia="en-GB"/>
        </w:rPr>
        <w:t xml:space="preserve"> (</w:t>
      </w:r>
      <w:r w:rsidR="006F6060" w:rsidRPr="00D6259F">
        <w:rPr>
          <w:color w:val="000000" w:themeColor="text1"/>
          <w:lang w:eastAsia="en-GB"/>
        </w:rPr>
        <w:t>page</w:t>
      </w:r>
      <w:r w:rsidRPr="00D6259F">
        <w:rPr>
          <w:color w:val="000000" w:themeColor="text1"/>
          <w:lang w:eastAsia="en-GB"/>
        </w:rPr>
        <w:t xml:space="preserve"> </w:t>
      </w:r>
      <w:r w:rsidR="00D127B4" w:rsidRPr="00D6259F">
        <w:rPr>
          <w:color w:val="000000" w:themeColor="text1"/>
          <w:lang w:eastAsia="en-GB"/>
        </w:rPr>
        <w:t>114</w:t>
      </w:r>
      <w:r w:rsidRPr="00D6259F">
        <w:rPr>
          <w:color w:val="000000" w:themeColor="text1"/>
          <w:lang w:eastAsia="en-GB"/>
        </w:rPr>
        <w:t>)</w:t>
      </w:r>
      <w:r w:rsidR="00595A8F" w:rsidRPr="00D6259F">
        <w:rPr>
          <w:color w:val="000000" w:themeColor="text1"/>
          <w:lang w:eastAsia="en-GB"/>
        </w:rPr>
        <w:t>)</w:t>
      </w:r>
      <w:r w:rsidRPr="00D6259F">
        <w:rPr>
          <w:color w:val="000000" w:themeColor="text1"/>
          <w:lang w:eastAsia="en-GB"/>
        </w:rPr>
        <w:t xml:space="preserve">. Other major grants include funding </w:t>
      </w:r>
      <w:r w:rsidR="005F0F66" w:rsidRPr="00D6259F">
        <w:rPr>
          <w:color w:val="000000" w:themeColor="text1"/>
          <w:lang w:eastAsia="en-GB"/>
        </w:rPr>
        <w:t xml:space="preserve">provided </w:t>
      </w:r>
      <w:r w:rsidRPr="00D6259F">
        <w:rPr>
          <w:color w:val="000000" w:themeColor="text1"/>
          <w:lang w:eastAsia="en-GB"/>
        </w:rPr>
        <w:t xml:space="preserve">to the Museum of New Zealand Te Papa Tongarewa </w:t>
      </w:r>
      <w:r w:rsidR="005F0F66" w:rsidRPr="00D6259F">
        <w:rPr>
          <w:color w:val="000000" w:themeColor="text1"/>
          <w:lang w:eastAsia="en-GB"/>
        </w:rPr>
        <w:t xml:space="preserve">of </w:t>
      </w:r>
      <w:r w:rsidRPr="00D6259F">
        <w:rPr>
          <w:color w:val="000000" w:themeColor="text1"/>
          <w:lang w:eastAsia="en-GB"/>
        </w:rPr>
        <w:t>$</w:t>
      </w:r>
      <w:r w:rsidR="009652CA" w:rsidRPr="00D6259F">
        <w:rPr>
          <w:color w:val="000000" w:themeColor="text1"/>
          <w:lang w:eastAsia="en-GB"/>
        </w:rPr>
        <w:t xml:space="preserve">2.3m </w:t>
      </w:r>
      <w:r w:rsidRPr="00D6259F">
        <w:rPr>
          <w:color w:val="000000" w:themeColor="text1"/>
          <w:lang w:eastAsia="en-GB"/>
        </w:rPr>
        <w:t>(20</w:t>
      </w:r>
      <w:r w:rsidR="005A700C" w:rsidRPr="00D6259F">
        <w:rPr>
          <w:color w:val="000000" w:themeColor="text1"/>
          <w:lang w:eastAsia="en-GB"/>
        </w:rPr>
        <w:t>2</w:t>
      </w:r>
      <w:r w:rsidR="00877A0C" w:rsidRPr="00D6259F">
        <w:rPr>
          <w:color w:val="000000" w:themeColor="text1"/>
          <w:lang w:eastAsia="en-GB"/>
        </w:rPr>
        <w:t>3</w:t>
      </w:r>
      <w:r w:rsidRPr="00D6259F">
        <w:rPr>
          <w:color w:val="000000" w:themeColor="text1"/>
          <w:lang w:eastAsia="en-GB"/>
        </w:rPr>
        <w:t>: $</w:t>
      </w:r>
      <w:r w:rsidR="00877A0C" w:rsidRPr="00D6259F">
        <w:rPr>
          <w:color w:val="000000" w:themeColor="text1"/>
          <w:lang w:eastAsia="en-GB"/>
        </w:rPr>
        <w:t>2.</w:t>
      </w:r>
      <w:r w:rsidR="001774EE" w:rsidRPr="00D6259F">
        <w:rPr>
          <w:color w:val="000000" w:themeColor="text1"/>
          <w:lang w:eastAsia="en-GB"/>
        </w:rPr>
        <w:t>3</w:t>
      </w:r>
      <w:r w:rsidR="00877A0C" w:rsidRPr="00D6259F">
        <w:rPr>
          <w:color w:val="000000" w:themeColor="text1"/>
          <w:lang w:eastAsia="en-GB"/>
        </w:rPr>
        <w:t>m</w:t>
      </w:r>
      <w:r w:rsidRPr="00D6259F">
        <w:rPr>
          <w:color w:val="000000" w:themeColor="text1"/>
          <w:lang w:eastAsia="en-GB"/>
        </w:rPr>
        <w:t xml:space="preserve">). </w:t>
      </w:r>
    </w:p>
    <w:p w14:paraId="169063F3" w14:textId="5E1A8A75" w:rsidR="007B051F" w:rsidRPr="00D6259F" w:rsidRDefault="007B051F" w:rsidP="007B051F">
      <w:pPr>
        <w:pStyle w:val="BodyText"/>
        <w:ind w:left="0"/>
        <w:rPr>
          <w:b/>
          <w:bCs/>
          <w:i/>
          <w:iCs/>
          <w:color w:val="000000" w:themeColor="text1"/>
          <w:sz w:val="22"/>
        </w:rPr>
      </w:pPr>
      <w:r w:rsidRPr="00D6259F">
        <w:rPr>
          <w:b/>
          <w:bCs/>
          <w:i/>
          <w:iCs/>
          <w:color w:val="000000" w:themeColor="text1"/>
          <w:sz w:val="22"/>
        </w:rPr>
        <w:t>Operating lease – minimum lease payments</w:t>
      </w:r>
    </w:p>
    <w:p w14:paraId="548937D8" w14:textId="3A574F56" w:rsidR="00D422B1" w:rsidRPr="00D6259F" w:rsidRDefault="00D422B1" w:rsidP="00982334">
      <w:pPr>
        <w:rPr>
          <w:color w:val="000000" w:themeColor="text1"/>
          <w:lang w:eastAsia="en-GB"/>
        </w:rPr>
      </w:pPr>
      <w:r w:rsidRPr="00D6259F">
        <w:rPr>
          <w:color w:val="000000" w:themeColor="text1"/>
          <w:lang w:eastAsia="en-GB"/>
        </w:rPr>
        <w:t xml:space="preserve">Operating lease minimum lease payments </w:t>
      </w:r>
      <w:r w:rsidR="005024C3" w:rsidRPr="00D6259F">
        <w:rPr>
          <w:color w:val="000000" w:themeColor="text1"/>
          <w:lang w:eastAsia="en-GB"/>
        </w:rPr>
        <w:t xml:space="preserve">reflect costs </w:t>
      </w:r>
      <w:r w:rsidRPr="00D6259F">
        <w:rPr>
          <w:color w:val="000000" w:themeColor="text1"/>
          <w:lang w:eastAsia="en-GB"/>
        </w:rPr>
        <w:t>for non-cancellable agreements for the use of office or other spaces in buildings</w:t>
      </w:r>
      <w:r w:rsidR="00A91A06" w:rsidRPr="00D6259F">
        <w:rPr>
          <w:color w:val="000000" w:themeColor="text1"/>
          <w:lang w:eastAsia="en-GB"/>
        </w:rPr>
        <w:t xml:space="preserve"> and certain plant and equipment</w:t>
      </w:r>
      <w:r w:rsidRPr="00D6259F">
        <w:rPr>
          <w:color w:val="000000" w:themeColor="text1"/>
          <w:lang w:eastAsia="en-GB"/>
        </w:rPr>
        <w:t xml:space="preserve">. </w:t>
      </w:r>
    </w:p>
    <w:p w14:paraId="0C9D673E" w14:textId="77777777" w:rsidR="007B051F" w:rsidRPr="00D6259F" w:rsidRDefault="007B051F" w:rsidP="007B051F">
      <w:pPr>
        <w:pStyle w:val="BodyText"/>
        <w:ind w:left="0"/>
        <w:rPr>
          <w:b/>
          <w:bCs/>
          <w:i/>
          <w:iCs/>
          <w:color w:val="000000" w:themeColor="text1"/>
          <w:sz w:val="22"/>
        </w:rPr>
      </w:pPr>
      <w:r w:rsidRPr="00D6259F">
        <w:rPr>
          <w:b/>
          <w:bCs/>
          <w:i/>
          <w:iCs/>
          <w:color w:val="000000" w:themeColor="text1"/>
          <w:sz w:val="22"/>
        </w:rPr>
        <w:lastRenderedPageBreak/>
        <w:t>Utility costs</w:t>
      </w:r>
    </w:p>
    <w:p w14:paraId="2F303EFF" w14:textId="6E43AFFD" w:rsidR="00D422B1" w:rsidRPr="00D6259F" w:rsidRDefault="00D422B1" w:rsidP="00982334">
      <w:pPr>
        <w:rPr>
          <w:rFonts w:cs="Arial"/>
          <w:color w:val="000000" w:themeColor="text1"/>
          <w:lang w:eastAsia="en-GB"/>
        </w:rPr>
      </w:pPr>
      <w:r w:rsidRPr="00D6259F">
        <w:rPr>
          <w:color w:val="000000" w:themeColor="text1"/>
          <w:lang w:eastAsia="en-GB"/>
        </w:rPr>
        <w:t xml:space="preserve">Utility costs are those relating to the use of electricity, </w:t>
      </w:r>
      <w:proofErr w:type="gramStart"/>
      <w:r w:rsidRPr="00D6259F">
        <w:rPr>
          <w:color w:val="000000" w:themeColor="text1"/>
          <w:lang w:eastAsia="en-GB"/>
        </w:rPr>
        <w:t>gas</w:t>
      </w:r>
      <w:proofErr w:type="gramEnd"/>
      <w:r w:rsidRPr="00D6259F">
        <w:rPr>
          <w:color w:val="000000" w:themeColor="text1"/>
          <w:lang w:eastAsia="en-GB"/>
        </w:rPr>
        <w:t xml:space="preserve"> and water. It also includes the payment of </w:t>
      </w:r>
      <w:r w:rsidR="006537F9" w:rsidRPr="00D6259F">
        <w:rPr>
          <w:color w:val="000000" w:themeColor="text1"/>
          <w:lang w:eastAsia="en-GB"/>
        </w:rPr>
        <w:t xml:space="preserve">all </w:t>
      </w:r>
      <w:r w:rsidRPr="00D6259F">
        <w:rPr>
          <w:color w:val="000000" w:themeColor="text1"/>
          <w:lang w:eastAsia="en-GB"/>
        </w:rPr>
        <w:t>rates and water meter charges of $</w:t>
      </w:r>
      <w:r w:rsidR="00A91A06" w:rsidRPr="00D6259F">
        <w:rPr>
          <w:color w:val="000000" w:themeColor="text1"/>
          <w:lang w:eastAsia="en-GB"/>
        </w:rPr>
        <w:t xml:space="preserve">23.3m </w:t>
      </w:r>
      <w:r w:rsidR="007A5378" w:rsidRPr="00D6259F">
        <w:rPr>
          <w:color w:val="000000" w:themeColor="text1"/>
          <w:lang w:eastAsia="en-GB"/>
        </w:rPr>
        <w:t>(</w:t>
      </w:r>
      <w:r w:rsidRPr="00D6259F">
        <w:rPr>
          <w:color w:val="000000" w:themeColor="text1"/>
          <w:lang w:eastAsia="en-GB"/>
        </w:rPr>
        <w:t>20</w:t>
      </w:r>
      <w:r w:rsidR="005A700C" w:rsidRPr="00D6259F">
        <w:rPr>
          <w:color w:val="000000" w:themeColor="text1"/>
          <w:lang w:eastAsia="en-GB"/>
        </w:rPr>
        <w:t>2</w:t>
      </w:r>
      <w:r w:rsidR="00877A0C" w:rsidRPr="00D6259F">
        <w:rPr>
          <w:color w:val="000000" w:themeColor="text1"/>
          <w:lang w:eastAsia="en-GB"/>
        </w:rPr>
        <w:t>3</w:t>
      </w:r>
      <w:r w:rsidRPr="00D6259F">
        <w:rPr>
          <w:color w:val="000000" w:themeColor="text1"/>
          <w:lang w:eastAsia="en-GB"/>
        </w:rPr>
        <w:t>: $</w:t>
      </w:r>
      <w:r w:rsidR="00877A0C" w:rsidRPr="00D6259F">
        <w:rPr>
          <w:color w:val="000000" w:themeColor="text1"/>
          <w:lang w:eastAsia="en-GB"/>
        </w:rPr>
        <w:t>19.</w:t>
      </w:r>
      <w:r w:rsidR="001774EE" w:rsidRPr="00D6259F">
        <w:rPr>
          <w:color w:val="000000" w:themeColor="text1"/>
          <w:lang w:eastAsia="en-GB"/>
        </w:rPr>
        <w:t>8</w:t>
      </w:r>
      <w:r w:rsidR="00877A0C" w:rsidRPr="00D6259F">
        <w:rPr>
          <w:color w:val="000000" w:themeColor="text1"/>
          <w:lang w:eastAsia="en-GB"/>
        </w:rPr>
        <w:t>m</w:t>
      </w:r>
      <w:r w:rsidRPr="00D6259F">
        <w:rPr>
          <w:color w:val="000000" w:themeColor="text1"/>
          <w:lang w:eastAsia="en-GB"/>
        </w:rPr>
        <w:t xml:space="preserve">) on </w:t>
      </w:r>
      <w:r w:rsidR="00C0107B" w:rsidRPr="00D6259F">
        <w:rPr>
          <w:color w:val="000000" w:themeColor="text1"/>
          <w:lang w:eastAsia="en-GB"/>
        </w:rPr>
        <w:t>Council-</w:t>
      </w:r>
      <w:r w:rsidRPr="00D6259F">
        <w:rPr>
          <w:color w:val="000000" w:themeColor="text1"/>
          <w:lang w:eastAsia="en-GB"/>
        </w:rPr>
        <w:t xml:space="preserve">owned properties. </w:t>
      </w:r>
    </w:p>
    <w:p w14:paraId="6AD1D3C6" w14:textId="1BED0ADA" w:rsidR="00D422B1" w:rsidRPr="00D6259F" w:rsidRDefault="00D422B1" w:rsidP="00982334">
      <w:pPr>
        <w:pStyle w:val="Heading3"/>
      </w:pPr>
      <w:bookmarkStart w:id="70" w:name="_Toc121217090"/>
      <w:r w:rsidRPr="00D6259F">
        <w:t>Relevant significant accounting policies</w:t>
      </w:r>
      <w:bookmarkEnd w:id="70"/>
    </w:p>
    <w:p w14:paraId="0EB638C3" w14:textId="6C4C9288" w:rsidR="00D422B1" w:rsidRPr="00D6259F" w:rsidRDefault="00D422B1" w:rsidP="002C2C45">
      <w:pPr>
        <w:pStyle w:val="Heading5"/>
        <w:rPr>
          <w:color w:val="000000" w:themeColor="text1"/>
        </w:rPr>
      </w:pPr>
      <w:r w:rsidRPr="00D6259F">
        <w:rPr>
          <w:color w:val="000000" w:themeColor="text1"/>
        </w:rPr>
        <w:t>Grants</w:t>
      </w:r>
    </w:p>
    <w:p w14:paraId="7FAC3E9E" w14:textId="421949AD" w:rsidR="00D422B1" w:rsidRPr="00D6259F" w:rsidRDefault="00D422B1" w:rsidP="00982334">
      <w:pPr>
        <w:rPr>
          <w:color w:val="000000" w:themeColor="text1"/>
          <w:lang w:eastAsia="en-GB"/>
        </w:rPr>
      </w:pPr>
      <w:r w:rsidRPr="00D6259F">
        <w:rPr>
          <w:color w:val="000000" w:themeColor="text1"/>
          <w:lang w:eastAsia="en-GB"/>
        </w:rPr>
        <w:t xml:space="preserve">Expenditure is classified as a grant </w:t>
      </w:r>
      <w:r w:rsidR="004634B9" w:rsidRPr="00D6259F">
        <w:rPr>
          <w:color w:val="000000" w:themeColor="text1"/>
          <w:lang w:eastAsia="en-GB"/>
        </w:rPr>
        <w:t>(</w:t>
      </w:r>
      <w:r w:rsidRPr="00D6259F">
        <w:rPr>
          <w:color w:val="000000" w:themeColor="text1"/>
          <w:lang w:eastAsia="en-GB"/>
        </w:rPr>
        <w:t>or sponsorship</w:t>
      </w:r>
      <w:r w:rsidR="004634B9" w:rsidRPr="00D6259F">
        <w:rPr>
          <w:color w:val="000000" w:themeColor="text1"/>
          <w:lang w:eastAsia="en-GB"/>
        </w:rPr>
        <w:t>)</w:t>
      </w:r>
      <w:r w:rsidRPr="00D6259F">
        <w:rPr>
          <w:color w:val="000000" w:themeColor="text1"/>
          <w:lang w:eastAsia="en-GB"/>
        </w:rPr>
        <w:t xml:space="preserve"> if it results in a transfer of resources (</w:t>
      </w:r>
      <w:r w:rsidR="00196734" w:rsidRPr="00D6259F">
        <w:rPr>
          <w:color w:val="000000" w:themeColor="text1"/>
          <w:lang w:eastAsia="en-GB"/>
        </w:rPr>
        <w:t xml:space="preserve">for example, </w:t>
      </w:r>
      <w:r w:rsidRPr="00D6259F">
        <w:rPr>
          <w:color w:val="000000" w:themeColor="text1"/>
          <w:lang w:eastAsia="en-GB"/>
        </w:rPr>
        <w:t>cash or physical assets) to another entity or individual in return for compliance with certain conditions relating to the operating activities of that entity. It includes any expenditure arising from a funding arrangement with another entity that has been entered into to achieve the objectives of the Council. Grants and sponsorships are distinct from donations</w:t>
      </w:r>
      <w:r w:rsidR="001965A9" w:rsidRPr="00D6259F">
        <w:rPr>
          <w:color w:val="000000" w:themeColor="text1"/>
          <w:lang w:eastAsia="en-GB"/>
        </w:rPr>
        <w:t>,</w:t>
      </w:r>
      <w:r w:rsidRPr="00D6259F">
        <w:rPr>
          <w:color w:val="000000" w:themeColor="text1"/>
          <w:lang w:eastAsia="en-GB"/>
        </w:rPr>
        <w:t xml:space="preserve"> which are discretionary or charitable gifts. Where grants and sponsorships are discretionary until payment, the expense is recognised when the payment is made. Otherwise, the expense is recognised when the specified criteria have been fulfilled.</w:t>
      </w:r>
    </w:p>
    <w:p w14:paraId="0DEB32EE" w14:textId="77777777" w:rsidR="00D422B1" w:rsidRPr="00D6259F" w:rsidRDefault="00D422B1" w:rsidP="002C2C45">
      <w:pPr>
        <w:pStyle w:val="Heading5"/>
        <w:rPr>
          <w:color w:val="000000" w:themeColor="text1"/>
        </w:rPr>
      </w:pPr>
      <w:r w:rsidRPr="00D6259F">
        <w:rPr>
          <w:color w:val="000000" w:themeColor="text1"/>
        </w:rPr>
        <w:t>Cost allocation</w:t>
      </w:r>
    </w:p>
    <w:p w14:paraId="18A82242" w14:textId="4D8B00F8" w:rsidR="006967ED" w:rsidRPr="00D6259F" w:rsidRDefault="00D422B1" w:rsidP="006967ED">
      <w:pPr>
        <w:rPr>
          <w:color w:val="000000" w:themeColor="text1"/>
          <w:lang w:eastAsia="en-GB"/>
        </w:rPr>
      </w:pPr>
      <w:r w:rsidRPr="00D6259F">
        <w:rPr>
          <w:color w:val="000000" w:themeColor="text1"/>
          <w:lang w:eastAsia="en-GB"/>
        </w:rPr>
        <w:t xml:space="preserve">The Council has </w:t>
      </w:r>
      <w:r w:rsidR="00781E1D" w:rsidRPr="00D6259F">
        <w:rPr>
          <w:color w:val="000000" w:themeColor="text1"/>
          <w:lang w:eastAsia="en-GB"/>
        </w:rPr>
        <w:t>disclosed the applications of operating and capital funding</w:t>
      </w:r>
      <w:r w:rsidRPr="00D6259F">
        <w:rPr>
          <w:color w:val="000000" w:themeColor="text1"/>
          <w:lang w:eastAsia="en-GB"/>
        </w:rPr>
        <w:t xml:space="preserve"> for each significant activity (as reported within the Statements of Service Performance</w:t>
      </w:r>
      <w:r w:rsidR="006967ED" w:rsidRPr="00D6259F">
        <w:rPr>
          <w:color w:val="000000" w:themeColor="text1"/>
          <w:lang w:eastAsia="en-GB"/>
        </w:rPr>
        <w:t xml:space="preserve">, </w:t>
      </w:r>
      <w:r w:rsidR="004540A9" w:rsidRPr="00D6259F">
        <w:rPr>
          <w:color w:val="000000" w:themeColor="text1"/>
          <w:lang w:eastAsia="en-GB"/>
        </w:rPr>
        <w:t>f</w:t>
      </w:r>
      <w:r w:rsidR="006967ED" w:rsidRPr="00D6259F">
        <w:rPr>
          <w:color w:val="000000" w:themeColor="text1"/>
          <w:lang w:eastAsia="en-GB"/>
        </w:rPr>
        <w:t xml:space="preserve">or further information – refer to Section 4: Our performance in detail (Volume 1, pages </w:t>
      </w:r>
      <w:r w:rsidR="00215DF4" w:rsidRPr="00D6259F">
        <w:rPr>
          <w:color w:val="000000" w:themeColor="text1"/>
          <w:lang w:eastAsia="en-GB"/>
        </w:rPr>
        <w:t>36</w:t>
      </w:r>
      <w:r w:rsidR="006967ED" w:rsidRPr="00D6259F">
        <w:rPr>
          <w:color w:val="000000" w:themeColor="text1"/>
          <w:lang w:eastAsia="en-GB"/>
        </w:rPr>
        <w:t xml:space="preserve"> to </w:t>
      </w:r>
      <w:r w:rsidR="00215DF4" w:rsidRPr="00D6259F">
        <w:rPr>
          <w:color w:val="000000" w:themeColor="text1"/>
          <w:lang w:eastAsia="en-GB"/>
        </w:rPr>
        <w:t>134</w:t>
      </w:r>
      <w:r w:rsidR="006967ED" w:rsidRPr="00D6259F">
        <w:rPr>
          <w:color w:val="000000" w:themeColor="text1"/>
          <w:lang w:eastAsia="en-GB"/>
        </w:rPr>
        <w:t>).</w:t>
      </w:r>
    </w:p>
    <w:p w14:paraId="130D8DEF" w14:textId="660BA836" w:rsidR="00D422B1" w:rsidRPr="00D6259F" w:rsidRDefault="00D422B1" w:rsidP="00982334">
      <w:pPr>
        <w:rPr>
          <w:color w:val="000000" w:themeColor="text1"/>
          <w:lang w:eastAsia="en-GB"/>
        </w:rPr>
      </w:pPr>
      <w:r w:rsidRPr="00D6259F">
        <w:rPr>
          <w:color w:val="000000" w:themeColor="text1"/>
          <w:lang w:eastAsia="en-GB"/>
        </w:rPr>
        <w:t xml:space="preserve">Direct costs are expensed directly to the activity. Indirect costs relate to the overall costs of running the organisation and include staff time, office space and information technology costs. These indirect costs are allocated as overheads across all </w:t>
      </w:r>
      <w:r w:rsidR="00595A8F" w:rsidRPr="00D6259F">
        <w:rPr>
          <w:color w:val="000000" w:themeColor="text1"/>
          <w:lang w:eastAsia="en-GB"/>
        </w:rPr>
        <w:t>activities.</w:t>
      </w:r>
    </w:p>
    <w:p w14:paraId="0A0AC984" w14:textId="4121B8FD" w:rsidR="00D422B1" w:rsidRPr="00D6259F" w:rsidRDefault="00D422B1" w:rsidP="002C2C45">
      <w:pPr>
        <w:pStyle w:val="Heading5"/>
        <w:rPr>
          <w:color w:val="000000" w:themeColor="text1"/>
        </w:rPr>
      </w:pPr>
      <w:r w:rsidRPr="00D6259F">
        <w:rPr>
          <w:color w:val="000000" w:themeColor="text1"/>
        </w:rPr>
        <w:t xml:space="preserve">Research and </w:t>
      </w:r>
      <w:proofErr w:type="gramStart"/>
      <w:r w:rsidR="002D6017" w:rsidRPr="00D6259F">
        <w:rPr>
          <w:color w:val="000000" w:themeColor="text1"/>
        </w:rPr>
        <w:t>d</w:t>
      </w:r>
      <w:r w:rsidRPr="00D6259F">
        <w:rPr>
          <w:color w:val="000000" w:themeColor="text1"/>
        </w:rPr>
        <w:t>evelopment</w:t>
      </w:r>
      <w:proofErr w:type="gramEnd"/>
    </w:p>
    <w:p w14:paraId="5AE18F90" w14:textId="77777777" w:rsidR="00D422B1" w:rsidRPr="00D6259F" w:rsidRDefault="00D422B1" w:rsidP="006B2295">
      <w:pPr>
        <w:rPr>
          <w:color w:val="000000" w:themeColor="text1"/>
          <w:lang w:eastAsia="en-GB"/>
        </w:rPr>
      </w:pPr>
      <w:r w:rsidRPr="00D6259F">
        <w:rPr>
          <w:color w:val="000000" w:themeColor="text1"/>
          <w:lang w:eastAsia="en-GB"/>
        </w:rPr>
        <w:t>Research costs are expensed as incurred. Development expenditure on individual projects is capitalised and recognised as an asset when it meets the definition and criteria for capitalisation as an asset and it is probable that the Council will receive future economic benefits from the asset. Assets which have finite lives are stated at cost less accumulated amortisation and are amortised on a straight-line basis over their useful lives.</w:t>
      </w:r>
    </w:p>
    <w:p w14:paraId="73E56DF0" w14:textId="77777777" w:rsidR="00D422B1" w:rsidRPr="00D6259F" w:rsidRDefault="00D422B1" w:rsidP="00982334">
      <w:pPr>
        <w:pStyle w:val="Heading2"/>
      </w:pPr>
      <w:bookmarkStart w:id="71" w:name="_Toc55482649"/>
      <w:bookmarkStart w:id="72" w:name="_Toc179890292"/>
      <w:bookmarkEnd w:id="67"/>
      <w:r w:rsidRPr="00D6259F">
        <w:lastRenderedPageBreak/>
        <w:t xml:space="preserve">Note 8: Depreciation and </w:t>
      </w:r>
      <w:proofErr w:type="gramStart"/>
      <w:r w:rsidRPr="00D6259F">
        <w:t>amortisation</w:t>
      </w:r>
      <w:bookmarkEnd w:id="71"/>
      <w:bookmarkEnd w:id="72"/>
      <w:proofErr w:type="gramEnd"/>
    </w:p>
    <w:p w14:paraId="43B79230" w14:textId="60B3DEC3" w:rsidR="00C31A4A" w:rsidRPr="00D6259F" w:rsidRDefault="000F20D8" w:rsidP="00002AB8">
      <w:pPr>
        <w:rPr>
          <w:color w:val="000000" w:themeColor="text1"/>
          <w:lang w:eastAsia="en-NZ"/>
        </w:rPr>
      </w:pPr>
      <w:r w:rsidRPr="00D6259F">
        <w:rPr>
          <w:noProof/>
          <w:color w:val="000000" w:themeColor="text1"/>
          <w:lang w:eastAsia="en-GB"/>
        </w:rPr>
        <w:object w:dxaOrig="10215" w:dyaOrig="5985" w14:anchorId="0CF10D18">
          <v:shape id="_x0000_i1036" type="#_x0000_t75" style="width:495pt;height:303pt" o:ole="">
            <v:imagedata r:id="rId33" o:title=""/>
          </v:shape>
          <o:OLEObject Type="Link" ProgID="Excel.Sheet.12" ShapeID="_x0000_i1036" DrawAspect="Content" r:id="rId34" UpdateMode="Always">
            <o:LinkType>EnhancedMetaFile</o:LinkType>
            <o:LockedField>false</o:LockedField>
          </o:OLEObject>
        </w:object>
      </w:r>
    </w:p>
    <w:p w14:paraId="74701AF8" w14:textId="269B8998" w:rsidR="00D422B1" w:rsidRPr="00D6259F" w:rsidRDefault="00D422B1" w:rsidP="00982334">
      <w:pPr>
        <w:rPr>
          <w:color w:val="000000" w:themeColor="text1"/>
          <w:lang w:eastAsia="en-GB"/>
        </w:rPr>
      </w:pPr>
      <w:r w:rsidRPr="00D6259F">
        <w:rPr>
          <w:color w:val="000000" w:themeColor="text1"/>
          <w:lang w:eastAsia="en-GB"/>
        </w:rPr>
        <w:t xml:space="preserve">Depreciation </w:t>
      </w:r>
      <w:r w:rsidR="00CB0158" w:rsidRPr="00D6259F">
        <w:rPr>
          <w:color w:val="000000" w:themeColor="text1"/>
          <w:lang w:eastAsia="en-GB"/>
        </w:rPr>
        <w:t xml:space="preserve">and </w:t>
      </w:r>
      <w:r w:rsidRPr="00D6259F">
        <w:rPr>
          <w:color w:val="000000" w:themeColor="text1"/>
          <w:lang w:eastAsia="en-GB"/>
        </w:rPr>
        <w:t>amortisation</w:t>
      </w:r>
      <w:r w:rsidR="00CB0158" w:rsidRPr="00D6259F">
        <w:rPr>
          <w:color w:val="000000" w:themeColor="text1"/>
          <w:lang w:eastAsia="en-GB"/>
        </w:rPr>
        <w:t xml:space="preserve"> </w:t>
      </w:r>
      <w:r w:rsidRPr="00D6259F">
        <w:rPr>
          <w:color w:val="000000" w:themeColor="text1"/>
          <w:lang w:eastAsia="en-GB"/>
        </w:rPr>
        <w:t>expense</w:t>
      </w:r>
      <w:r w:rsidR="00CB0158" w:rsidRPr="00D6259F">
        <w:rPr>
          <w:color w:val="000000" w:themeColor="text1"/>
          <w:lang w:eastAsia="en-GB"/>
        </w:rPr>
        <w:t>s</w:t>
      </w:r>
      <w:r w:rsidRPr="00D6259F">
        <w:rPr>
          <w:color w:val="000000" w:themeColor="text1"/>
          <w:lang w:eastAsia="en-GB"/>
        </w:rPr>
        <w:t xml:space="preserve"> </w:t>
      </w:r>
      <w:r w:rsidR="005024C3" w:rsidRPr="00D6259F">
        <w:rPr>
          <w:color w:val="000000" w:themeColor="text1"/>
          <w:lang w:eastAsia="en-GB"/>
        </w:rPr>
        <w:t xml:space="preserve">are </w:t>
      </w:r>
      <w:r w:rsidRPr="00D6259F">
        <w:rPr>
          <w:color w:val="000000" w:themeColor="text1"/>
          <w:lang w:eastAsia="en-GB"/>
        </w:rPr>
        <w:t>charged each year to reflect the estimated cost of using assets over their lives. Amortisation relates to ‘intangible’ assets such as software (as distinct from physical assets, which are covered by the term depreciation).</w:t>
      </w:r>
    </w:p>
    <w:p w14:paraId="0BC78CA4" w14:textId="77777777" w:rsidR="00D422B1" w:rsidRPr="00D6259F" w:rsidRDefault="00D422B1" w:rsidP="00982334">
      <w:pPr>
        <w:pStyle w:val="Heading3"/>
      </w:pPr>
      <w:bookmarkStart w:id="73" w:name="_Toc121217092"/>
      <w:r w:rsidRPr="00D6259F">
        <w:t>Relevant significant accounting policies</w:t>
      </w:r>
      <w:bookmarkEnd w:id="73"/>
    </w:p>
    <w:p w14:paraId="016B1C77" w14:textId="77777777" w:rsidR="00D422B1" w:rsidRPr="00D6259F" w:rsidRDefault="00D422B1" w:rsidP="002C2C45">
      <w:pPr>
        <w:pStyle w:val="Heading5"/>
        <w:rPr>
          <w:color w:val="000000" w:themeColor="text1"/>
        </w:rPr>
      </w:pPr>
      <w:r w:rsidRPr="00D6259F">
        <w:rPr>
          <w:color w:val="000000" w:themeColor="text1"/>
        </w:rPr>
        <w:t>Depreciation</w:t>
      </w:r>
    </w:p>
    <w:p w14:paraId="052FAD24" w14:textId="087CEEFE" w:rsidR="00D422B1" w:rsidRPr="00D6259F" w:rsidRDefault="00D422B1" w:rsidP="00982334">
      <w:pPr>
        <w:rPr>
          <w:color w:val="000000" w:themeColor="text1"/>
          <w:lang w:eastAsia="en-GB"/>
        </w:rPr>
      </w:pPr>
      <w:r w:rsidRPr="00D6259F">
        <w:rPr>
          <w:color w:val="000000" w:themeColor="text1"/>
          <w:lang w:eastAsia="en-GB"/>
        </w:rPr>
        <w:t xml:space="preserve">Depreciation is provided on all property, </w:t>
      </w:r>
      <w:proofErr w:type="gramStart"/>
      <w:r w:rsidRPr="00D6259F">
        <w:rPr>
          <w:color w:val="000000" w:themeColor="text1"/>
          <w:lang w:eastAsia="en-GB"/>
        </w:rPr>
        <w:t>plant</w:t>
      </w:r>
      <w:proofErr w:type="gramEnd"/>
      <w:r w:rsidRPr="00D6259F">
        <w:rPr>
          <w:color w:val="000000" w:themeColor="text1"/>
          <w:lang w:eastAsia="en-GB"/>
        </w:rPr>
        <w:t xml:space="preserve"> and equipment, with certain exceptions. The exceptions are land, restricted assets other than buildings, </w:t>
      </w:r>
      <w:r w:rsidR="001C4032" w:rsidRPr="00D6259F">
        <w:rPr>
          <w:color w:val="000000" w:themeColor="text1"/>
          <w:lang w:eastAsia="en-GB"/>
        </w:rPr>
        <w:t>investment pr</w:t>
      </w:r>
      <w:r w:rsidR="006934D3" w:rsidRPr="00D6259F">
        <w:rPr>
          <w:color w:val="000000" w:themeColor="text1"/>
          <w:lang w:eastAsia="en-GB"/>
        </w:rPr>
        <w:t xml:space="preserve">operties </w:t>
      </w:r>
      <w:r w:rsidRPr="00D6259F">
        <w:rPr>
          <w:color w:val="000000" w:themeColor="text1"/>
          <w:lang w:eastAsia="en-GB"/>
        </w:rPr>
        <w:t xml:space="preserve">and assets under construction (work in progress). Depreciation is calculated on a straight-line basis, to allocate the cost or value of the asset (less any assessed residual value) over its </w:t>
      </w:r>
      <w:r w:rsidR="00CB0158" w:rsidRPr="00D6259F">
        <w:rPr>
          <w:color w:val="000000" w:themeColor="text1"/>
          <w:lang w:eastAsia="en-GB"/>
        </w:rPr>
        <w:t>estimated</w:t>
      </w:r>
      <w:r w:rsidR="006934D3" w:rsidRPr="00D6259F">
        <w:rPr>
          <w:color w:val="000000" w:themeColor="text1"/>
          <w:lang w:eastAsia="en-GB"/>
        </w:rPr>
        <w:t xml:space="preserve"> </w:t>
      </w:r>
      <w:r w:rsidRPr="00D6259F">
        <w:rPr>
          <w:color w:val="000000" w:themeColor="text1"/>
          <w:lang w:eastAsia="en-GB"/>
        </w:rPr>
        <w:t>useful life (</w:t>
      </w:r>
      <w:r w:rsidR="00226733" w:rsidRPr="00D6259F">
        <w:rPr>
          <w:color w:val="000000" w:themeColor="text1"/>
          <w:lang w:eastAsia="en-GB"/>
        </w:rPr>
        <w:t>s</w:t>
      </w:r>
      <w:r w:rsidRPr="00D6259F">
        <w:rPr>
          <w:color w:val="000000" w:themeColor="text1"/>
          <w:lang w:eastAsia="en-GB"/>
        </w:rPr>
        <w:t xml:space="preserve">ee </w:t>
      </w:r>
      <w:r w:rsidRPr="00D6259F">
        <w:rPr>
          <w:i/>
          <w:iCs/>
          <w:color w:val="000000" w:themeColor="text1"/>
          <w:lang w:eastAsia="en-GB"/>
        </w:rPr>
        <w:t>Table</w:t>
      </w:r>
      <w:r w:rsidRPr="00D6259F">
        <w:rPr>
          <w:color w:val="000000" w:themeColor="text1"/>
          <w:lang w:eastAsia="en-GB"/>
        </w:rPr>
        <w:t xml:space="preserve"> </w:t>
      </w:r>
      <w:r w:rsidR="00D127B4" w:rsidRPr="00D6259F">
        <w:rPr>
          <w:color w:val="000000" w:themeColor="text1"/>
          <w:lang w:eastAsia="en-GB"/>
        </w:rPr>
        <w:t>12</w:t>
      </w:r>
      <w:r w:rsidRPr="00D6259F">
        <w:rPr>
          <w:color w:val="000000" w:themeColor="text1"/>
          <w:lang w:eastAsia="en-GB"/>
        </w:rPr>
        <w:t>)</w:t>
      </w:r>
      <w:r w:rsidR="00F1606E" w:rsidRPr="00D6259F">
        <w:rPr>
          <w:color w:val="000000" w:themeColor="text1"/>
          <w:lang w:eastAsia="en-GB"/>
        </w:rPr>
        <w:t>.</w:t>
      </w:r>
    </w:p>
    <w:p w14:paraId="1112027E" w14:textId="181F4DAE" w:rsidR="005B7B7E" w:rsidRPr="00D6259F" w:rsidRDefault="005B7B7E" w:rsidP="005B7B7E">
      <w:pPr>
        <w:rPr>
          <w:color w:val="000000" w:themeColor="text1"/>
          <w:lang w:eastAsia="en-GB"/>
        </w:rPr>
      </w:pPr>
      <w:r w:rsidRPr="00D6259F">
        <w:rPr>
          <w:color w:val="000000" w:themeColor="text1"/>
          <w:lang w:eastAsia="en-GB"/>
        </w:rPr>
        <w:t>The landfill post</w:t>
      </w:r>
      <w:r w:rsidR="005024C3" w:rsidRPr="00D6259F">
        <w:rPr>
          <w:color w:val="000000" w:themeColor="text1"/>
          <w:lang w:eastAsia="en-GB"/>
        </w:rPr>
        <w:t>-</w:t>
      </w:r>
      <w:r w:rsidRPr="00D6259F">
        <w:rPr>
          <w:color w:val="000000" w:themeColor="text1"/>
          <w:lang w:eastAsia="en-GB"/>
        </w:rPr>
        <w:t>closure asset is depreciated over the life of the landfill based on the capacity of the landfill</w:t>
      </w:r>
      <w:r w:rsidR="00A37325" w:rsidRPr="00D6259F">
        <w:rPr>
          <w:color w:val="000000" w:themeColor="text1"/>
          <w:lang w:eastAsia="en-GB"/>
        </w:rPr>
        <w:t xml:space="preserve"> utilised.</w:t>
      </w:r>
    </w:p>
    <w:p w14:paraId="7AF65486" w14:textId="77777777" w:rsidR="008B4226" w:rsidRPr="00D6259F" w:rsidRDefault="008B4226" w:rsidP="008B4226">
      <w:pPr>
        <w:pStyle w:val="Heading5"/>
        <w:rPr>
          <w:color w:val="000000" w:themeColor="text1"/>
        </w:rPr>
      </w:pPr>
      <w:r w:rsidRPr="00D6259F">
        <w:rPr>
          <w:color w:val="000000" w:themeColor="text1"/>
        </w:rPr>
        <w:t>Amortisation</w:t>
      </w:r>
    </w:p>
    <w:p w14:paraId="571594D1" w14:textId="10D5D655" w:rsidR="008B4226" w:rsidRPr="00D6259F" w:rsidRDefault="007965B0" w:rsidP="008B4226">
      <w:pPr>
        <w:rPr>
          <w:color w:val="000000" w:themeColor="text1"/>
          <w:lang w:eastAsia="en-GB"/>
        </w:rPr>
      </w:pPr>
      <w:r w:rsidRPr="00D6259F">
        <w:rPr>
          <w:color w:val="000000" w:themeColor="text1"/>
          <w:lang w:eastAsia="en-GB"/>
        </w:rPr>
        <w:t xml:space="preserve">Amortisation begins when the asset is available for use and ceases at the date the asset is derecognised. </w:t>
      </w:r>
      <w:r w:rsidR="006934D3" w:rsidRPr="00D6259F">
        <w:rPr>
          <w:color w:val="000000" w:themeColor="text1"/>
          <w:lang w:eastAsia="en-GB"/>
        </w:rPr>
        <w:t xml:space="preserve">The carrying value of an intangible asset with a finite life is amortised on a straight-line basis over its </w:t>
      </w:r>
      <w:r w:rsidR="00CB0158" w:rsidRPr="00D6259F">
        <w:rPr>
          <w:color w:val="000000" w:themeColor="text1"/>
          <w:lang w:eastAsia="en-GB"/>
        </w:rPr>
        <w:t>estimated</w:t>
      </w:r>
      <w:r w:rsidR="006934D3" w:rsidRPr="00D6259F">
        <w:rPr>
          <w:color w:val="000000" w:themeColor="text1"/>
          <w:lang w:eastAsia="en-GB"/>
        </w:rPr>
        <w:t xml:space="preserve"> useful life (</w:t>
      </w:r>
      <w:r w:rsidR="00226733" w:rsidRPr="00D6259F">
        <w:rPr>
          <w:color w:val="000000" w:themeColor="text1"/>
          <w:lang w:eastAsia="en-GB"/>
        </w:rPr>
        <w:t>s</w:t>
      </w:r>
      <w:r w:rsidR="006934D3" w:rsidRPr="00D6259F">
        <w:rPr>
          <w:color w:val="000000" w:themeColor="text1"/>
          <w:lang w:eastAsia="en-GB"/>
        </w:rPr>
        <w:t xml:space="preserve">ee </w:t>
      </w:r>
      <w:r w:rsidR="006934D3" w:rsidRPr="00D6259F">
        <w:rPr>
          <w:i/>
          <w:iCs/>
          <w:color w:val="000000" w:themeColor="text1"/>
          <w:lang w:eastAsia="en-GB"/>
        </w:rPr>
        <w:t xml:space="preserve">Table </w:t>
      </w:r>
      <w:r w:rsidR="00D127B4" w:rsidRPr="00D6259F">
        <w:rPr>
          <w:i/>
          <w:iCs/>
          <w:color w:val="000000" w:themeColor="text1"/>
          <w:lang w:eastAsia="en-GB"/>
        </w:rPr>
        <w:t>13</w:t>
      </w:r>
      <w:r w:rsidR="006934D3" w:rsidRPr="00D6259F">
        <w:rPr>
          <w:color w:val="000000" w:themeColor="text1"/>
          <w:lang w:eastAsia="en-GB"/>
        </w:rPr>
        <w:t>).</w:t>
      </w:r>
    </w:p>
    <w:p w14:paraId="43DB37B8" w14:textId="5D5FFC04" w:rsidR="00D422B1" w:rsidRPr="00D6259F" w:rsidRDefault="000F20D8" w:rsidP="00002AB8">
      <w:pPr>
        <w:rPr>
          <w:color w:val="000000" w:themeColor="text1"/>
        </w:rPr>
      </w:pPr>
      <w:r w:rsidRPr="00D6259F">
        <w:rPr>
          <w:noProof/>
          <w:color w:val="000000" w:themeColor="text1"/>
        </w:rPr>
        <w:object w:dxaOrig="9465" w:dyaOrig="9795" w14:anchorId="02AA812A">
          <v:shape id="_x0000_i1037" type="#_x0000_t75" style="width:497pt;height:496pt" o:ole="">
            <v:imagedata r:id="rId35" o:title=""/>
          </v:shape>
          <o:OLEObject Type="Link" ProgID="Excel.Sheet.12" ShapeID="_x0000_i1037" DrawAspect="Content" r:id="rId36" UpdateMode="Always">
            <o:LinkType>EnhancedMetaFile</o:LinkType>
            <o:LockedField>false</o:LockedField>
          </o:OLEObject>
        </w:object>
      </w:r>
    </w:p>
    <w:p w14:paraId="4BF5637D" w14:textId="77777777" w:rsidR="008B4226" w:rsidRPr="00D6259F" w:rsidRDefault="008B4226" w:rsidP="00982334">
      <w:pPr>
        <w:rPr>
          <w:color w:val="000000" w:themeColor="text1"/>
        </w:rPr>
      </w:pPr>
      <w:r w:rsidRPr="00D6259F">
        <w:rPr>
          <w:color w:val="000000" w:themeColor="text1"/>
        </w:rPr>
        <w:t>A small number of assets will have lives that extend past the range indicated above.</w:t>
      </w:r>
    </w:p>
    <w:p w14:paraId="1FF67D7E" w14:textId="2A4FC5E2" w:rsidR="00D422B1" w:rsidRPr="00D6259F" w:rsidRDefault="00D422B1" w:rsidP="00982334">
      <w:pPr>
        <w:rPr>
          <w:color w:val="000000" w:themeColor="text1"/>
        </w:rPr>
      </w:pPr>
      <w:r w:rsidRPr="00D6259F">
        <w:rPr>
          <w:color w:val="000000" w:themeColor="text1"/>
        </w:rPr>
        <w:t xml:space="preserve">The variation in the </w:t>
      </w:r>
      <w:r w:rsidR="00CB0158" w:rsidRPr="00D6259F">
        <w:rPr>
          <w:color w:val="000000" w:themeColor="text1"/>
        </w:rPr>
        <w:t xml:space="preserve">estimated </w:t>
      </w:r>
      <w:r w:rsidR="004F1655" w:rsidRPr="00D6259F">
        <w:rPr>
          <w:color w:val="000000" w:themeColor="text1"/>
        </w:rPr>
        <w:t xml:space="preserve">useful </w:t>
      </w:r>
      <w:r w:rsidRPr="00D6259F">
        <w:rPr>
          <w:color w:val="000000" w:themeColor="text1"/>
        </w:rPr>
        <w:t>lives for infrastructur</w:t>
      </w:r>
      <w:r w:rsidR="00F12921" w:rsidRPr="00D6259F">
        <w:rPr>
          <w:color w:val="000000" w:themeColor="text1"/>
        </w:rPr>
        <w:t>e</w:t>
      </w:r>
      <w:r w:rsidRPr="00D6259F">
        <w:rPr>
          <w:color w:val="000000" w:themeColor="text1"/>
        </w:rPr>
        <w:t xml:space="preserve"> assets is due to these assets being managed and depreciated by individual component rather than as a whole asset.</w:t>
      </w:r>
    </w:p>
    <w:p w14:paraId="4E38FE66" w14:textId="024304D8" w:rsidR="00D422B1" w:rsidRPr="00D6259F" w:rsidRDefault="000F20D8" w:rsidP="006B2295">
      <w:pPr>
        <w:rPr>
          <w:noProof/>
          <w:color w:val="000000" w:themeColor="text1"/>
        </w:rPr>
      </w:pPr>
      <w:r w:rsidRPr="00D6259F">
        <w:rPr>
          <w:noProof/>
          <w:color w:val="000000" w:themeColor="text1"/>
        </w:rPr>
        <w:object w:dxaOrig="9465" w:dyaOrig="2010" w14:anchorId="0421A9B8">
          <v:shape id="_x0000_i1038" type="#_x0000_t75" style="width:497pt;height:100pt" o:ole="">
            <v:imagedata r:id="rId37" o:title=""/>
          </v:shape>
          <o:OLEObject Type="Link" ProgID="Excel.Sheet.12" ShapeID="_x0000_i1038" DrawAspect="Content" r:id="rId38" UpdateMode="Always">
            <o:LinkType>EnhancedMetaFile</o:LinkType>
            <o:LockedField>false</o:LockedField>
          </o:OLEObject>
        </w:object>
      </w:r>
    </w:p>
    <w:p w14:paraId="229640E8" w14:textId="34207F2E" w:rsidR="00D422B1" w:rsidRPr="00D6259F" w:rsidRDefault="00D422B1" w:rsidP="00982334">
      <w:pPr>
        <w:pStyle w:val="Heading2"/>
      </w:pPr>
      <w:bookmarkStart w:id="74" w:name="_Toc55482650"/>
      <w:bookmarkStart w:id="75" w:name="_Toc179890293"/>
      <w:r w:rsidRPr="00D6259F">
        <w:lastRenderedPageBreak/>
        <w:t>Note 9: Share of associates’ and joint venture’s surplus</w:t>
      </w:r>
      <w:r w:rsidR="0019572B" w:rsidRPr="00D6259F">
        <w:t>/(</w:t>
      </w:r>
      <w:r w:rsidRPr="00D6259F">
        <w:t>deficit</w:t>
      </w:r>
      <w:bookmarkEnd w:id="74"/>
      <w:r w:rsidR="0019572B" w:rsidRPr="00D6259F">
        <w:t>)</w:t>
      </w:r>
      <w:bookmarkEnd w:id="75"/>
    </w:p>
    <w:p w14:paraId="606C2F8E" w14:textId="71CC8D4D" w:rsidR="006D2E07" w:rsidRPr="00D6259F" w:rsidRDefault="000F20D8" w:rsidP="00982334">
      <w:pPr>
        <w:rPr>
          <w:color w:val="000000" w:themeColor="text1"/>
        </w:rPr>
      </w:pPr>
      <w:r w:rsidRPr="00D6259F">
        <w:rPr>
          <w:noProof/>
          <w:color w:val="000000" w:themeColor="text1"/>
        </w:rPr>
        <w:object w:dxaOrig="9735" w:dyaOrig="3615" w14:anchorId="0C4EB2C9">
          <v:shape id="_x0000_i1039" type="#_x0000_t75" style="width:461pt;height:194pt" o:ole="">
            <v:imagedata r:id="rId39" o:title=""/>
          </v:shape>
          <o:OLEObject Type="Link" ProgID="Excel.Sheet.12" ShapeID="_x0000_i1039" DrawAspect="Content" r:id="rId40" UpdateMode="Always">
            <o:LinkType>EnhancedMetaFile</o:LinkType>
            <o:LockedField>false</o:LockedField>
          </o:OLEObject>
        </w:object>
      </w:r>
    </w:p>
    <w:p w14:paraId="3169461C" w14:textId="4B344217" w:rsidR="00D422B1" w:rsidRPr="00D6259F" w:rsidRDefault="00D422B1" w:rsidP="00982334">
      <w:pPr>
        <w:rPr>
          <w:color w:val="000000" w:themeColor="text1"/>
        </w:rPr>
      </w:pPr>
      <w:r w:rsidRPr="00D6259F">
        <w:rPr>
          <w:color w:val="000000" w:themeColor="text1"/>
        </w:rPr>
        <w:t xml:space="preserve">Further information on the cost and value of the above investments is found in </w:t>
      </w:r>
      <w:r w:rsidRPr="00D6259F">
        <w:rPr>
          <w:i/>
          <w:iCs/>
          <w:color w:val="000000" w:themeColor="text1"/>
        </w:rPr>
        <w:t>Note 2</w:t>
      </w:r>
      <w:r w:rsidR="00340807" w:rsidRPr="00D6259F">
        <w:rPr>
          <w:i/>
          <w:iCs/>
          <w:color w:val="000000" w:themeColor="text1"/>
        </w:rPr>
        <w:t>1</w:t>
      </w:r>
      <w:r w:rsidRPr="00D6259F">
        <w:rPr>
          <w:i/>
          <w:iCs/>
          <w:color w:val="000000" w:themeColor="text1"/>
        </w:rPr>
        <w:t xml:space="preserve">: Investments in </w:t>
      </w:r>
      <w:r w:rsidR="00F12921" w:rsidRPr="00D6259F">
        <w:rPr>
          <w:i/>
          <w:iCs/>
          <w:color w:val="000000" w:themeColor="text1"/>
        </w:rPr>
        <w:t>a</w:t>
      </w:r>
      <w:r w:rsidRPr="00D6259F">
        <w:rPr>
          <w:i/>
          <w:iCs/>
          <w:color w:val="000000" w:themeColor="text1"/>
        </w:rPr>
        <w:t xml:space="preserve">ssociates and </w:t>
      </w:r>
      <w:r w:rsidR="00F12921" w:rsidRPr="00D6259F">
        <w:rPr>
          <w:i/>
          <w:iCs/>
          <w:color w:val="000000" w:themeColor="text1"/>
        </w:rPr>
        <w:t>j</w:t>
      </w:r>
      <w:r w:rsidRPr="00D6259F">
        <w:rPr>
          <w:i/>
          <w:iCs/>
          <w:color w:val="000000" w:themeColor="text1"/>
        </w:rPr>
        <w:t xml:space="preserve">oint </w:t>
      </w:r>
      <w:r w:rsidR="00F12921" w:rsidRPr="00D6259F">
        <w:rPr>
          <w:i/>
          <w:iCs/>
          <w:color w:val="000000" w:themeColor="text1"/>
        </w:rPr>
        <w:t>v</w:t>
      </w:r>
      <w:r w:rsidRPr="00D6259F">
        <w:rPr>
          <w:i/>
          <w:iCs/>
          <w:color w:val="000000" w:themeColor="text1"/>
        </w:rPr>
        <w:t>enture</w:t>
      </w:r>
      <w:r w:rsidRPr="00D6259F">
        <w:rPr>
          <w:color w:val="000000" w:themeColor="text1"/>
        </w:rPr>
        <w:t xml:space="preserve"> (</w:t>
      </w:r>
      <w:r w:rsidR="006F6060" w:rsidRPr="00D6259F">
        <w:rPr>
          <w:color w:val="000000" w:themeColor="text1"/>
        </w:rPr>
        <w:t>page</w:t>
      </w:r>
      <w:r w:rsidR="008207AB" w:rsidRPr="00D6259F">
        <w:rPr>
          <w:color w:val="000000" w:themeColor="text1"/>
        </w:rPr>
        <w:t xml:space="preserve"> </w:t>
      </w:r>
      <w:r w:rsidR="00D127B4" w:rsidRPr="00D6259F">
        <w:rPr>
          <w:color w:val="000000" w:themeColor="text1"/>
        </w:rPr>
        <w:t>62</w:t>
      </w:r>
      <w:r w:rsidRPr="00D6259F">
        <w:rPr>
          <w:color w:val="000000" w:themeColor="text1"/>
        </w:rPr>
        <w:t>).</w:t>
      </w:r>
    </w:p>
    <w:p w14:paraId="6B9D37D5" w14:textId="77777777" w:rsidR="00D422B1" w:rsidRPr="00D6259F" w:rsidRDefault="00D422B1" w:rsidP="00982334">
      <w:pPr>
        <w:pStyle w:val="Heading2"/>
      </w:pPr>
      <w:bookmarkStart w:id="76" w:name="_Toc55482651"/>
      <w:bookmarkStart w:id="77" w:name="_Toc179890294"/>
      <w:r w:rsidRPr="00D6259F">
        <w:t xml:space="preserve">Note 10: Income </w:t>
      </w:r>
      <w:proofErr w:type="gramStart"/>
      <w:r w:rsidRPr="00D6259F">
        <w:t>tax</w:t>
      </w:r>
      <w:bookmarkEnd w:id="76"/>
      <w:bookmarkEnd w:id="77"/>
      <w:proofErr w:type="gramEnd"/>
      <w:r w:rsidRPr="00D6259F">
        <w:t xml:space="preserve"> </w:t>
      </w:r>
    </w:p>
    <w:p w14:paraId="1D582A3A" w14:textId="6023AFED" w:rsidR="00DD33AC" w:rsidRPr="00D6259F" w:rsidRDefault="000F20D8" w:rsidP="00DD33AC">
      <w:pPr>
        <w:rPr>
          <w:color w:val="000000" w:themeColor="text1"/>
        </w:rPr>
      </w:pPr>
      <w:r w:rsidRPr="00D6259F">
        <w:rPr>
          <w:color w:val="000000" w:themeColor="text1"/>
        </w:rPr>
        <w:object w:dxaOrig="11280" w:dyaOrig="6015" w14:anchorId="187937DA">
          <v:shape id="_x0000_i1040" type="#_x0000_t75" style="width:460pt;height:294pt" o:ole="">
            <v:imagedata r:id="rId41" o:title=""/>
          </v:shape>
          <o:OLEObject Type="Link" ProgID="Excel.Sheet.12" ShapeID="_x0000_i1040" DrawAspect="Content" r:id="rId42" UpdateMode="Always">
            <o:LinkType>EnhancedMetaFile</o:LinkType>
            <o:LockedField>false</o:LockedField>
          </o:OLEObject>
        </w:object>
      </w:r>
    </w:p>
    <w:p w14:paraId="44D94216" w14:textId="7FB6E89F" w:rsidR="00DD33AC" w:rsidRPr="00D6259F" w:rsidRDefault="000F20D8" w:rsidP="00DD33AC">
      <w:pPr>
        <w:rPr>
          <w:color w:val="000000" w:themeColor="text1"/>
        </w:rPr>
      </w:pPr>
      <w:r w:rsidRPr="00D6259F">
        <w:rPr>
          <w:noProof/>
          <w:color w:val="000000" w:themeColor="text1"/>
        </w:rPr>
        <w:object w:dxaOrig="11280" w:dyaOrig="4215" w14:anchorId="0CA6EDD2">
          <v:shape id="_x0000_i1041" type="#_x0000_t75" style="width:454pt;height:204pt" o:ole="">
            <v:imagedata r:id="rId43" o:title=""/>
          </v:shape>
          <o:OLEObject Type="Link" ProgID="Excel.Sheet.12" ShapeID="_x0000_i1041" DrawAspect="Content" r:id="rId44" UpdateMode="Always">
            <o:LinkType>EnhancedMetaFile</o:LinkType>
            <o:LockedField>false</o:LockedField>
          </o:OLEObject>
        </w:object>
      </w:r>
    </w:p>
    <w:p w14:paraId="27FC6D23" w14:textId="77777777" w:rsidR="00D422B1" w:rsidRPr="00D6259F" w:rsidRDefault="00D422B1" w:rsidP="00982334">
      <w:pPr>
        <w:pStyle w:val="Heading3"/>
      </w:pPr>
      <w:bookmarkStart w:id="78" w:name="_Toc121217096"/>
      <w:r w:rsidRPr="00D6259F">
        <w:t>Relevant significant accounting policies</w:t>
      </w:r>
      <w:bookmarkEnd w:id="78"/>
    </w:p>
    <w:p w14:paraId="63F97C59" w14:textId="0C06D957" w:rsidR="004039F9" w:rsidRPr="00D6259F" w:rsidRDefault="0050196D" w:rsidP="00704FA9">
      <w:pPr>
        <w:rPr>
          <w:color w:val="000000" w:themeColor="text1"/>
          <w:lang w:eastAsia="en-GB"/>
        </w:rPr>
      </w:pPr>
      <w:r w:rsidRPr="00D6259F">
        <w:rPr>
          <w:color w:val="000000" w:themeColor="text1"/>
          <w:lang w:eastAsia="en-GB"/>
        </w:rPr>
        <w:t xml:space="preserve">The </w:t>
      </w:r>
      <w:r w:rsidR="00D422B1" w:rsidRPr="00D6259F">
        <w:rPr>
          <w:color w:val="000000" w:themeColor="text1"/>
          <w:lang w:eastAsia="en-GB"/>
        </w:rPr>
        <w:t xml:space="preserve">Council, as a local authority is only liable for income tax on the surplus or deficit for the year derived from any </w:t>
      </w:r>
      <w:r w:rsidR="00D15DA8" w:rsidRPr="00D6259F">
        <w:rPr>
          <w:color w:val="000000" w:themeColor="text1"/>
          <w:lang w:eastAsia="en-GB"/>
        </w:rPr>
        <w:t>C</w:t>
      </w:r>
      <w:r w:rsidR="00D422B1" w:rsidRPr="00D6259F">
        <w:rPr>
          <w:color w:val="000000" w:themeColor="text1"/>
          <w:lang w:eastAsia="en-GB"/>
        </w:rPr>
        <w:t>ouncil-controlled trading organisations. Other members of the</w:t>
      </w:r>
      <w:r w:rsidR="006020F7" w:rsidRPr="00D6259F">
        <w:rPr>
          <w:color w:val="000000" w:themeColor="text1"/>
          <w:lang w:eastAsia="en-GB"/>
        </w:rPr>
        <w:t xml:space="preserve"> Group</w:t>
      </w:r>
      <w:r w:rsidR="00D422B1" w:rsidRPr="00D6259F">
        <w:rPr>
          <w:color w:val="000000" w:themeColor="text1"/>
          <w:lang w:eastAsia="en-GB"/>
        </w:rPr>
        <w:t xml:space="preserve"> are subject to normal taxation unless they have tax exempt status as charitable trusts.</w:t>
      </w:r>
      <w:r w:rsidR="00DC65DF" w:rsidRPr="00D6259F">
        <w:rPr>
          <w:color w:val="000000" w:themeColor="text1"/>
          <w:lang w:eastAsia="en-GB"/>
        </w:rPr>
        <w:t xml:space="preserve">  </w:t>
      </w:r>
      <w:r w:rsidR="00D422B1" w:rsidRPr="00D6259F">
        <w:rPr>
          <w:color w:val="000000" w:themeColor="text1"/>
          <w:lang w:eastAsia="en-GB"/>
        </w:rPr>
        <w:t>Income tax expense includes components relating to both current tax and deferred tax.</w:t>
      </w:r>
      <w:r w:rsidR="00DC65DF" w:rsidRPr="00D6259F">
        <w:rPr>
          <w:color w:val="000000" w:themeColor="text1"/>
          <w:lang w:eastAsia="en-GB"/>
        </w:rPr>
        <w:t xml:space="preserve">  </w:t>
      </w:r>
      <w:r w:rsidR="00D422B1" w:rsidRPr="00D6259F">
        <w:rPr>
          <w:color w:val="000000" w:themeColor="text1"/>
          <w:lang w:eastAsia="en-GB"/>
        </w:rPr>
        <w:t>Current tax is the expected tax payable on the taxable income for the year, using tax rates enacted or substantively enacted at the end of the reporting period, plus any adjustment to tax payable in respect of previous periods</w:t>
      </w:r>
      <w:bookmarkStart w:id="79" w:name="OLE_LINK2"/>
      <w:r w:rsidR="00426362" w:rsidRPr="00D6259F">
        <w:rPr>
          <w:color w:val="000000" w:themeColor="text1"/>
          <w:lang w:eastAsia="en-GB"/>
        </w:rPr>
        <w:t>.</w:t>
      </w:r>
      <w:r w:rsidR="004039F9" w:rsidRPr="00D6259F">
        <w:rPr>
          <w:color w:val="000000" w:themeColor="text1"/>
          <w:lang w:eastAsia="en-GB"/>
        </w:rPr>
        <w:br w:type="page"/>
      </w:r>
    </w:p>
    <w:p w14:paraId="75244888" w14:textId="77777777" w:rsidR="00CF6E05" w:rsidRPr="00D6259F" w:rsidRDefault="00D422B1" w:rsidP="00D6259F">
      <w:pPr>
        <w:pStyle w:val="Heading1"/>
      </w:pPr>
      <w:bookmarkStart w:id="80" w:name="_Toc55482652"/>
      <w:bookmarkStart w:id="81" w:name="_Toc61862885"/>
      <w:bookmarkStart w:id="82" w:name="_Toc179890295"/>
      <w:r w:rsidRPr="00D6259F">
        <w:lastRenderedPageBreak/>
        <w:t>Statement of Financial Position</w:t>
      </w:r>
      <w:bookmarkEnd w:id="80"/>
      <w:bookmarkEnd w:id="81"/>
      <w:bookmarkEnd w:id="82"/>
    </w:p>
    <w:bookmarkEnd w:id="79"/>
    <w:p w14:paraId="0750E1D0" w14:textId="5E694A23" w:rsidR="005B757A" w:rsidRPr="00D6259F" w:rsidRDefault="000F20D8" w:rsidP="008F275A">
      <w:pPr>
        <w:rPr>
          <w:noProof/>
          <w:color w:val="000000" w:themeColor="text1"/>
        </w:rPr>
      </w:pPr>
      <w:r w:rsidRPr="00D6259F">
        <w:rPr>
          <w:noProof/>
          <w:color w:val="000000" w:themeColor="text1"/>
        </w:rPr>
        <w:object w:dxaOrig="12555" w:dyaOrig="14355" w14:anchorId="39692645">
          <v:shape id="_x0000_i1042" type="#_x0000_t75" style="width:509pt;height:9in" o:ole="">
            <v:imagedata r:id="rId45" o:title=""/>
          </v:shape>
          <o:OLEObject Type="Link" ProgID="Excel.Sheet.12" ShapeID="_x0000_i1042" DrawAspect="Content" r:id="rId46" UpdateMode="Always">
            <o:LinkType>EnhancedMetaFile</o:LinkType>
            <o:LockedField>false</o:LockedField>
          </o:OLEObject>
        </w:object>
      </w:r>
    </w:p>
    <w:p w14:paraId="5C5B2751" w14:textId="17F2B0DA" w:rsidR="00F30824" w:rsidRPr="00D6259F" w:rsidRDefault="00E774B5" w:rsidP="008F275A">
      <w:pPr>
        <w:rPr>
          <w:color w:val="000000" w:themeColor="text1"/>
          <w:sz w:val="20"/>
          <w:szCs w:val="20"/>
          <w:lang w:eastAsia="en-NZ"/>
        </w:rPr>
      </w:pPr>
      <w:r w:rsidRPr="00D6259F">
        <w:rPr>
          <w:color w:val="000000" w:themeColor="text1"/>
          <w:sz w:val="20"/>
          <w:szCs w:val="20"/>
          <w:lang w:eastAsia="en-NZ"/>
        </w:rPr>
        <w:t xml:space="preserve">The notes on </w:t>
      </w:r>
      <w:r w:rsidR="00A568AA" w:rsidRPr="00D6259F">
        <w:rPr>
          <w:color w:val="000000" w:themeColor="text1"/>
          <w:sz w:val="20"/>
          <w:szCs w:val="20"/>
          <w:lang w:eastAsia="en-NZ"/>
        </w:rPr>
        <w:t>page</w:t>
      </w:r>
      <w:r w:rsidRPr="00D6259F">
        <w:rPr>
          <w:color w:val="000000" w:themeColor="text1"/>
          <w:sz w:val="20"/>
          <w:szCs w:val="20"/>
          <w:lang w:eastAsia="en-NZ"/>
        </w:rPr>
        <w:t xml:space="preserve"> </w:t>
      </w:r>
      <w:r w:rsidR="00D127B4" w:rsidRPr="00D6259F">
        <w:rPr>
          <w:color w:val="000000" w:themeColor="text1"/>
          <w:sz w:val="20"/>
          <w:szCs w:val="20"/>
          <w:lang w:eastAsia="en-NZ"/>
        </w:rPr>
        <w:t>14</w:t>
      </w:r>
      <w:r w:rsidRPr="00D6259F">
        <w:rPr>
          <w:color w:val="000000" w:themeColor="text1"/>
          <w:sz w:val="20"/>
          <w:szCs w:val="20"/>
          <w:lang w:eastAsia="en-NZ"/>
        </w:rPr>
        <w:t xml:space="preserve"> to </w:t>
      </w:r>
      <w:r w:rsidR="00D127B4" w:rsidRPr="00D6259F">
        <w:rPr>
          <w:color w:val="000000" w:themeColor="text1"/>
          <w:sz w:val="20"/>
          <w:szCs w:val="20"/>
          <w:lang w:eastAsia="en-NZ"/>
        </w:rPr>
        <w:t>122</w:t>
      </w:r>
      <w:r w:rsidR="00D11EE8" w:rsidRPr="00D6259F">
        <w:rPr>
          <w:color w:val="000000" w:themeColor="text1"/>
          <w:sz w:val="20"/>
          <w:szCs w:val="20"/>
          <w:lang w:eastAsia="en-NZ"/>
        </w:rPr>
        <w:t xml:space="preserve"> </w:t>
      </w:r>
      <w:r w:rsidRPr="00D6259F">
        <w:rPr>
          <w:color w:val="000000" w:themeColor="text1"/>
          <w:sz w:val="20"/>
          <w:szCs w:val="20"/>
          <w:lang w:eastAsia="en-NZ"/>
        </w:rPr>
        <w:t xml:space="preserve">form part of and should be read in conjunction with the financial </w:t>
      </w:r>
      <w:r w:rsidR="000E7DB6" w:rsidRPr="00D6259F">
        <w:rPr>
          <w:color w:val="000000" w:themeColor="text1"/>
          <w:sz w:val="20"/>
          <w:szCs w:val="20"/>
          <w:lang w:eastAsia="en-NZ"/>
        </w:rPr>
        <w:t>statements</w:t>
      </w:r>
      <w:bookmarkStart w:id="83" w:name="_Toc55482654"/>
      <w:r w:rsidR="00BE7970" w:rsidRPr="00D6259F">
        <w:rPr>
          <w:color w:val="000000" w:themeColor="text1"/>
          <w:sz w:val="20"/>
          <w:szCs w:val="20"/>
          <w:lang w:eastAsia="en-NZ"/>
        </w:rPr>
        <w:t>.</w:t>
      </w:r>
    </w:p>
    <w:p w14:paraId="4A81535A" w14:textId="71C3CE91" w:rsidR="00EE4D74" w:rsidRPr="00D6259F" w:rsidRDefault="000F20D8" w:rsidP="008F275A">
      <w:pPr>
        <w:rPr>
          <w:color w:val="000000" w:themeColor="text1"/>
        </w:rPr>
      </w:pPr>
      <w:r w:rsidRPr="00D6259F">
        <w:rPr>
          <w:b/>
          <w:bCs/>
          <w:color w:val="000000" w:themeColor="text1"/>
          <w:lang w:eastAsia="en-NZ"/>
        </w:rPr>
        <w:object w:dxaOrig="12555" w:dyaOrig="1230" w14:anchorId="4112BEFF">
          <v:shape id="_x0000_i1043" type="#_x0000_t75" style="width:509pt;height:65pt" o:ole="">
            <v:imagedata r:id="rId47" o:title=""/>
          </v:shape>
          <o:OLEObject Type="Link" ProgID="Excel.Sheet.12" ShapeID="_x0000_i1043" DrawAspect="Content" r:id="rId48" UpdateMode="Always">
            <o:LinkType>EnhancedMetaFile</o:LinkType>
            <o:LockedField>false</o:LockedField>
          </o:OLEObject>
        </w:object>
      </w:r>
      <w:r w:rsidRPr="00D6259F">
        <w:rPr>
          <w:b/>
          <w:bCs/>
          <w:color w:val="000000" w:themeColor="text1"/>
          <w:lang w:eastAsia="en-NZ"/>
        </w:rPr>
        <w:object w:dxaOrig="12555" w:dyaOrig="4140" w14:anchorId="35E58966">
          <v:shape id="_x0000_i1044" type="#_x0000_t75" style="width:509pt;height:209pt" o:ole="">
            <v:imagedata r:id="rId49" o:title=""/>
          </v:shape>
          <o:OLEObject Type="Link" ProgID="Excel.Sheet.12" ShapeID="_x0000_i1044" DrawAspect="Content" r:id="rId50" UpdateMode="Always">
            <o:LinkType>EnhancedMetaFile</o:LinkType>
            <o:LockedField>false</o:LockedField>
          </o:OLEObject>
        </w:object>
      </w:r>
    </w:p>
    <w:p w14:paraId="6124523F" w14:textId="2BE57F4D" w:rsidR="00CA7DEB" w:rsidRPr="00D6259F" w:rsidRDefault="00CA7DEB" w:rsidP="00CA7DEB">
      <w:pPr>
        <w:rPr>
          <w:color w:val="000000" w:themeColor="text1"/>
          <w:sz w:val="20"/>
          <w:szCs w:val="20"/>
          <w:lang w:eastAsia="en-NZ"/>
        </w:rPr>
      </w:pPr>
      <w:r w:rsidRPr="00D6259F">
        <w:rPr>
          <w:color w:val="000000" w:themeColor="text1"/>
          <w:sz w:val="20"/>
          <w:szCs w:val="20"/>
          <w:lang w:eastAsia="en-NZ"/>
        </w:rPr>
        <w:t xml:space="preserve">The notes on page </w:t>
      </w:r>
      <w:r w:rsidR="00D127B4" w:rsidRPr="00D6259F">
        <w:rPr>
          <w:color w:val="000000" w:themeColor="text1"/>
          <w:sz w:val="20"/>
          <w:szCs w:val="20"/>
          <w:lang w:eastAsia="en-NZ"/>
        </w:rPr>
        <w:t>14</w:t>
      </w:r>
      <w:r w:rsidRPr="00D6259F">
        <w:rPr>
          <w:color w:val="000000" w:themeColor="text1"/>
          <w:sz w:val="20"/>
          <w:szCs w:val="20"/>
          <w:lang w:eastAsia="en-NZ"/>
        </w:rPr>
        <w:t xml:space="preserve"> to </w:t>
      </w:r>
      <w:r w:rsidR="00D127B4" w:rsidRPr="00D6259F">
        <w:rPr>
          <w:color w:val="000000" w:themeColor="text1"/>
          <w:sz w:val="20"/>
          <w:szCs w:val="20"/>
          <w:lang w:eastAsia="en-NZ"/>
        </w:rPr>
        <w:t>122</w:t>
      </w:r>
      <w:r w:rsidRPr="00D6259F">
        <w:rPr>
          <w:color w:val="000000" w:themeColor="text1"/>
          <w:sz w:val="20"/>
          <w:szCs w:val="20"/>
          <w:lang w:eastAsia="en-NZ"/>
        </w:rPr>
        <w:t xml:space="preserve"> form part of and should be read in conjunction with the financial statements.</w:t>
      </w:r>
    </w:p>
    <w:p w14:paraId="014A2D9D" w14:textId="77777777" w:rsidR="006A5EB3" w:rsidRPr="00D6259F" w:rsidRDefault="006A5EB3" w:rsidP="00391BA5">
      <w:pPr>
        <w:pStyle w:val="Heading2"/>
        <w:rPr>
          <w:rFonts w:eastAsiaTheme="minorEastAsia" w:cs="Calibri"/>
          <w:sz w:val="40"/>
          <w:lang w:eastAsia="en-NZ"/>
        </w:rPr>
      </w:pPr>
    </w:p>
    <w:p w14:paraId="46905C65" w14:textId="386E79FA" w:rsidR="00D422B1" w:rsidRPr="00D6259F" w:rsidRDefault="00D422B1" w:rsidP="00391BA5">
      <w:pPr>
        <w:pStyle w:val="Heading2"/>
        <w:rPr>
          <w:rFonts w:eastAsiaTheme="minorEastAsia" w:cs="Calibri"/>
          <w:sz w:val="40"/>
          <w:lang w:eastAsia="en-NZ"/>
        </w:rPr>
      </w:pPr>
      <w:bookmarkStart w:id="84" w:name="_Toc179890296"/>
      <w:r w:rsidRPr="00D6259F">
        <w:rPr>
          <w:rFonts w:eastAsiaTheme="minorEastAsia" w:cs="Calibri"/>
          <w:sz w:val="40"/>
          <w:lang w:eastAsia="en-NZ"/>
        </w:rPr>
        <w:t>Statement of Financial Position - Major budget variations</w:t>
      </w:r>
      <w:bookmarkEnd w:id="83"/>
      <w:bookmarkEnd w:id="84"/>
    </w:p>
    <w:p w14:paraId="26E35BC1" w14:textId="6757BD09" w:rsidR="00E10616" w:rsidRPr="00D6259F" w:rsidRDefault="00E10616" w:rsidP="00E10616">
      <w:pPr>
        <w:rPr>
          <w:color w:val="000000" w:themeColor="text1"/>
          <w:lang w:eastAsia="en-NZ"/>
        </w:rPr>
      </w:pPr>
      <w:bookmarkStart w:id="85" w:name="_Hlk147133888"/>
      <w:r w:rsidRPr="00D6259F">
        <w:rPr>
          <w:color w:val="000000" w:themeColor="text1"/>
          <w:lang w:eastAsia="en-NZ"/>
        </w:rPr>
        <w:t xml:space="preserve">Budget figures are for </w:t>
      </w:r>
      <w:r w:rsidR="00E20D58" w:rsidRPr="00D6259F">
        <w:rPr>
          <w:color w:val="000000" w:themeColor="text1"/>
          <w:lang w:eastAsia="en-NZ"/>
        </w:rPr>
        <w:t xml:space="preserve">the </w:t>
      </w:r>
      <w:r w:rsidRPr="00D6259F">
        <w:rPr>
          <w:color w:val="000000" w:themeColor="text1"/>
          <w:lang w:eastAsia="en-NZ"/>
        </w:rPr>
        <w:t>Council only and not the</w:t>
      </w:r>
      <w:r w:rsidR="006020F7" w:rsidRPr="00D6259F">
        <w:rPr>
          <w:color w:val="000000" w:themeColor="text1"/>
          <w:lang w:eastAsia="en-NZ"/>
        </w:rPr>
        <w:t xml:space="preserve"> Group</w:t>
      </w:r>
      <w:r w:rsidRPr="00D6259F">
        <w:rPr>
          <w:color w:val="000000" w:themeColor="text1"/>
          <w:lang w:eastAsia="en-NZ"/>
        </w:rPr>
        <w:t>.</w:t>
      </w:r>
    </w:p>
    <w:bookmarkEnd w:id="85"/>
    <w:p w14:paraId="2B356982" w14:textId="77777777" w:rsidR="00D422B1" w:rsidRPr="00D6259F" w:rsidRDefault="00D422B1" w:rsidP="00AE48DD">
      <w:pPr>
        <w:pStyle w:val="Heading4"/>
      </w:pPr>
      <w:r w:rsidRPr="00D6259F">
        <w:t>Significant variations from budget are as follows:</w:t>
      </w:r>
    </w:p>
    <w:p w14:paraId="213A73E9" w14:textId="77777777" w:rsidR="005B757A" w:rsidRPr="00D6259F" w:rsidRDefault="005B757A" w:rsidP="008F275A">
      <w:pPr>
        <w:spacing w:after="0"/>
        <w:rPr>
          <w:color w:val="000000" w:themeColor="text1"/>
        </w:rPr>
      </w:pPr>
      <w:bookmarkStart w:id="86" w:name="_Toc55482655"/>
    </w:p>
    <w:p w14:paraId="46685AB3" w14:textId="4415D3B6" w:rsidR="008F275A" w:rsidRPr="00D6259F" w:rsidRDefault="008F275A" w:rsidP="008F275A">
      <w:pPr>
        <w:spacing w:after="0"/>
        <w:rPr>
          <w:color w:val="000000" w:themeColor="text1"/>
        </w:rPr>
      </w:pPr>
      <w:r w:rsidRPr="00D6259F">
        <w:rPr>
          <w:color w:val="000000" w:themeColor="text1"/>
        </w:rPr>
        <w:t>Current assets were $</w:t>
      </w:r>
      <w:r w:rsidR="00B83C13" w:rsidRPr="00D6259F">
        <w:rPr>
          <w:color w:val="000000" w:themeColor="text1"/>
        </w:rPr>
        <w:t>2</w:t>
      </w:r>
      <w:r w:rsidR="003F7F60" w:rsidRPr="00D6259F">
        <w:rPr>
          <w:color w:val="000000" w:themeColor="text1"/>
        </w:rPr>
        <w:t>3.5</w:t>
      </w:r>
      <w:r w:rsidR="00404156" w:rsidRPr="00D6259F">
        <w:rPr>
          <w:color w:val="000000" w:themeColor="text1"/>
        </w:rPr>
        <w:t xml:space="preserve">m higher than </w:t>
      </w:r>
      <w:r w:rsidRPr="00D6259F">
        <w:rPr>
          <w:color w:val="000000" w:themeColor="text1"/>
        </w:rPr>
        <w:t xml:space="preserve">budget. The major variances included: </w:t>
      </w:r>
    </w:p>
    <w:p w14:paraId="7CC5301D" w14:textId="77777777" w:rsidR="00381F45" w:rsidRPr="00D6259F" w:rsidRDefault="00381F45" w:rsidP="00381F45">
      <w:pPr>
        <w:spacing w:after="0"/>
        <w:ind w:left="360"/>
        <w:rPr>
          <w:color w:val="000000" w:themeColor="text1"/>
        </w:rPr>
      </w:pPr>
    </w:p>
    <w:p w14:paraId="1ADAC4A2" w14:textId="57EE7C61" w:rsidR="00381F45" w:rsidRPr="00D6259F" w:rsidRDefault="00381F45" w:rsidP="00BB0BEE">
      <w:pPr>
        <w:pStyle w:val="ListParagraph"/>
        <w:numPr>
          <w:ilvl w:val="0"/>
          <w:numId w:val="43"/>
        </w:numPr>
        <w:spacing w:after="0"/>
        <w:rPr>
          <w:color w:val="000000" w:themeColor="text1"/>
        </w:rPr>
      </w:pPr>
      <w:r w:rsidRPr="00D6259F">
        <w:rPr>
          <w:color w:val="000000" w:themeColor="text1"/>
        </w:rPr>
        <w:t>Cash and cash equivalents were $31.5m higher and receivables and recoverables were $</w:t>
      </w:r>
      <w:r w:rsidR="00B83C13" w:rsidRPr="00D6259F">
        <w:rPr>
          <w:color w:val="000000" w:themeColor="text1"/>
        </w:rPr>
        <w:t>22.6</w:t>
      </w:r>
      <w:r w:rsidRPr="00D6259F">
        <w:rPr>
          <w:color w:val="000000" w:themeColor="text1"/>
        </w:rPr>
        <w:t xml:space="preserve">m higher than budget due to the timing of working capital movements. </w:t>
      </w:r>
    </w:p>
    <w:p w14:paraId="4A8AA580" w14:textId="5A85D992" w:rsidR="00C97A1C" w:rsidRPr="00D6259F" w:rsidRDefault="00381F45" w:rsidP="00BB0BEE">
      <w:pPr>
        <w:pStyle w:val="ListParagraph"/>
        <w:numPr>
          <w:ilvl w:val="0"/>
          <w:numId w:val="43"/>
        </w:numPr>
        <w:spacing w:after="0"/>
        <w:rPr>
          <w:color w:val="000000" w:themeColor="text1"/>
        </w:rPr>
      </w:pPr>
      <w:r w:rsidRPr="00D6259F">
        <w:rPr>
          <w:color w:val="000000" w:themeColor="text1"/>
        </w:rPr>
        <w:t>Other financial assets were $4</w:t>
      </w:r>
      <w:r w:rsidR="003F7F60" w:rsidRPr="00D6259F">
        <w:rPr>
          <w:color w:val="000000" w:themeColor="text1"/>
        </w:rPr>
        <w:t>7.8</w:t>
      </w:r>
      <w:r w:rsidR="00B83C13" w:rsidRPr="00D6259F">
        <w:rPr>
          <w:color w:val="000000" w:themeColor="text1"/>
        </w:rPr>
        <w:t>m</w:t>
      </w:r>
      <w:r w:rsidRPr="00D6259F">
        <w:rPr>
          <w:color w:val="000000" w:themeColor="text1"/>
        </w:rPr>
        <w:t xml:space="preserve"> below budget due to lower amounts of </w:t>
      </w:r>
      <w:r w:rsidR="00C97A1C" w:rsidRPr="00D6259F">
        <w:rPr>
          <w:color w:val="000000" w:themeColor="text1"/>
        </w:rPr>
        <w:t xml:space="preserve">term deposits being held than originally budgeted. </w:t>
      </w:r>
      <w:r w:rsidR="006F255E" w:rsidRPr="00D6259F">
        <w:rPr>
          <w:color w:val="000000" w:themeColor="text1"/>
        </w:rPr>
        <w:t>This is partially offset by higher than budgeted non-current other financial assets of $16.7m.</w:t>
      </w:r>
    </w:p>
    <w:p w14:paraId="19AF7F7E" w14:textId="1B7E6421" w:rsidR="008F275A" w:rsidRPr="00D6259F" w:rsidRDefault="007E391D" w:rsidP="00BB0BEE">
      <w:pPr>
        <w:pStyle w:val="ListParagraph"/>
        <w:numPr>
          <w:ilvl w:val="0"/>
          <w:numId w:val="43"/>
        </w:numPr>
        <w:spacing w:after="0"/>
        <w:rPr>
          <w:color w:val="000000" w:themeColor="text1"/>
        </w:rPr>
      </w:pPr>
      <w:r w:rsidRPr="00D6259F">
        <w:rPr>
          <w:color w:val="000000" w:themeColor="text1"/>
        </w:rPr>
        <w:t xml:space="preserve">Non-current assets held for sale were $9.8m higher than budget due to the </w:t>
      </w:r>
      <w:proofErr w:type="spellStart"/>
      <w:r w:rsidRPr="00D6259F">
        <w:rPr>
          <w:color w:val="000000" w:themeColor="text1"/>
        </w:rPr>
        <w:t>recategori</w:t>
      </w:r>
      <w:r w:rsidR="00B83C13" w:rsidRPr="00D6259F">
        <w:rPr>
          <w:color w:val="000000" w:themeColor="text1"/>
        </w:rPr>
        <w:t>s</w:t>
      </w:r>
      <w:r w:rsidRPr="00D6259F">
        <w:rPr>
          <w:color w:val="000000" w:themeColor="text1"/>
        </w:rPr>
        <w:t>ation</w:t>
      </w:r>
      <w:proofErr w:type="spellEnd"/>
      <w:r w:rsidRPr="00D6259F">
        <w:rPr>
          <w:color w:val="000000" w:themeColor="text1"/>
        </w:rPr>
        <w:t xml:space="preserve"> of housing assets that </w:t>
      </w:r>
      <w:r w:rsidR="00A0793C" w:rsidRPr="00D6259F">
        <w:rPr>
          <w:color w:val="000000" w:themeColor="text1"/>
        </w:rPr>
        <w:t xml:space="preserve">were identified for sale </w:t>
      </w:r>
      <w:r w:rsidRPr="00D6259F">
        <w:rPr>
          <w:color w:val="000000" w:themeColor="text1"/>
        </w:rPr>
        <w:t xml:space="preserve">to Te Toi </w:t>
      </w:r>
      <w:proofErr w:type="spellStart"/>
      <w:r w:rsidRPr="00D6259F">
        <w:rPr>
          <w:color w:val="000000" w:themeColor="text1"/>
        </w:rPr>
        <w:t>Mahana</w:t>
      </w:r>
      <w:proofErr w:type="spellEnd"/>
      <w:r w:rsidR="00653B8B" w:rsidRPr="00D6259F">
        <w:rPr>
          <w:color w:val="000000" w:themeColor="text1"/>
        </w:rPr>
        <w:t>. The sale was completed in September 2024</w:t>
      </w:r>
      <w:r w:rsidRPr="00D6259F">
        <w:rPr>
          <w:color w:val="000000" w:themeColor="text1"/>
        </w:rPr>
        <w:t xml:space="preserve">.    </w:t>
      </w:r>
    </w:p>
    <w:p w14:paraId="7CBAB686" w14:textId="77777777" w:rsidR="008F275A" w:rsidRPr="00D6259F" w:rsidRDefault="008F275A" w:rsidP="008F275A">
      <w:pPr>
        <w:spacing w:after="0"/>
        <w:rPr>
          <w:color w:val="000000" w:themeColor="text1"/>
        </w:rPr>
      </w:pPr>
    </w:p>
    <w:p w14:paraId="21F923E6" w14:textId="37853BAB" w:rsidR="008F275A" w:rsidRPr="00D6259F" w:rsidRDefault="008F275A" w:rsidP="008F275A">
      <w:pPr>
        <w:spacing w:after="0"/>
        <w:rPr>
          <w:color w:val="000000" w:themeColor="text1"/>
        </w:rPr>
      </w:pPr>
      <w:r w:rsidRPr="00D6259F">
        <w:rPr>
          <w:color w:val="000000" w:themeColor="text1"/>
        </w:rPr>
        <w:t>Non-current assets were $</w:t>
      </w:r>
      <w:r w:rsidR="00837EF0" w:rsidRPr="00D6259F">
        <w:rPr>
          <w:color w:val="000000" w:themeColor="text1"/>
        </w:rPr>
        <w:t>328.3m</w:t>
      </w:r>
      <w:r w:rsidR="007E391D" w:rsidRPr="00D6259F">
        <w:rPr>
          <w:color w:val="000000" w:themeColor="text1"/>
        </w:rPr>
        <w:t xml:space="preserve"> higher </w:t>
      </w:r>
      <w:r w:rsidRPr="00D6259F">
        <w:rPr>
          <w:color w:val="000000" w:themeColor="text1"/>
        </w:rPr>
        <w:t xml:space="preserve">than budget. The major variances included: </w:t>
      </w:r>
    </w:p>
    <w:p w14:paraId="26FC015A" w14:textId="77777777" w:rsidR="007E391D" w:rsidRPr="00D6259F" w:rsidRDefault="007E391D" w:rsidP="008F275A">
      <w:pPr>
        <w:spacing w:after="0"/>
        <w:rPr>
          <w:color w:val="000000" w:themeColor="text1"/>
        </w:rPr>
      </w:pPr>
    </w:p>
    <w:p w14:paraId="6F63077D" w14:textId="70C55A56" w:rsidR="00B83C13" w:rsidRPr="00D6259F" w:rsidRDefault="007E391D" w:rsidP="00BB0BEE">
      <w:pPr>
        <w:pStyle w:val="ListParagraph"/>
        <w:numPr>
          <w:ilvl w:val="0"/>
          <w:numId w:val="43"/>
        </w:numPr>
        <w:spacing w:after="0"/>
        <w:rPr>
          <w:color w:val="000000" w:themeColor="text1"/>
        </w:rPr>
      </w:pPr>
      <w:r w:rsidRPr="00D6259F">
        <w:rPr>
          <w:color w:val="000000" w:themeColor="text1"/>
        </w:rPr>
        <w:t xml:space="preserve">Property, </w:t>
      </w:r>
      <w:proofErr w:type="gramStart"/>
      <w:r w:rsidRPr="00D6259F">
        <w:rPr>
          <w:color w:val="000000" w:themeColor="text1"/>
        </w:rPr>
        <w:t>plant</w:t>
      </w:r>
      <w:proofErr w:type="gramEnd"/>
      <w:r w:rsidRPr="00D6259F">
        <w:rPr>
          <w:color w:val="000000" w:themeColor="text1"/>
        </w:rPr>
        <w:t xml:space="preserve"> and equipment were $</w:t>
      </w:r>
      <w:r w:rsidR="00837EF0" w:rsidRPr="00D6259F">
        <w:rPr>
          <w:color w:val="000000" w:themeColor="text1"/>
        </w:rPr>
        <w:t>343.7</w:t>
      </w:r>
      <w:r w:rsidRPr="00D6259F">
        <w:rPr>
          <w:color w:val="000000" w:themeColor="text1"/>
        </w:rPr>
        <w:t>m higher than budget. This is</w:t>
      </w:r>
      <w:r w:rsidR="00B83C13" w:rsidRPr="00D6259F">
        <w:rPr>
          <w:color w:val="000000" w:themeColor="text1"/>
        </w:rPr>
        <w:t xml:space="preserve"> largely</w:t>
      </w:r>
      <w:r w:rsidRPr="00D6259F">
        <w:rPr>
          <w:color w:val="000000" w:themeColor="text1"/>
        </w:rPr>
        <w:t xml:space="preserve"> due </w:t>
      </w:r>
      <w:r w:rsidR="00B83C13" w:rsidRPr="00D6259F">
        <w:rPr>
          <w:color w:val="000000" w:themeColor="text1"/>
        </w:rPr>
        <w:t xml:space="preserve">to </w:t>
      </w:r>
      <w:r w:rsidR="006F255E" w:rsidRPr="00D6259F">
        <w:rPr>
          <w:color w:val="000000" w:themeColor="text1"/>
        </w:rPr>
        <w:t>the</w:t>
      </w:r>
      <w:r w:rsidR="00B83C13" w:rsidRPr="00D6259F">
        <w:rPr>
          <w:color w:val="000000" w:themeColor="text1"/>
        </w:rPr>
        <w:t xml:space="preserve"> impact of the unbudgeted revaluation </w:t>
      </w:r>
      <w:r w:rsidR="00543F5F" w:rsidRPr="00D6259F">
        <w:rPr>
          <w:color w:val="000000" w:themeColor="text1"/>
        </w:rPr>
        <w:t xml:space="preserve">gain on </w:t>
      </w:r>
      <w:r w:rsidR="006F255E" w:rsidRPr="00D6259F">
        <w:rPr>
          <w:color w:val="000000" w:themeColor="text1"/>
        </w:rPr>
        <w:t xml:space="preserve">infrastructure </w:t>
      </w:r>
      <w:r w:rsidR="00B83C13" w:rsidRPr="00D6259F">
        <w:rPr>
          <w:color w:val="000000" w:themeColor="text1"/>
        </w:rPr>
        <w:t>assets</w:t>
      </w:r>
      <w:r w:rsidR="006F255E" w:rsidRPr="00D6259F">
        <w:rPr>
          <w:color w:val="000000" w:themeColor="text1"/>
        </w:rPr>
        <w:t xml:space="preserve">, partially offset by the lower </w:t>
      </w:r>
      <w:r w:rsidR="00B83C13" w:rsidRPr="00D6259F">
        <w:rPr>
          <w:color w:val="000000" w:themeColor="text1"/>
        </w:rPr>
        <w:t xml:space="preserve">capital </w:t>
      </w:r>
      <w:r w:rsidR="00543F5F" w:rsidRPr="00D6259F">
        <w:rPr>
          <w:color w:val="000000" w:themeColor="text1"/>
        </w:rPr>
        <w:t xml:space="preserve">programme delivery </w:t>
      </w:r>
      <w:r w:rsidR="00B83C13" w:rsidRPr="00D6259F">
        <w:rPr>
          <w:color w:val="000000" w:themeColor="text1"/>
        </w:rPr>
        <w:t>compare</w:t>
      </w:r>
      <w:r w:rsidR="006F255E" w:rsidRPr="00D6259F">
        <w:rPr>
          <w:color w:val="000000" w:themeColor="text1"/>
        </w:rPr>
        <w:t>d to</w:t>
      </w:r>
      <w:r w:rsidR="00B83C13" w:rsidRPr="00D6259F">
        <w:rPr>
          <w:color w:val="000000" w:themeColor="text1"/>
        </w:rPr>
        <w:t xml:space="preserve"> budget. </w:t>
      </w:r>
    </w:p>
    <w:p w14:paraId="412C674C" w14:textId="29A62CD1" w:rsidR="006F255E" w:rsidRPr="00D6259F" w:rsidRDefault="007E391D" w:rsidP="00BB0BEE">
      <w:pPr>
        <w:pStyle w:val="ListParagraph"/>
        <w:numPr>
          <w:ilvl w:val="0"/>
          <w:numId w:val="43"/>
        </w:numPr>
        <w:spacing w:after="0"/>
        <w:rPr>
          <w:color w:val="000000" w:themeColor="text1"/>
        </w:rPr>
      </w:pPr>
      <w:r w:rsidRPr="00D6259F">
        <w:rPr>
          <w:color w:val="000000" w:themeColor="text1"/>
        </w:rPr>
        <w:lastRenderedPageBreak/>
        <w:t xml:space="preserve">Investment properties were $28.2m lower than budget. This is due to </w:t>
      </w:r>
      <w:r w:rsidR="00BD0CF1" w:rsidRPr="00D6259F">
        <w:rPr>
          <w:color w:val="000000" w:themeColor="text1"/>
        </w:rPr>
        <w:t xml:space="preserve">a decrease </w:t>
      </w:r>
      <w:r w:rsidR="006F255E" w:rsidRPr="00D6259F">
        <w:rPr>
          <w:color w:val="000000" w:themeColor="text1"/>
        </w:rPr>
        <w:t>in fair value from the investment properties revaluation. The budget had assumed an increase in fair value on revaluation</w:t>
      </w:r>
      <w:r w:rsidR="00BD0CF1" w:rsidRPr="00D6259F">
        <w:rPr>
          <w:color w:val="000000" w:themeColor="text1"/>
        </w:rPr>
        <w:t xml:space="preserve">. </w:t>
      </w:r>
    </w:p>
    <w:p w14:paraId="7B88AB46" w14:textId="5F83B363" w:rsidR="007E391D" w:rsidRPr="00D6259F" w:rsidRDefault="007E391D" w:rsidP="006F255E">
      <w:pPr>
        <w:pStyle w:val="ListParagraph"/>
        <w:spacing w:after="0"/>
        <w:rPr>
          <w:color w:val="000000" w:themeColor="text1"/>
        </w:rPr>
      </w:pPr>
    </w:p>
    <w:p w14:paraId="1D536E19" w14:textId="77777777" w:rsidR="008F275A" w:rsidRPr="00D6259F" w:rsidRDefault="008F275A" w:rsidP="008F275A">
      <w:pPr>
        <w:spacing w:after="0"/>
        <w:rPr>
          <w:color w:val="000000" w:themeColor="text1"/>
        </w:rPr>
      </w:pPr>
    </w:p>
    <w:p w14:paraId="24B364D0" w14:textId="648AADCA" w:rsidR="008F275A" w:rsidRPr="00D6259F" w:rsidRDefault="008F275A" w:rsidP="008F275A">
      <w:pPr>
        <w:spacing w:after="0"/>
        <w:rPr>
          <w:color w:val="000000" w:themeColor="text1"/>
        </w:rPr>
      </w:pPr>
      <w:r w:rsidRPr="00D6259F">
        <w:rPr>
          <w:color w:val="000000" w:themeColor="text1"/>
        </w:rPr>
        <w:t>Total liabilities were $</w:t>
      </w:r>
      <w:r w:rsidR="007E391D" w:rsidRPr="00D6259F">
        <w:rPr>
          <w:color w:val="000000" w:themeColor="text1"/>
        </w:rPr>
        <w:t>10</w:t>
      </w:r>
      <w:r w:rsidR="00BD0CF1" w:rsidRPr="00D6259F">
        <w:rPr>
          <w:color w:val="000000" w:themeColor="text1"/>
        </w:rPr>
        <w:t>3.4</w:t>
      </w:r>
      <w:r w:rsidR="007E391D" w:rsidRPr="00D6259F">
        <w:rPr>
          <w:color w:val="000000" w:themeColor="text1"/>
        </w:rPr>
        <w:t xml:space="preserve">m </w:t>
      </w:r>
      <w:r w:rsidR="00742355" w:rsidRPr="00D6259F">
        <w:rPr>
          <w:color w:val="000000" w:themeColor="text1"/>
        </w:rPr>
        <w:t xml:space="preserve">lower </w:t>
      </w:r>
      <w:r w:rsidRPr="00D6259F">
        <w:rPr>
          <w:color w:val="000000" w:themeColor="text1"/>
        </w:rPr>
        <w:t>than budget. The major variances included:</w:t>
      </w:r>
    </w:p>
    <w:p w14:paraId="5A2076C8" w14:textId="77777777" w:rsidR="00742355" w:rsidRPr="00D6259F" w:rsidRDefault="00742355" w:rsidP="008F275A">
      <w:pPr>
        <w:spacing w:after="0"/>
        <w:rPr>
          <w:color w:val="000000" w:themeColor="text1"/>
        </w:rPr>
      </w:pPr>
    </w:p>
    <w:p w14:paraId="65EF2F4E" w14:textId="77777777" w:rsidR="00742355" w:rsidRPr="00D6259F" w:rsidRDefault="00742355" w:rsidP="00BB0BEE">
      <w:pPr>
        <w:pStyle w:val="ListParagraph"/>
        <w:numPr>
          <w:ilvl w:val="0"/>
          <w:numId w:val="43"/>
        </w:numPr>
        <w:spacing w:after="0"/>
        <w:rPr>
          <w:color w:val="000000" w:themeColor="text1"/>
        </w:rPr>
      </w:pPr>
      <w:r w:rsidRPr="00D6259F">
        <w:rPr>
          <w:color w:val="000000" w:themeColor="text1"/>
        </w:rPr>
        <w:t>Total borrowings were $124.9m lower than budget. This is due to a range of factors including lower capital programme delivery than budget.</w:t>
      </w:r>
    </w:p>
    <w:p w14:paraId="74535440" w14:textId="754F2B53" w:rsidR="008F275A" w:rsidRPr="00D6259F" w:rsidRDefault="00742355" w:rsidP="00BB0BEE">
      <w:pPr>
        <w:pStyle w:val="ListParagraph"/>
        <w:numPr>
          <w:ilvl w:val="0"/>
          <w:numId w:val="43"/>
        </w:numPr>
        <w:spacing w:after="0"/>
        <w:rPr>
          <w:color w:val="000000" w:themeColor="text1"/>
        </w:rPr>
      </w:pPr>
      <w:r w:rsidRPr="00D6259F">
        <w:rPr>
          <w:color w:val="000000" w:themeColor="text1"/>
        </w:rPr>
        <w:t xml:space="preserve">Taxes payable </w:t>
      </w:r>
      <w:proofErr w:type="gramStart"/>
      <w:r w:rsidRPr="00D6259F">
        <w:rPr>
          <w:color w:val="000000" w:themeColor="text1"/>
        </w:rPr>
        <w:t>are</w:t>
      </w:r>
      <w:proofErr w:type="gramEnd"/>
      <w:r w:rsidRPr="00D6259F">
        <w:rPr>
          <w:color w:val="000000" w:themeColor="text1"/>
        </w:rPr>
        <w:t xml:space="preserve"> $14.0m over budget due to the timing of payments</w:t>
      </w:r>
      <w:r w:rsidR="00BD0CF1" w:rsidRPr="00D6259F">
        <w:rPr>
          <w:color w:val="000000" w:themeColor="text1"/>
        </w:rPr>
        <w:t xml:space="preserve">, </w:t>
      </w:r>
      <w:r w:rsidR="006F255E" w:rsidRPr="00D6259F">
        <w:rPr>
          <w:color w:val="000000" w:themeColor="text1"/>
        </w:rPr>
        <w:t>including</w:t>
      </w:r>
      <w:r w:rsidR="00BD0CF1" w:rsidRPr="00D6259F">
        <w:rPr>
          <w:color w:val="000000" w:themeColor="text1"/>
        </w:rPr>
        <w:t xml:space="preserve"> payments </w:t>
      </w:r>
      <w:r w:rsidR="001D3E2B" w:rsidRPr="00D6259F">
        <w:rPr>
          <w:color w:val="000000" w:themeColor="text1"/>
        </w:rPr>
        <w:t>of</w:t>
      </w:r>
      <w:r w:rsidR="00BD0CF1" w:rsidRPr="00D6259F">
        <w:rPr>
          <w:color w:val="000000" w:themeColor="text1"/>
        </w:rPr>
        <w:t xml:space="preserve"> rates to GWRC,</w:t>
      </w:r>
      <w:r w:rsidRPr="00D6259F">
        <w:rPr>
          <w:color w:val="000000" w:themeColor="text1"/>
        </w:rPr>
        <w:t xml:space="preserve"> differing to the original budget.   </w:t>
      </w:r>
    </w:p>
    <w:p w14:paraId="1D8F67C0" w14:textId="02938B9D" w:rsidR="00BD0CF1" w:rsidRPr="00D6259F" w:rsidRDefault="00BD0CF1" w:rsidP="00BB0BEE">
      <w:pPr>
        <w:pStyle w:val="ListParagraph"/>
        <w:numPr>
          <w:ilvl w:val="0"/>
          <w:numId w:val="43"/>
        </w:numPr>
        <w:spacing w:after="0"/>
        <w:rPr>
          <w:color w:val="000000" w:themeColor="text1"/>
        </w:rPr>
      </w:pPr>
      <w:r w:rsidRPr="00D6259F">
        <w:rPr>
          <w:color w:val="000000" w:themeColor="text1"/>
        </w:rPr>
        <w:t>Total provisions for other liabilities are $6.4m over budget due to higher provisions for landfill</w:t>
      </w:r>
      <w:r w:rsidR="006F255E" w:rsidRPr="00D6259F">
        <w:rPr>
          <w:color w:val="000000" w:themeColor="text1"/>
        </w:rPr>
        <w:t xml:space="preserve"> post-closure costs</w:t>
      </w:r>
      <w:r w:rsidRPr="00D6259F">
        <w:rPr>
          <w:color w:val="000000" w:themeColor="text1"/>
        </w:rPr>
        <w:t xml:space="preserve"> and weathertight</w:t>
      </w:r>
      <w:r w:rsidR="006F255E" w:rsidRPr="00D6259F">
        <w:rPr>
          <w:color w:val="000000" w:themeColor="text1"/>
        </w:rPr>
        <w:t xml:space="preserve"> homes than budgeted.</w:t>
      </w:r>
    </w:p>
    <w:p w14:paraId="304495AE" w14:textId="05208CDA" w:rsidR="0034148E" w:rsidRPr="00D6259F" w:rsidRDefault="0034148E" w:rsidP="006A5EB3">
      <w:pPr>
        <w:pStyle w:val="Body"/>
        <w:rPr>
          <w:color w:val="000000" w:themeColor="text1"/>
        </w:rPr>
      </w:pPr>
    </w:p>
    <w:p w14:paraId="52E56C11" w14:textId="2D6FACCA" w:rsidR="00D422B1" w:rsidRPr="00D6259F" w:rsidRDefault="00D422B1" w:rsidP="00C034D8">
      <w:pPr>
        <w:pStyle w:val="Heading2"/>
      </w:pPr>
      <w:bookmarkStart w:id="87" w:name="_Toc179890297"/>
      <w:r w:rsidRPr="00D6259F">
        <w:t xml:space="preserve">Note 11: Cash and cash </w:t>
      </w:r>
      <w:proofErr w:type="gramStart"/>
      <w:r w:rsidRPr="00D6259F">
        <w:t>equivalents</w:t>
      </w:r>
      <w:bookmarkEnd w:id="86"/>
      <w:bookmarkEnd w:id="87"/>
      <w:proofErr w:type="gramEnd"/>
    </w:p>
    <w:p w14:paraId="466FB379" w14:textId="70E5039B" w:rsidR="00D422B1" w:rsidRPr="00D6259F" w:rsidRDefault="000F20D8" w:rsidP="00C034D8">
      <w:pPr>
        <w:rPr>
          <w:color w:val="000000" w:themeColor="text1"/>
        </w:rPr>
      </w:pPr>
      <w:r w:rsidRPr="00D6259F">
        <w:rPr>
          <w:b/>
          <w:bCs/>
          <w:color w:val="000000" w:themeColor="text1"/>
          <w:lang w:val="en-US"/>
        </w:rPr>
        <w:object w:dxaOrig="10215" w:dyaOrig="3015" w14:anchorId="136B297B">
          <v:shape id="_x0000_i1045" type="#_x0000_t75" style="width:475pt;height:152pt" o:ole="">
            <v:imagedata r:id="rId51" o:title=""/>
          </v:shape>
          <o:OLEObject Type="Link" ProgID="Excel.Sheet.12" ShapeID="_x0000_i1045" DrawAspect="Content" r:id="rId52" UpdateMode="Always">
            <o:LinkType>EnhancedMetaFile</o:LinkType>
            <o:LockedField>false</o:LockedField>
          </o:OLEObject>
        </w:object>
      </w:r>
    </w:p>
    <w:p w14:paraId="464506FE" w14:textId="0EF9CC6B" w:rsidR="00D422B1" w:rsidRPr="00D6259F" w:rsidRDefault="00D422B1" w:rsidP="00C034D8">
      <w:pPr>
        <w:rPr>
          <w:color w:val="000000" w:themeColor="text1"/>
          <w:lang w:eastAsia="en-GB"/>
        </w:rPr>
      </w:pPr>
      <w:r w:rsidRPr="00D6259F">
        <w:rPr>
          <w:color w:val="000000" w:themeColor="text1"/>
          <w:lang w:eastAsia="en-GB"/>
        </w:rPr>
        <w:t xml:space="preserve">Bank balances that are interest bearing earn interest based on current </w:t>
      </w:r>
      <w:r w:rsidR="00BC40C8" w:rsidRPr="00D6259F">
        <w:rPr>
          <w:color w:val="000000" w:themeColor="text1"/>
          <w:lang w:eastAsia="en-GB"/>
        </w:rPr>
        <w:t>Official Cash Rates (OCR).</w:t>
      </w:r>
      <w:r w:rsidRPr="00D6259F">
        <w:rPr>
          <w:color w:val="000000" w:themeColor="text1"/>
          <w:lang w:eastAsia="en-GB"/>
        </w:rPr>
        <w:t xml:space="preserve"> </w:t>
      </w:r>
    </w:p>
    <w:p w14:paraId="612A168A" w14:textId="64D89DDE" w:rsidR="00D422B1" w:rsidRPr="00D6259F" w:rsidRDefault="002406B9" w:rsidP="00C034D8">
      <w:pPr>
        <w:rPr>
          <w:color w:val="000000" w:themeColor="text1"/>
          <w:lang w:eastAsia="en-GB"/>
        </w:rPr>
      </w:pPr>
      <w:r w:rsidRPr="00D6259F">
        <w:rPr>
          <w:color w:val="000000" w:themeColor="text1"/>
          <w:lang w:eastAsia="en-GB"/>
        </w:rPr>
        <w:t xml:space="preserve">The </w:t>
      </w:r>
      <w:r w:rsidR="00D422B1" w:rsidRPr="00D6259F">
        <w:rPr>
          <w:color w:val="000000" w:themeColor="text1"/>
          <w:lang w:eastAsia="en-GB"/>
        </w:rPr>
        <w:t>Council holds short</w:t>
      </w:r>
      <w:r w:rsidR="00A677F3" w:rsidRPr="00D6259F">
        <w:rPr>
          <w:color w:val="000000" w:themeColor="text1"/>
          <w:lang w:eastAsia="en-GB"/>
        </w:rPr>
        <w:t>-</w:t>
      </w:r>
      <w:r w:rsidR="00D422B1" w:rsidRPr="00D6259F">
        <w:rPr>
          <w:color w:val="000000" w:themeColor="text1"/>
          <w:lang w:eastAsia="en-GB"/>
        </w:rPr>
        <w:t xml:space="preserve">term </w:t>
      </w:r>
      <w:r w:rsidR="00BC40C8" w:rsidRPr="00D6259F">
        <w:rPr>
          <w:color w:val="000000" w:themeColor="text1"/>
          <w:lang w:eastAsia="en-GB"/>
        </w:rPr>
        <w:t xml:space="preserve">bank </w:t>
      </w:r>
      <w:r w:rsidR="00D422B1" w:rsidRPr="00D6259F">
        <w:rPr>
          <w:color w:val="000000" w:themeColor="text1"/>
          <w:lang w:eastAsia="en-GB"/>
        </w:rPr>
        <w:t xml:space="preserve">deposits as part of its overall liquidity risk management programme. This programme enables </w:t>
      </w:r>
      <w:r w:rsidRPr="00D6259F">
        <w:rPr>
          <w:color w:val="000000" w:themeColor="text1"/>
          <w:lang w:eastAsia="en-GB"/>
        </w:rPr>
        <w:t xml:space="preserve">the </w:t>
      </w:r>
      <w:r w:rsidR="00D422B1" w:rsidRPr="00D6259F">
        <w:rPr>
          <w:color w:val="000000" w:themeColor="text1"/>
          <w:lang w:eastAsia="en-GB"/>
        </w:rPr>
        <w:t xml:space="preserve">Council to maintain its </w:t>
      </w:r>
      <w:r w:rsidR="00BC40C8" w:rsidRPr="00D6259F">
        <w:rPr>
          <w:color w:val="000000" w:themeColor="text1"/>
          <w:lang w:eastAsia="en-GB"/>
        </w:rPr>
        <w:t xml:space="preserve">required liquidity buffer </w:t>
      </w:r>
      <w:r w:rsidR="00D422B1" w:rsidRPr="00D6259F">
        <w:rPr>
          <w:color w:val="000000" w:themeColor="text1"/>
          <w:lang w:eastAsia="en-GB"/>
        </w:rPr>
        <w:t xml:space="preserve">and to pre-fund upcoming debt maturities. The combination of the </w:t>
      </w:r>
      <w:r w:rsidR="00BC40C8" w:rsidRPr="00D6259F">
        <w:rPr>
          <w:color w:val="000000" w:themeColor="text1"/>
          <w:lang w:eastAsia="en-GB"/>
        </w:rPr>
        <w:t xml:space="preserve">liquidity support and </w:t>
      </w:r>
      <w:r w:rsidR="00387D8C" w:rsidRPr="00D6259F">
        <w:rPr>
          <w:color w:val="000000" w:themeColor="text1"/>
          <w:lang w:eastAsia="en-GB"/>
        </w:rPr>
        <w:t>short-term</w:t>
      </w:r>
      <w:r w:rsidR="00C73960" w:rsidRPr="00D6259F">
        <w:rPr>
          <w:color w:val="000000" w:themeColor="text1"/>
          <w:lang w:eastAsia="en-GB"/>
        </w:rPr>
        <w:t xml:space="preserve"> bank deposits</w:t>
      </w:r>
      <w:r w:rsidR="00D422B1" w:rsidRPr="00D6259F">
        <w:rPr>
          <w:color w:val="000000" w:themeColor="text1"/>
          <w:lang w:eastAsia="en-GB"/>
        </w:rPr>
        <w:t xml:space="preserve"> reduces </w:t>
      </w:r>
      <w:r w:rsidRPr="00D6259F">
        <w:rPr>
          <w:color w:val="000000" w:themeColor="text1"/>
          <w:lang w:eastAsia="en-GB"/>
        </w:rPr>
        <w:t xml:space="preserve">the </w:t>
      </w:r>
      <w:r w:rsidR="00D422B1" w:rsidRPr="00D6259F">
        <w:rPr>
          <w:color w:val="000000" w:themeColor="text1"/>
          <w:lang w:eastAsia="en-GB"/>
        </w:rPr>
        <w:t>Council’s cost of funds.</w:t>
      </w:r>
    </w:p>
    <w:p w14:paraId="12D10D3E" w14:textId="77777777" w:rsidR="003D3811" w:rsidRPr="00D6259F" w:rsidRDefault="003D3811" w:rsidP="003D3811">
      <w:pPr>
        <w:pStyle w:val="Heading3"/>
      </w:pPr>
      <w:r w:rsidRPr="00D6259F">
        <w:t>Relevant significant accounting policies</w:t>
      </w:r>
    </w:p>
    <w:p w14:paraId="78F5B679" w14:textId="78278D10" w:rsidR="003D3811" w:rsidRPr="00D6259F" w:rsidRDefault="003D3811" w:rsidP="003D3811">
      <w:pPr>
        <w:rPr>
          <w:color w:val="000000" w:themeColor="text1"/>
          <w:lang w:eastAsia="en-GB"/>
        </w:rPr>
      </w:pPr>
      <w:r w:rsidRPr="00D6259F">
        <w:rPr>
          <w:color w:val="000000" w:themeColor="text1"/>
          <w:lang w:eastAsia="en-GB"/>
        </w:rPr>
        <w:t xml:space="preserve">Cash and cash equivalents include cash at bank, cash on hand, and short-term bank deposits of up to 3 months at acquisition. </w:t>
      </w:r>
    </w:p>
    <w:p w14:paraId="205B8577" w14:textId="0DCA8FC8" w:rsidR="00E21D3E" w:rsidRPr="00D6259F" w:rsidRDefault="00E21D3E" w:rsidP="003D3811">
      <w:pPr>
        <w:rPr>
          <w:strike/>
          <w:color w:val="000000" w:themeColor="text1"/>
          <w:lang w:eastAsia="en-GB"/>
        </w:rPr>
      </w:pPr>
      <w:r w:rsidRPr="00D6259F">
        <w:rPr>
          <w:color w:val="000000" w:themeColor="text1"/>
        </w:rPr>
        <w:t xml:space="preserve">Foreign currency cash and cash equivalents are translated into NZD using the spot rates at </w:t>
      </w:r>
      <w:r w:rsidR="007E3747" w:rsidRPr="00D6259F">
        <w:rPr>
          <w:color w:val="000000" w:themeColor="text1"/>
        </w:rPr>
        <w:t>the year-end</w:t>
      </w:r>
      <w:r w:rsidRPr="00D6259F">
        <w:rPr>
          <w:color w:val="000000" w:themeColor="text1"/>
        </w:rPr>
        <w:t xml:space="preserve"> date.</w:t>
      </w:r>
      <w:r w:rsidR="00C73960" w:rsidRPr="00D6259F">
        <w:rPr>
          <w:color w:val="000000" w:themeColor="text1"/>
        </w:rPr>
        <w:t xml:space="preserve"> </w:t>
      </w:r>
    </w:p>
    <w:p w14:paraId="07AE3051" w14:textId="11DEC7A5" w:rsidR="003D3811" w:rsidRPr="00D6259F" w:rsidRDefault="005619E2" w:rsidP="00C034D8">
      <w:pPr>
        <w:rPr>
          <w:color w:val="000000" w:themeColor="text1"/>
          <w:lang w:eastAsia="en-GB"/>
        </w:rPr>
      </w:pPr>
      <w:r w:rsidRPr="00D6259F">
        <w:rPr>
          <w:color w:val="000000" w:themeColor="text1"/>
        </w:rPr>
        <w:t xml:space="preserve">Although cash and cash equivalents at balance date are subject to the expected credit loss requirements of </w:t>
      </w:r>
      <w:r w:rsidRPr="00D6259F">
        <w:rPr>
          <w:i/>
          <w:iCs/>
          <w:color w:val="000000" w:themeColor="text1"/>
        </w:rPr>
        <w:t>PBE IPSAS 41 – Financial Instruments</w:t>
      </w:r>
      <w:r w:rsidRPr="00D6259F">
        <w:rPr>
          <w:color w:val="000000" w:themeColor="text1"/>
        </w:rPr>
        <w:t>, no loss allowance has been recognised because the estimated allowance is trivial.</w:t>
      </w:r>
    </w:p>
    <w:p w14:paraId="26AF84ED" w14:textId="77777777" w:rsidR="00D422B1" w:rsidRPr="00D6259F" w:rsidRDefault="00D422B1" w:rsidP="00C034D8">
      <w:pPr>
        <w:pStyle w:val="Heading2"/>
      </w:pPr>
      <w:bookmarkStart w:id="88" w:name="_Toc55482656"/>
      <w:bookmarkStart w:id="89" w:name="_Toc179890298"/>
      <w:r w:rsidRPr="00D6259F">
        <w:lastRenderedPageBreak/>
        <w:t xml:space="preserve">Note 12: Derivative financial </w:t>
      </w:r>
      <w:proofErr w:type="gramStart"/>
      <w:r w:rsidRPr="00D6259F">
        <w:t>instruments</w:t>
      </w:r>
      <w:bookmarkEnd w:id="88"/>
      <w:bookmarkEnd w:id="89"/>
      <w:proofErr w:type="gramEnd"/>
    </w:p>
    <w:p w14:paraId="368B34F1" w14:textId="22F84042" w:rsidR="00D422B1" w:rsidRPr="00D6259F" w:rsidRDefault="000F20D8" w:rsidP="00E044E9">
      <w:pPr>
        <w:rPr>
          <w:color w:val="000000" w:themeColor="text1"/>
        </w:rPr>
      </w:pPr>
      <w:r w:rsidRPr="00D6259F">
        <w:rPr>
          <w:noProof/>
          <w:color w:val="000000" w:themeColor="text1"/>
        </w:rPr>
        <w:object w:dxaOrig="10215" w:dyaOrig="4815" w14:anchorId="3E2A8DC1">
          <v:shape id="_x0000_i1046" type="#_x0000_t75" style="width:470pt;height:238pt" o:ole="">
            <v:imagedata r:id="rId53" o:title=""/>
          </v:shape>
          <o:OLEObject Type="Link" ProgID="Excel.Sheet.12" ShapeID="_x0000_i1046" DrawAspect="Content" r:id="rId54" UpdateMode="Always">
            <o:LinkType>EnhancedMetaFile</o:LinkType>
            <o:LockedField>false</o:LockedField>
          </o:OLEObject>
        </w:object>
      </w:r>
    </w:p>
    <w:p w14:paraId="157AC7E9" w14:textId="7137804C" w:rsidR="00D422B1" w:rsidRPr="00D6259F" w:rsidRDefault="00D422B1" w:rsidP="00C034D8">
      <w:pPr>
        <w:rPr>
          <w:color w:val="000000" w:themeColor="text1"/>
          <w:lang w:eastAsia="en-GB"/>
        </w:rPr>
      </w:pPr>
      <w:r w:rsidRPr="00D6259F">
        <w:rPr>
          <w:color w:val="000000" w:themeColor="text1"/>
          <w:lang w:eastAsia="en-GB"/>
        </w:rPr>
        <w:t>Derivative financial instruments are used by the</w:t>
      </w:r>
      <w:r w:rsidR="006020F7" w:rsidRPr="00D6259F">
        <w:rPr>
          <w:color w:val="000000" w:themeColor="text1"/>
          <w:lang w:eastAsia="en-GB"/>
        </w:rPr>
        <w:t xml:space="preserve"> Group</w:t>
      </w:r>
      <w:r w:rsidRPr="00D6259F">
        <w:rPr>
          <w:color w:val="000000" w:themeColor="text1"/>
          <w:lang w:eastAsia="en-GB"/>
        </w:rPr>
        <w:t xml:space="preserve"> in the normal course of business to hedge exposure to cash flow and fair value interest rate risk. The amounts shown above represent the fair values of these derivative financial instruments. Although these are managed as a portfolio, the</w:t>
      </w:r>
      <w:r w:rsidR="006020F7" w:rsidRPr="00D6259F">
        <w:rPr>
          <w:color w:val="000000" w:themeColor="text1"/>
          <w:lang w:eastAsia="en-GB"/>
        </w:rPr>
        <w:t xml:space="preserve"> Group</w:t>
      </w:r>
      <w:r w:rsidRPr="00D6259F">
        <w:rPr>
          <w:color w:val="000000" w:themeColor="text1"/>
          <w:lang w:eastAsia="en-GB"/>
        </w:rPr>
        <w:t xml:space="preserve"> has no rights to offset assets and liabilities and must present these figures separately.</w:t>
      </w:r>
      <w:r w:rsidR="00703663" w:rsidRPr="00D6259F">
        <w:rPr>
          <w:color w:val="000000" w:themeColor="text1"/>
          <w:lang w:eastAsia="en-GB"/>
        </w:rPr>
        <w:t xml:space="preserve"> However, as </w:t>
      </w:r>
      <w:proofErr w:type="gramStart"/>
      <w:r w:rsidR="00703663" w:rsidRPr="00D6259F">
        <w:rPr>
          <w:color w:val="000000" w:themeColor="text1"/>
          <w:lang w:eastAsia="en-GB"/>
        </w:rPr>
        <w:t>at</w:t>
      </w:r>
      <w:proofErr w:type="gramEnd"/>
      <w:r w:rsidR="00703663" w:rsidRPr="00D6259F">
        <w:rPr>
          <w:color w:val="000000" w:themeColor="text1"/>
          <w:lang w:eastAsia="en-GB"/>
        </w:rPr>
        <w:t xml:space="preserve"> 30 June 2024 and 2023, all swaps are </w:t>
      </w:r>
      <w:r w:rsidR="00CD7C3E" w:rsidRPr="00D6259F">
        <w:rPr>
          <w:color w:val="000000" w:themeColor="text1"/>
          <w:lang w:eastAsia="en-GB"/>
        </w:rPr>
        <w:t>in an asset position.</w:t>
      </w:r>
      <w:r w:rsidR="00EE1F1E" w:rsidRPr="00D6259F">
        <w:rPr>
          <w:color w:val="000000" w:themeColor="text1"/>
          <w:lang w:eastAsia="en-GB"/>
        </w:rPr>
        <w:t xml:space="preserve"> </w:t>
      </w:r>
    </w:p>
    <w:p w14:paraId="2253FEA0" w14:textId="3B56F1B0" w:rsidR="00D422B1" w:rsidRPr="00D6259F" w:rsidRDefault="00D422B1" w:rsidP="00C034D8">
      <w:pPr>
        <w:rPr>
          <w:color w:val="000000" w:themeColor="text1"/>
          <w:lang w:eastAsia="en-GB"/>
        </w:rPr>
      </w:pPr>
      <w:r w:rsidRPr="00D6259F">
        <w:rPr>
          <w:color w:val="000000" w:themeColor="text1"/>
          <w:lang w:eastAsia="en-GB"/>
        </w:rPr>
        <w:t>Interest rate swaps (</w:t>
      </w:r>
      <w:r w:rsidR="006A521F" w:rsidRPr="00D6259F">
        <w:rPr>
          <w:color w:val="000000" w:themeColor="text1"/>
          <w:lang w:eastAsia="en-GB"/>
        </w:rPr>
        <w:t>c</w:t>
      </w:r>
      <w:r w:rsidRPr="00D6259F">
        <w:rPr>
          <w:color w:val="000000" w:themeColor="text1"/>
          <w:lang w:eastAsia="en-GB"/>
        </w:rPr>
        <w:t xml:space="preserve">ash flow hedges) are used to fix interest rates on floating rate debt (floating rate notes or commercial paper). The swaps are </w:t>
      </w:r>
      <w:r w:rsidR="00703663" w:rsidRPr="00D6259F">
        <w:rPr>
          <w:color w:val="000000" w:themeColor="text1"/>
          <w:lang w:eastAsia="en-GB"/>
        </w:rPr>
        <w:t xml:space="preserve">normally </w:t>
      </w:r>
      <w:r w:rsidRPr="00D6259F">
        <w:rPr>
          <w:color w:val="000000" w:themeColor="text1"/>
          <w:lang w:eastAsia="en-GB"/>
        </w:rPr>
        <w:t>held until maturity and have no cash impact or effect on the rates requirements.</w:t>
      </w:r>
      <w:r w:rsidR="00AC3914" w:rsidRPr="00D6259F">
        <w:rPr>
          <w:color w:val="000000" w:themeColor="text1"/>
          <w:lang w:eastAsia="en-GB"/>
        </w:rPr>
        <w:t xml:space="preserve"> The timing of the maturities of the active swaps, their nominal values and their weighted average fixed interest rates are shown in </w:t>
      </w:r>
      <w:r w:rsidR="00AC3914" w:rsidRPr="00D6259F">
        <w:rPr>
          <w:i/>
          <w:iCs/>
          <w:color w:val="000000" w:themeColor="text1"/>
          <w:lang w:eastAsia="en-GB"/>
        </w:rPr>
        <w:t xml:space="preserve">Table </w:t>
      </w:r>
      <w:r w:rsidR="00D127B4" w:rsidRPr="00D6259F">
        <w:rPr>
          <w:i/>
          <w:iCs/>
          <w:color w:val="000000" w:themeColor="text1"/>
          <w:lang w:eastAsia="en-GB"/>
        </w:rPr>
        <w:t>20</w:t>
      </w:r>
      <w:r w:rsidR="004F1655" w:rsidRPr="00D6259F">
        <w:rPr>
          <w:color w:val="000000" w:themeColor="text1"/>
          <w:lang w:eastAsia="en-GB"/>
        </w:rPr>
        <w:t>.</w:t>
      </w:r>
    </w:p>
    <w:p w14:paraId="0B5C16D2" w14:textId="58C5530E" w:rsidR="00AC3914" w:rsidRPr="00D6259F" w:rsidRDefault="000F20D8" w:rsidP="00C034D8">
      <w:pPr>
        <w:rPr>
          <w:noProof/>
          <w:color w:val="000000" w:themeColor="text1"/>
          <w:lang w:eastAsia="en-GB"/>
        </w:rPr>
      </w:pPr>
      <w:r w:rsidRPr="00D6259F">
        <w:rPr>
          <w:noProof/>
          <w:color w:val="000000" w:themeColor="text1"/>
          <w:lang w:eastAsia="en-GB"/>
        </w:rPr>
        <w:object w:dxaOrig="12555" w:dyaOrig="3315" w14:anchorId="57A318B7">
          <v:shape id="_x0000_i1047" type="#_x0000_t75" style="width:7in;height:159pt" o:ole="">
            <v:imagedata r:id="rId55" o:title=""/>
          </v:shape>
          <o:OLEObject Type="Link" ProgID="Excel.Sheet.12" ShapeID="_x0000_i1047" DrawAspect="Content" r:id="rId56" UpdateMode="Always">
            <o:LinkType>EnhancedMetaFile</o:LinkType>
            <o:LockedField>false</o:LockedField>
            <o:FieldCodes>\* MERGEFORMAT</o:FieldCodes>
          </o:OLEObject>
        </w:object>
      </w:r>
    </w:p>
    <w:p w14:paraId="00BB02F4" w14:textId="4FCEEFEA" w:rsidR="0078196D" w:rsidRPr="00D6259F" w:rsidRDefault="0078196D" w:rsidP="0078196D">
      <w:pPr>
        <w:rPr>
          <w:rFonts w:ascii="Calibri" w:hAnsi="Calibri"/>
          <w:color w:val="000000" w:themeColor="text1"/>
        </w:rPr>
      </w:pPr>
      <w:r w:rsidRPr="00D6259F">
        <w:rPr>
          <w:color w:val="000000" w:themeColor="text1"/>
        </w:rPr>
        <w:t>The Council and</w:t>
      </w:r>
      <w:r w:rsidR="006020F7" w:rsidRPr="00D6259F">
        <w:rPr>
          <w:color w:val="000000" w:themeColor="text1"/>
        </w:rPr>
        <w:t xml:space="preserve"> Group</w:t>
      </w:r>
      <w:r w:rsidRPr="00D6259F">
        <w:rPr>
          <w:color w:val="000000" w:themeColor="text1"/>
        </w:rPr>
        <w:t xml:space="preserve"> also has forward start swaps with a total nominal value of $</w:t>
      </w:r>
      <w:r w:rsidR="002A6C7F" w:rsidRPr="00D6259F">
        <w:rPr>
          <w:color w:val="000000" w:themeColor="text1"/>
          <w:lang w:eastAsia="en-GB"/>
        </w:rPr>
        <w:t>105</w:t>
      </w:r>
      <w:r w:rsidR="00CD7C3E" w:rsidRPr="00D6259F">
        <w:rPr>
          <w:color w:val="000000" w:themeColor="text1"/>
          <w:lang w:eastAsia="en-GB"/>
        </w:rPr>
        <w:t>.0</w:t>
      </w:r>
      <w:r w:rsidR="002A6C7F" w:rsidRPr="00D6259F">
        <w:rPr>
          <w:color w:val="000000" w:themeColor="text1"/>
          <w:lang w:eastAsia="en-GB"/>
        </w:rPr>
        <w:t>m</w:t>
      </w:r>
      <w:r w:rsidR="007A5378" w:rsidRPr="00D6259F">
        <w:rPr>
          <w:color w:val="000000" w:themeColor="text1"/>
          <w:lang w:eastAsia="en-GB"/>
        </w:rPr>
        <w:t xml:space="preserve"> (</w:t>
      </w:r>
      <w:r w:rsidRPr="00D6259F">
        <w:rPr>
          <w:color w:val="000000" w:themeColor="text1"/>
        </w:rPr>
        <w:t>202</w:t>
      </w:r>
      <w:r w:rsidR="00615577" w:rsidRPr="00D6259F">
        <w:rPr>
          <w:color w:val="000000" w:themeColor="text1"/>
        </w:rPr>
        <w:t>3</w:t>
      </w:r>
      <w:r w:rsidRPr="00D6259F">
        <w:rPr>
          <w:color w:val="000000" w:themeColor="text1"/>
        </w:rPr>
        <w:t>: $</w:t>
      </w:r>
      <w:r w:rsidR="009256D0" w:rsidRPr="00D6259F">
        <w:rPr>
          <w:color w:val="000000" w:themeColor="text1"/>
        </w:rPr>
        <w:t>183</w:t>
      </w:r>
      <w:r w:rsidR="00CD7C3E" w:rsidRPr="00D6259F">
        <w:rPr>
          <w:color w:val="000000" w:themeColor="text1"/>
        </w:rPr>
        <w:t>.0</w:t>
      </w:r>
      <w:r w:rsidR="0034148E" w:rsidRPr="00D6259F">
        <w:rPr>
          <w:color w:val="000000" w:themeColor="text1"/>
        </w:rPr>
        <w:t>m</w:t>
      </w:r>
      <w:r w:rsidRPr="00D6259F">
        <w:rPr>
          <w:color w:val="000000" w:themeColor="text1"/>
        </w:rPr>
        <w:t xml:space="preserve">) maturing later than five years. The weighted average fixed rate of all interest rate swaps (including forward starts) is </w:t>
      </w:r>
      <w:r w:rsidR="009E5BA9" w:rsidRPr="00D6259F">
        <w:rPr>
          <w:color w:val="000000" w:themeColor="text1"/>
        </w:rPr>
        <w:t>3.</w:t>
      </w:r>
      <w:r w:rsidR="00096B2D" w:rsidRPr="00D6259F">
        <w:rPr>
          <w:color w:val="000000" w:themeColor="text1"/>
        </w:rPr>
        <w:t>1</w:t>
      </w:r>
      <w:r w:rsidR="009E5BA9" w:rsidRPr="00D6259F">
        <w:rPr>
          <w:color w:val="000000" w:themeColor="text1"/>
        </w:rPr>
        <w:t xml:space="preserve"> percent</w:t>
      </w:r>
      <w:r w:rsidRPr="00D6259F">
        <w:rPr>
          <w:color w:val="000000" w:themeColor="text1"/>
        </w:rPr>
        <w:t xml:space="preserve"> (202</w:t>
      </w:r>
      <w:r w:rsidR="00615577" w:rsidRPr="00D6259F">
        <w:rPr>
          <w:color w:val="000000" w:themeColor="text1"/>
        </w:rPr>
        <w:t>3</w:t>
      </w:r>
      <w:r w:rsidRPr="00D6259F">
        <w:rPr>
          <w:color w:val="000000" w:themeColor="text1"/>
        </w:rPr>
        <w:t>: 3.</w:t>
      </w:r>
      <w:r w:rsidR="00096B2D" w:rsidRPr="00D6259F">
        <w:rPr>
          <w:color w:val="000000" w:themeColor="text1"/>
        </w:rPr>
        <w:t>1</w:t>
      </w:r>
      <w:r w:rsidR="0034148E" w:rsidRPr="00D6259F">
        <w:rPr>
          <w:color w:val="000000" w:themeColor="text1"/>
        </w:rPr>
        <w:t xml:space="preserve"> percent</w:t>
      </w:r>
      <w:r w:rsidRPr="00D6259F">
        <w:rPr>
          <w:color w:val="000000" w:themeColor="text1"/>
        </w:rPr>
        <w:t>).</w:t>
      </w:r>
    </w:p>
    <w:p w14:paraId="692FB6B1" w14:textId="4E8D42A3" w:rsidR="003D3811" w:rsidRPr="00D6259F" w:rsidRDefault="003D3811" w:rsidP="00C034D8">
      <w:pPr>
        <w:rPr>
          <w:noProof/>
          <w:color w:val="000000" w:themeColor="text1"/>
          <w:lang w:eastAsia="en-GB"/>
        </w:rPr>
      </w:pPr>
      <w:r w:rsidRPr="00D6259F">
        <w:rPr>
          <w:noProof/>
          <w:color w:val="000000" w:themeColor="text1"/>
          <w:lang w:eastAsia="en-GB"/>
        </w:rPr>
        <w:t>The Council and</w:t>
      </w:r>
      <w:r w:rsidR="006020F7" w:rsidRPr="00D6259F">
        <w:rPr>
          <w:noProof/>
          <w:color w:val="000000" w:themeColor="text1"/>
          <w:lang w:eastAsia="en-GB"/>
        </w:rPr>
        <w:t xml:space="preserve"> Group</w:t>
      </w:r>
      <w:r w:rsidRPr="00D6259F">
        <w:rPr>
          <w:noProof/>
          <w:color w:val="000000" w:themeColor="text1"/>
          <w:lang w:eastAsia="en-GB"/>
        </w:rPr>
        <w:t xml:space="preserve"> currently have no fair value hedges.</w:t>
      </w:r>
    </w:p>
    <w:p w14:paraId="66E42FD5" w14:textId="255D82A4" w:rsidR="00D422B1" w:rsidRPr="00D6259F" w:rsidRDefault="00D422B1" w:rsidP="00C034D8">
      <w:pPr>
        <w:rPr>
          <w:color w:val="000000" w:themeColor="text1"/>
          <w:lang w:eastAsia="en-GB"/>
        </w:rPr>
      </w:pPr>
      <w:r w:rsidRPr="00D6259F">
        <w:rPr>
          <w:color w:val="000000" w:themeColor="text1"/>
          <w:lang w:eastAsia="en-GB"/>
        </w:rPr>
        <w:t xml:space="preserve">For further information on the Council’s interest rate swaps please refer to </w:t>
      </w:r>
      <w:r w:rsidRPr="00D6259F">
        <w:rPr>
          <w:i/>
          <w:iCs/>
          <w:color w:val="000000" w:themeColor="text1"/>
          <w:lang w:eastAsia="en-GB"/>
        </w:rPr>
        <w:t>Note 2</w:t>
      </w:r>
      <w:r w:rsidR="00453CB1" w:rsidRPr="00D6259F">
        <w:rPr>
          <w:i/>
          <w:iCs/>
          <w:color w:val="000000" w:themeColor="text1"/>
          <w:lang w:eastAsia="en-GB"/>
        </w:rPr>
        <w:t>9</w:t>
      </w:r>
      <w:r w:rsidRPr="00D6259F">
        <w:rPr>
          <w:i/>
          <w:iCs/>
          <w:color w:val="000000" w:themeColor="text1"/>
          <w:lang w:eastAsia="en-GB"/>
        </w:rPr>
        <w:t xml:space="preserve">: Hedging </w:t>
      </w:r>
      <w:r w:rsidR="006A521F" w:rsidRPr="00D6259F">
        <w:rPr>
          <w:i/>
          <w:iCs/>
          <w:color w:val="000000" w:themeColor="text1"/>
          <w:lang w:eastAsia="en-GB"/>
        </w:rPr>
        <w:t>r</w:t>
      </w:r>
      <w:r w:rsidRPr="00D6259F">
        <w:rPr>
          <w:i/>
          <w:iCs/>
          <w:color w:val="000000" w:themeColor="text1"/>
          <w:lang w:eastAsia="en-GB"/>
        </w:rPr>
        <w:t>eserve</w:t>
      </w:r>
      <w:r w:rsidRPr="00D6259F">
        <w:rPr>
          <w:color w:val="000000" w:themeColor="text1"/>
          <w:lang w:eastAsia="en-GB"/>
        </w:rPr>
        <w:t xml:space="preserve"> (</w:t>
      </w:r>
      <w:r w:rsidR="006F6060" w:rsidRPr="00D6259F">
        <w:rPr>
          <w:color w:val="000000" w:themeColor="text1"/>
          <w:lang w:eastAsia="en-GB"/>
        </w:rPr>
        <w:t>page</w:t>
      </w:r>
      <w:r w:rsidR="00D478DA" w:rsidRPr="00D6259F">
        <w:rPr>
          <w:color w:val="000000" w:themeColor="text1"/>
          <w:lang w:eastAsia="en-GB"/>
        </w:rPr>
        <w:t xml:space="preserve"> </w:t>
      </w:r>
      <w:r w:rsidR="00D127B4" w:rsidRPr="00D6259F">
        <w:rPr>
          <w:color w:val="000000" w:themeColor="text1"/>
          <w:lang w:eastAsia="en-GB"/>
        </w:rPr>
        <w:t>86</w:t>
      </w:r>
      <w:r w:rsidRPr="00D6259F">
        <w:rPr>
          <w:color w:val="000000" w:themeColor="text1"/>
          <w:lang w:eastAsia="en-GB"/>
        </w:rPr>
        <w:t xml:space="preserve">) and </w:t>
      </w:r>
      <w:r w:rsidRPr="00D6259F">
        <w:rPr>
          <w:i/>
          <w:iCs/>
          <w:color w:val="000000" w:themeColor="text1"/>
          <w:lang w:eastAsia="en-GB"/>
        </w:rPr>
        <w:t>Note 3</w:t>
      </w:r>
      <w:r w:rsidR="00453CB1" w:rsidRPr="00D6259F">
        <w:rPr>
          <w:i/>
          <w:iCs/>
          <w:color w:val="000000" w:themeColor="text1"/>
          <w:lang w:eastAsia="en-GB"/>
        </w:rPr>
        <w:t>3</w:t>
      </w:r>
      <w:r w:rsidRPr="00D6259F">
        <w:rPr>
          <w:i/>
          <w:iCs/>
          <w:color w:val="000000" w:themeColor="text1"/>
          <w:lang w:eastAsia="en-GB"/>
        </w:rPr>
        <w:t>: Financial instruments</w:t>
      </w:r>
      <w:r w:rsidRPr="00D6259F">
        <w:rPr>
          <w:color w:val="000000" w:themeColor="text1"/>
          <w:lang w:eastAsia="en-GB"/>
        </w:rPr>
        <w:t xml:space="preserve"> (</w:t>
      </w:r>
      <w:r w:rsidR="006F6060" w:rsidRPr="00D6259F">
        <w:rPr>
          <w:color w:val="000000" w:themeColor="text1"/>
          <w:lang w:eastAsia="en-GB"/>
        </w:rPr>
        <w:t>page</w:t>
      </w:r>
      <w:r w:rsidR="00D478DA" w:rsidRPr="00D6259F">
        <w:rPr>
          <w:color w:val="000000" w:themeColor="text1"/>
          <w:lang w:eastAsia="en-GB"/>
        </w:rPr>
        <w:t xml:space="preserve"> </w:t>
      </w:r>
      <w:r w:rsidR="00D127B4" w:rsidRPr="00D6259F">
        <w:rPr>
          <w:color w:val="000000" w:themeColor="text1"/>
          <w:lang w:eastAsia="en-GB"/>
        </w:rPr>
        <w:t>95</w:t>
      </w:r>
      <w:r w:rsidRPr="00D6259F">
        <w:rPr>
          <w:color w:val="000000" w:themeColor="text1"/>
          <w:lang w:eastAsia="en-GB"/>
        </w:rPr>
        <w:t>).</w:t>
      </w:r>
    </w:p>
    <w:p w14:paraId="5B0BEB66" w14:textId="02A90702" w:rsidR="00D422B1" w:rsidRPr="00D6259F" w:rsidRDefault="00D422B1" w:rsidP="00C034D8">
      <w:pPr>
        <w:pStyle w:val="Heading3"/>
      </w:pPr>
      <w:bookmarkStart w:id="90" w:name="_Toc121217101"/>
      <w:r w:rsidRPr="00D6259F">
        <w:lastRenderedPageBreak/>
        <w:t>Relevant significant accounting policies</w:t>
      </w:r>
      <w:bookmarkEnd w:id="90"/>
    </w:p>
    <w:p w14:paraId="2671533D" w14:textId="705874E8" w:rsidR="000E75AA" w:rsidRPr="00D6259F" w:rsidRDefault="000E75AA" w:rsidP="000E75AA">
      <w:pPr>
        <w:rPr>
          <w:color w:val="000000" w:themeColor="text1"/>
          <w:lang w:eastAsia="en-GB"/>
        </w:rPr>
      </w:pPr>
      <w:r w:rsidRPr="00D6259F">
        <w:rPr>
          <w:color w:val="000000" w:themeColor="text1"/>
          <w:lang w:eastAsia="en-GB"/>
        </w:rPr>
        <w:t xml:space="preserve">Derivative financial instruments are used to manage exposure to foreign exchange risks arising from the Council’s operational activities and interest rate risks arising from the Council’s financing activities. In accordance with its </w:t>
      </w:r>
      <w:r w:rsidR="004A6F7F" w:rsidRPr="00D6259F">
        <w:rPr>
          <w:color w:val="000000" w:themeColor="text1"/>
          <w:lang w:eastAsia="en-GB"/>
        </w:rPr>
        <w:t>Liability Management Policy</w:t>
      </w:r>
      <w:r w:rsidR="00F76171" w:rsidRPr="00D6259F">
        <w:rPr>
          <w:color w:val="000000" w:themeColor="text1"/>
          <w:lang w:eastAsia="en-GB"/>
        </w:rPr>
        <w:t>,</w:t>
      </w:r>
      <w:r w:rsidRPr="00D6259F">
        <w:rPr>
          <w:color w:val="000000" w:themeColor="text1"/>
          <w:lang w:eastAsia="en-GB"/>
        </w:rPr>
        <w:t xml:space="preserve"> the Council does not hold or issue derivative financial instruments for trading purposes.</w:t>
      </w:r>
    </w:p>
    <w:p w14:paraId="64931C61" w14:textId="2CB85371" w:rsidR="000E75AA" w:rsidRPr="00D6259F" w:rsidRDefault="000E75AA" w:rsidP="000E75AA">
      <w:pPr>
        <w:rPr>
          <w:color w:val="000000" w:themeColor="text1"/>
          <w:lang w:eastAsia="en-GB"/>
        </w:rPr>
      </w:pPr>
      <w:r w:rsidRPr="00D6259F">
        <w:rPr>
          <w:color w:val="000000" w:themeColor="text1"/>
          <w:lang w:eastAsia="en-GB"/>
        </w:rPr>
        <w:t xml:space="preserve">Derivatives are initially recognised at fair value on the date a derivative contract is entered into and are subsequently remeasured to their fair value at each </w:t>
      </w:r>
      <w:r w:rsidR="00B124D1" w:rsidRPr="00D6259F">
        <w:rPr>
          <w:color w:val="000000" w:themeColor="text1"/>
          <w:lang w:eastAsia="en-GB"/>
        </w:rPr>
        <w:t>balance</w:t>
      </w:r>
      <w:r w:rsidRPr="00D6259F">
        <w:rPr>
          <w:color w:val="000000" w:themeColor="text1"/>
          <w:lang w:eastAsia="en-GB"/>
        </w:rPr>
        <w:t xml:space="preserve"> date. The method of recognising the resulting gain or loss depends on whether the derivative is designated as a hedging instrument, and, if so, the nature of the item being hedged.</w:t>
      </w:r>
    </w:p>
    <w:p w14:paraId="7AB4B18B" w14:textId="189120B3" w:rsidR="000E75AA" w:rsidRPr="00D6259F" w:rsidRDefault="000E75AA" w:rsidP="000E75AA">
      <w:pPr>
        <w:rPr>
          <w:color w:val="000000" w:themeColor="text1"/>
          <w:lang w:eastAsia="en-GB"/>
        </w:rPr>
      </w:pPr>
      <w:r w:rsidRPr="00D6259F">
        <w:rPr>
          <w:color w:val="000000" w:themeColor="text1"/>
          <w:lang w:eastAsia="en-GB"/>
        </w:rPr>
        <w:t xml:space="preserve">The associated gains or losses on derivatives that are not hedge accounted are recognised in </w:t>
      </w:r>
      <w:r w:rsidR="009256D0" w:rsidRPr="00D6259F">
        <w:rPr>
          <w:color w:val="000000" w:themeColor="text1"/>
          <w:lang w:eastAsia="en-GB"/>
        </w:rPr>
        <w:t>the</w:t>
      </w:r>
      <w:r w:rsidR="001E7F57" w:rsidRPr="00D6259F">
        <w:rPr>
          <w:color w:val="000000" w:themeColor="text1"/>
          <w:lang w:eastAsia="en-GB"/>
        </w:rPr>
        <w:t xml:space="preserve"> </w:t>
      </w:r>
      <w:r w:rsidRPr="00D6259F">
        <w:rPr>
          <w:color w:val="000000" w:themeColor="text1"/>
          <w:lang w:eastAsia="en-GB"/>
        </w:rPr>
        <w:t xml:space="preserve">surplus or deficit. </w:t>
      </w:r>
    </w:p>
    <w:p w14:paraId="010C0874" w14:textId="77777777" w:rsidR="000E75AA" w:rsidRPr="00D6259F" w:rsidRDefault="000E75AA" w:rsidP="000E75AA">
      <w:pPr>
        <w:rPr>
          <w:color w:val="000000" w:themeColor="text1"/>
          <w:lang w:eastAsia="en-GB"/>
        </w:rPr>
      </w:pPr>
      <w:r w:rsidRPr="00D6259F">
        <w:rPr>
          <w:color w:val="000000" w:themeColor="text1"/>
          <w:lang w:eastAsia="en-GB"/>
        </w:rPr>
        <w:t>The full fair value of a hedge accounted derivative is classified as non-current if the remaining maturity of the hedged item is more than 12 months, and as current if the remaining maturity of the hedged item is less than 12 months.</w:t>
      </w:r>
    </w:p>
    <w:p w14:paraId="5DBEDC72" w14:textId="77777777" w:rsidR="001C2683" w:rsidRPr="00D6259F" w:rsidRDefault="001C2683" w:rsidP="001C2683">
      <w:pPr>
        <w:rPr>
          <w:color w:val="000000" w:themeColor="text1"/>
          <w:lang w:eastAsia="en-GB"/>
        </w:rPr>
      </w:pPr>
      <w:r w:rsidRPr="00D6259F">
        <w:rPr>
          <w:color w:val="000000" w:themeColor="text1"/>
          <w:lang w:eastAsia="en-GB"/>
        </w:rPr>
        <w:t>As per the International Swap Dealers’ Association (ISDA) master agreements, all swap payments or receipts are settled net.</w:t>
      </w:r>
    </w:p>
    <w:p w14:paraId="515889A5" w14:textId="095EB681" w:rsidR="0023523E" w:rsidRPr="00D6259F" w:rsidRDefault="0023523E" w:rsidP="0023523E">
      <w:pPr>
        <w:rPr>
          <w:b/>
          <w:bCs/>
          <w:color w:val="000000" w:themeColor="text1"/>
          <w:lang w:eastAsia="en-GB"/>
        </w:rPr>
      </w:pPr>
      <w:r w:rsidRPr="00D6259F">
        <w:rPr>
          <w:b/>
          <w:bCs/>
          <w:color w:val="000000" w:themeColor="text1"/>
          <w:lang w:eastAsia="en-GB"/>
        </w:rPr>
        <w:t xml:space="preserve">Cash flow </w:t>
      </w:r>
      <w:proofErr w:type="gramStart"/>
      <w:r w:rsidRPr="00D6259F">
        <w:rPr>
          <w:b/>
          <w:bCs/>
          <w:color w:val="000000" w:themeColor="text1"/>
          <w:lang w:eastAsia="en-GB"/>
        </w:rPr>
        <w:t>hedges</w:t>
      </w:r>
      <w:proofErr w:type="gramEnd"/>
    </w:p>
    <w:p w14:paraId="4CA565AB" w14:textId="68D68950" w:rsidR="0023523E" w:rsidRPr="00D6259F" w:rsidRDefault="0023523E" w:rsidP="0023523E">
      <w:pPr>
        <w:rPr>
          <w:color w:val="000000" w:themeColor="text1"/>
          <w:lang w:eastAsia="en-GB"/>
        </w:rPr>
      </w:pPr>
      <w:r w:rsidRPr="00D6259F">
        <w:rPr>
          <w:color w:val="000000" w:themeColor="text1"/>
          <w:lang w:eastAsia="en-GB"/>
        </w:rPr>
        <w:t>The portion of the gain or loss on a hedging instrument that is determined to be an effective hedge is recognised in other comprehensive revenue and expense, and the ineffective portion of the gain or loss on the hedging instrument is recognised in</w:t>
      </w:r>
      <w:r w:rsidR="009256D0" w:rsidRPr="00D6259F">
        <w:rPr>
          <w:color w:val="000000" w:themeColor="text1"/>
          <w:lang w:eastAsia="en-GB"/>
        </w:rPr>
        <w:t xml:space="preserve"> the </w:t>
      </w:r>
      <w:r w:rsidRPr="00D6259F">
        <w:rPr>
          <w:color w:val="000000" w:themeColor="text1"/>
          <w:lang w:eastAsia="en-GB"/>
        </w:rPr>
        <w:t xml:space="preserve">surplus or deficit as part of “finance </w:t>
      </w:r>
      <w:r w:rsidR="00703663" w:rsidRPr="00D6259F">
        <w:rPr>
          <w:color w:val="000000" w:themeColor="text1"/>
          <w:lang w:eastAsia="en-GB"/>
        </w:rPr>
        <w:t>expense</w:t>
      </w:r>
      <w:r w:rsidRPr="00D6259F">
        <w:rPr>
          <w:color w:val="000000" w:themeColor="text1"/>
          <w:lang w:eastAsia="en-GB"/>
        </w:rPr>
        <w:t xml:space="preserve">”. </w:t>
      </w:r>
    </w:p>
    <w:p w14:paraId="003A2C17" w14:textId="76280C9B" w:rsidR="0023523E" w:rsidRPr="00D6259F" w:rsidRDefault="0023523E" w:rsidP="0023523E">
      <w:pPr>
        <w:rPr>
          <w:color w:val="000000" w:themeColor="text1"/>
          <w:lang w:eastAsia="en-GB"/>
        </w:rPr>
      </w:pPr>
      <w:r w:rsidRPr="00D6259F">
        <w:rPr>
          <w:color w:val="000000" w:themeColor="text1"/>
          <w:lang w:eastAsia="en-GB"/>
        </w:rPr>
        <w:t xml:space="preserve">If a hedge of a forecast transaction subsequently results in the recognition of a financial asset or a financial liability, the associated gains or losses that were recognised in other comprehensive revenue and expense are reclassified into </w:t>
      </w:r>
      <w:r w:rsidR="009256D0" w:rsidRPr="00D6259F">
        <w:rPr>
          <w:color w:val="000000" w:themeColor="text1"/>
          <w:lang w:eastAsia="en-GB"/>
        </w:rPr>
        <w:t xml:space="preserve">the </w:t>
      </w:r>
      <w:r w:rsidRPr="00D6259F">
        <w:rPr>
          <w:color w:val="000000" w:themeColor="text1"/>
          <w:lang w:eastAsia="en-GB"/>
        </w:rPr>
        <w:t xml:space="preserve">surplus or deficit in the same period or periods during which the asset </w:t>
      </w:r>
      <w:proofErr w:type="gramStart"/>
      <w:r w:rsidRPr="00D6259F">
        <w:rPr>
          <w:color w:val="000000" w:themeColor="text1"/>
          <w:lang w:eastAsia="en-GB"/>
        </w:rPr>
        <w:t>acquired</w:t>
      </w:r>
      <w:proofErr w:type="gramEnd"/>
      <w:r w:rsidRPr="00D6259F">
        <w:rPr>
          <w:color w:val="000000" w:themeColor="text1"/>
          <w:lang w:eastAsia="en-GB"/>
        </w:rPr>
        <w:t xml:space="preserve"> or liability assumed affects the surplus or deficit. However, if it is expected that all or a portion of a loss recognised in other comprehensive revenue and expense will not be recovered in one or more future periods, the amount that is not expected to be recovered is reclassified to </w:t>
      </w:r>
      <w:r w:rsidR="009256D0" w:rsidRPr="00D6259F">
        <w:rPr>
          <w:color w:val="000000" w:themeColor="text1"/>
          <w:lang w:eastAsia="en-GB"/>
        </w:rPr>
        <w:t xml:space="preserve">the </w:t>
      </w:r>
      <w:r w:rsidRPr="00D6259F">
        <w:rPr>
          <w:color w:val="000000" w:themeColor="text1"/>
          <w:lang w:eastAsia="en-GB"/>
        </w:rPr>
        <w:t>surplus or deficit.</w:t>
      </w:r>
    </w:p>
    <w:p w14:paraId="52BA0F19" w14:textId="0E5DD2B1" w:rsidR="0023523E" w:rsidRPr="00D6259F" w:rsidRDefault="0023523E" w:rsidP="0023523E">
      <w:pPr>
        <w:rPr>
          <w:color w:val="000000" w:themeColor="text1"/>
          <w:lang w:eastAsia="en-GB"/>
        </w:rPr>
      </w:pPr>
      <w:r w:rsidRPr="00D6259F">
        <w:rPr>
          <w:color w:val="000000" w:themeColor="text1"/>
          <w:lang w:eastAsia="en-GB"/>
        </w:rPr>
        <w:t>When a hedge of a forecast transaction subsequently results in the recognition of a non-financial asset or a non-financial liability, or a forecast transaction for a non-financial asset or non-financial liability becomes a firm commitment for which fair value hedge accounting is applied, the associated gains and losses that were recognised in other comprehensive revenue and expense will be included in the initial cost or carrying amount of the asset or liability.</w:t>
      </w:r>
    </w:p>
    <w:p w14:paraId="6B1B03D5" w14:textId="749AAB14" w:rsidR="0023523E" w:rsidRPr="00D6259F" w:rsidRDefault="0023523E" w:rsidP="0023523E">
      <w:pPr>
        <w:rPr>
          <w:color w:val="000000" w:themeColor="text1"/>
          <w:lang w:eastAsia="en-GB"/>
        </w:rPr>
      </w:pPr>
      <w:r w:rsidRPr="00D6259F">
        <w:rPr>
          <w:color w:val="000000" w:themeColor="text1"/>
          <w:lang w:eastAsia="en-GB"/>
        </w:rPr>
        <w:t>If a hedging instrument expires or is sold, terminated, exercised, or revoked, or it no longer meets the criteria for hedge accounting, the cumulative gain or loss on the hedging instrument that has been recognised in other comprehensive revenue and expense</w:t>
      </w:r>
      <w:r w:rsidR="00BF6ABD" w:rsidRPr="00D6259F">
        <w:rPr>
          <w:color w:val="000000" w:themeColor="text1"/>
          <w:lang w:eastAsia="en-GB"/>
        </w:rPr>
        <w:t xml:space="preserve"> is separately recognised in equity and amortised to the surplus or deficit over the remaining period of the original hedging instrument. </w:t>
      </w:r>
    </w:p>
    <w:p w14:paraId="702A3144" w14:textId="38488B35" w:rsidR="00FE29AF" w:rsidRPr="00D6259F" w:rsidRDefault="009A0E3B" w:rsidP="0023523E">
      <w:pPr>
        <w:rPr>
          <w:color w:val="000000" w:themeColor="text1"/>
          <w:lang w:eastAsia="en-GB"/>
        </w:rPr>
      </w:pPr>
      <w:r w:rsidRPr="00D6259F">
        <w:rPr>
          <w:color w:val="000000" w:themeColor="text1"/>
          <w:lang w:eastAsia="en-GB"/>
        </w:rPr>
        <w:t>There is an economic relationship between the hedged item and the hedging instrument as the terms of the interest rate swaps match the terms of the fixed rate loan (</w:t>
      </w:r>
      <w:r w:rsidR="007A5378" w:rsidRPr="00D6259F">
        <w:rPr>
          <w:color w:val="000000" w:themeColor="text1"/>
          <w:lang w:eastAsia="en-GB"/>
        </w:rPr>
        <w:t>i.e.</w:t>
      </w:r>
      <w:r w:rsidRPr="00D6259F">
        <w:rPr>
          <w:color w:val="000000" w:themeColor="text1"/>
          <w:lang w:eastAsia="en-GB"/>
        </w:rPr>
        <w:t xml:space="preserve"> </w:t>
      </w:r>
      <w:r w:rsidR="000E2796" w:rsidRPr="00D6259F">
        <w:rPr>
          <w:color w:val="000000" w:themeColor="text1"/>
          <w:lang w:eastAsia="en-GB"/>
        </w:rPr>
        <w:t>n</w:t>
      </w:r>
      <w:r w:rsidRPr="00D6259F">
        <w:rPr>
          <w:color w:val="000000" w:themeColor="text1"/>
          <w:lang w:eastAsia="en-GB"/>
        </w:rPr>
        <w:t xml:space="preserve">otional amount, maturity, payment and reset dates). </w:t>
      </w:r>
      <w:r w:rsidR="00FE29AF" w:rsidRPr="00D6259F">
        <w:rPr>
          <w:color w:val="000000" w:themeColor="text1"/>
          <w:lang w:eastAsia="en-GB"/>
        </w:rPr>
        <w:t xml:space="preserve">At inception of the hedge </w:t>
      </w:r>
      <w:r w:rsidR="004A6F7F" w:rsidRPr="00D6259F">
        <w:rPr>
          <w:color w:val="000000" w:themeColor="text1"/>
          <w:lang w:eastAsia="en-GB"/>
        </w:rPr>
        <w:t>relationship</w:t>
      </w:r>
      <w:r w:rsidR="00FE29AF" w:rsidRPr="00D6259F">
        <w:rPr>
          <w:color w:val="000000" w:themeColor="text1"/>
          <w:lang w:eastAsia="en-GB"/>
        </w:rPr>
        <w:t xml:space="preserve"> the Council and</w:t>
      </w:r>
      <w:r w:rsidR="006020F7" w:rsidRPr="00D6259F">
        <w:rPr>
          <w:color w:val="000000" w:themeColor="text1"/>
          <w:lang w:eastAsia="en-GB"/>
        </w:rPr>
        <w:t xml:space="preserve"> Group</w:t>
      </w:r>
      <w:r w:rsidR="00FE29AF" w:rsidRPr="00D6259F">
        <w:rPr>
          <w:color w:val="000000" w:themeColor="text1"/>
          <w:lang w:eastAsia="en-GB"/>
        </w:rPr>
        <w:t xml:space="preserve"> documents the economic relationship between hedging </w:t>
      </w:r>
      <w:r w:rsidR="004A6F7F" w:rsidRPr="00D6259F">
        <w:rPr>
          <w:color w:val="000000" w:themeColor="text1"/>
          <w:lang w:eastAsia="en-GB"/>
        </w:rPr>
        <w:t xml:space="preserve">instruments </w:t>
      </w:r>
      <w:r w:rsidR="00FE29AF" w:rsidRPr="00D6259F">
        <w:rPr>
          <w:color w:val="000000" w:themeColor="text1"/>
          <w:lang w:eastAsia="en-GB"/>
        </w:rPr>
        <w:t>and hedged items including whether changes in the cash flows of the hedging instruments</w:t>
      </w:r>
      <w:r w:rsidR="004A6F7F" w:rsidRPr="00D6259F">
        <w:rPr>
          <w:color w:val="000000" w:themeColor="text1"/>
          <w:lang w:eastAsia="en-GB"/>
        </w:rPr>
        <w:t xml:space="preserve"> are expected to offset changes in the cash flows of hedged items. The </w:t>
      </w:r>
      <w:r w:rsidR="004A6F7F" w:rsidRPr="00D6259F">
        <w:rPr>
          <w:color w:val="000000" w:themeColor="text1"/>
          <w:lang w:eastAsia="en-GB"/>
        </w:rPr>
        <w:lastRenderedPageBreak/>
        <w:t>documentation includes its risk management objective and strategy for undertaking its hedged transactions.</w:t>
      </w:r>
    </w:p>
    <w:p w14:paraId="5D2F237A" w14:textId="2B51163C" w:rsidR="009A0E3B" w:rsidRPr="00D6259F" w:rsidRDefault="0008040E" w:rsidP="0023523E">
      <w:pPr>
        <w:rPr>
          <w:color w:val="000000" w:themeColor="text1"/>
          <w:lang w:eastAsia="en-GB"/>
        </w:rPr>
      </w:pPr>
      <w:r w:rsidRPr="00D6259F">
        <w:rPr>
          <w:color w:val="000000" w:themeColor="text1"/>
        </w:rPr>
        <w:t>Derivatives in hedge relationships are designated based on a hedge ratio up to 1:1. The Council and</w:t>
      </w:r>
      <w:r w:rsidR="006020F7" w:rsidRPr="00D6259F">
        <w:rPr>
          <w:color w:val="000000" w:themeColor="text1"/>
        </w:rPr>
        <w:t xml:space="preserve"> Group</w:t>
      </w:r>
      <w:r w:rsidRPr="00D6259F">
        <w:rPr>
          <w:color w:val="000000" w:themeColor="text1"/>
        </w:rPr>
        <w:t xml:space="preserve"> does not hedge 100</w:t>
      </w:r>
      <w:r w:rsidR="00EB2CE4" w:rsidRPr="00D6259F">
        <w:rPr>
          <w:color w:val="000000" w:themeColor="text1"/>
        </w:rPr>
        <w:t xml:space="preserve"> percent</w:t>
      </w:r>
      <w:r w:rsidRPr="00D6259F">
        <w:rPr>
          <w:color w:val="000000" w:themeColor="text1"/>
        </w:rPr>
        <w:t xml:space="preserve"> of its </w:t>
      </w:r>
      <w:proofErr w:type="gramStart"/>
      <w:r w:rsidRPr="00D6259F">
        <w:rPr>
          <w:color w:val="000000" w:themeColor="text1"/>
        </w:rPr>
        <w:t>loans,</w:t>
      </w:r>
      <w:proofErr w:type="gramEnd"/>
      <w:r w:rsidRPr="00D6259F">
        <w:rPr>
          <w:color w:val="000000" w:themeColor="text1"/>
        </w:rPr>
        <w:t xml:space="preserve"> therefore the hedged item is identified as a proportion of the outstanding loans up to the notional amount of the swaps. </w:t>
      </w:r>
      <w:r w:rsidR="009A0E3B" w:rsidRPr="00D6259F">
        <w:rPr>
          <w:color w:val="000000" w:themeColor="text1"/>
          <w:lang w:eastAsia="en-GB"/>
        </w:rPr>
        <w:t>To test the hedge effectiveness, the Council and</w:t>
      </w:r>
      <w:r w:rsidR="006020F7" w:rsidRPr="00D6259F">
        <w:rPr>
          <w:color w:val="000000" w:themeColor="text1"/>
          <w:lang w:eastAsia="en-GB"/>
        </w:rPr>
        <w:t xml:space="preserve"> Group</w:t>
      </w:r>
      <w:r w:rsidR="009A0E3B" w:rsidRPr="00D6259F">
        <w:rPr>
          <w:color w:val="000000" w:themeColor="text1"/>
          <w:lang w:eastAsia="en-GB"/>
        </w:rPr>
        <w:t xml:space="preserve"> uses the hypothetical derivative method an</w:t>
      </w:r>
      <w:r w:rsidR="00FE29AF" w:rsidRPr="00D6259F">
        <w:rPr>
          <w:color w:val="000000" w:themeColor="text1"/>
          <w:lang w:eastAsia="en-GB"/>
        </w:rPr>
        <w:t>d</w:t>
      </w:r>
      <w:r w:rsidR="009A0E3B" w:rsidRPr="00D6259F">
        <w:rPr>
          <w:color w:val="000000" w:themeColor="text1"/>
          <w:lang w:eastAsia="en-GB"/>
        </w:rPr>
        <w:t xml:space="preserve"> compares the changes in the fair value of the hedging instrument against the changes in fair value of the </w:t>
      </w:r>
      <w:r w:rsidR="00FE29AF" w:rsidRPr="00D6259F">
        <w:rPr>
          <w:color w:val="000000" w:themeColor="text1"/>
          <w:lang w:eastAsia="en-GB"/>
        </w:rPr>
        <w:t>hedged</w:t>
      </w:r>
      <w:r w:rsidR="009A0E3B" w:rsidRPr="00D6259F">
        <w:rPr>
          <w:color w:val="000000" w:themeColor="text1"/>
          <w:lang w:eastAsia="en-GB"/>
        </w:rPr>
        <w:t xml:space="preserve"> item </w:t>
      </w:r>
      <w:r w:rsidR="00FE29AF" w:rsidRPr="00D6259F">
        <w:rPr>
          <w:color w:val="000000" w:themeColor="text1"/>
          <w:lang w:eastAsia="en-GB"/>
        </w:rPr>
        <w:t>attributable to the hedged risk.</w:t>
      </w:r>
    </w:p>
    <w:p w14:paraId="066EE13E" w14:textId="77777777" w:rsidR="0023523E" w:rsidRPr="00D6259F" w:rsidRDefault="0023523E" w:rsidP="0023523E">
      <w:pPr>
        <w:rPr>
          <w:b/>
          <w:bCs/>
          <w:color w:val="000000" w:themeColor="text1"/>
          <w:lang w:eastAsia="en-GB"/>
        </w:rPr>
      </w:pPr>
      <w:r w:rsidRPr="00D6259F">
        <w:rPr>
          <w:b/>
          <w:bCs/>
          <w:color w:val="000000" w:themeColor="text1"/>
          <w:lang w:eastAsia="en-GB"/>
        </w:rPr>
        <w:t xml:space="preserve">Hedge </w:t>
      </w:r>
      <w:proofErr w:type="gramStart"/>
      <w:r w:rsidRPr="00D6259F">
        <w:rPr>
          <w:b/>
          <w:bCs/>
          <w:color w:val="000000" w:themeColor="text1"/>
          <w:lang w:eastAsia="en-GB"/>
        </w:rPr>
        <w:t>ineffectiveness</w:t>
      </w:r>
      <w:proofErr w:type="gramEnd"/>
    </w:p>
    <w:p w14:paraId="66C3B980" w14:textId="77777777" w:rsidR="0023523E" w:rsidRPr="00D6259F" w:rsidRDefault="0023523E" w:rsidP="0023523E">
      <w:pPr>
        <w:rPr>
          <w:color w:val="000000" w:themeColor="text1"/>
          <w:lang w:eastAsia="en-GB"/>
        </w:rPr>
      </w:pPr>
      <w:r w:rsidRPr="00D6259F">
        <w:rPr>
          <w:color w:val="000000" w:themeColor="text1"/>
          <w:lang w:eastAsia="en-GB"/>
        </w:rPr>
        <w:t>Hedge ineffectiveness in a hedge relationship can arise from:</w:t>
      </w:r>
    </w:p>
    <w:p w14:paraId="7DB04341" w14:textId="15B1A0A9" w:rsidR="0023523E" w:rsidRPr="00D6259F" w:rsidRDefault="00D04A07" w:rsidP="00BB0BEE">
      <w:pPr>
        <w:pStyle w:val="ListParagraph"/>
        <w:numPr>
          <w:ilvl w:val="0"/>
          <w:numId w:val="48"/>
        </w:numPr>
        <w:rPr>
          <w:color w:val="000000" w:themeColor="text1"/>
          <w:lang w:eastAsia="en-GB"/>
        </w:rPr>
      </w:pPr>
      <w:r w:rsidRPr="00D6259F">
        <w:rPr>
          <w:color w:val="000000" w:themeColor="text1"/>
          <w:lang w:eastAsia="en-GB"/>
        </w:rPr>
        <w:t>d</w:t>
      </w:r>
      <w:r w:rsidR="0023523E" w:rsidRPr="00D6259F">
        <w:rPr>
          <w:color w:val="000000" w:themeColor="text1"/>
          <w:lang w:eastAsia="en-GB"/>
        </w:rPr>
        <w:t>ifferences in the timing of cash flows of the hedged items and hedging instruments</w:t>
      </w:r>
      <w:r w:rsidRPr="00D6259F">
        <w:rPr>
          <w:color w:val="000000" w:themeColor="text1"/>
          <w:lang w:eastAsia="en-GB"/>
        </w:rPr>
        <w:t>; or</w:t>
      </w:r>
    </w:p>
    <w:p w14:paraId="6E111A0F" w14:textId="275F575C" w:rsidR="0023523E" w:rsidRPr="00D6259F" w:rsidRDefault="00D04A07" w:rsidP="00BB0BEE">
      <w:pPr>
        <w:pStyle w:val="ListParagraph"/>
        <w:numPr>
          <w:ilvl w:val="0"/>
          <w:numId w:val="48"/>
        </w:numPr>
        <w:rPr>
          <w:color w:val="000000" w:themeColor="text1"/>
          <w:lang w:eastAsia="en-GB"/>
        </w:rPr>
      </w:pPr>
      <w:r w:rsidRPr="00D6259F">
        <w:rPr>
          <w:color w:val="000000" w:themeColor="text1"/>
          <w:lang w:eastAsia="en-GB"/>
        </w:rPr>
        <w:t>c</w:t>
      </w:r>
      <w:r w:rsidR="0023523E" w:rsidRPr="00D6259F">
        <w:rPr>
          <w:color w:val="000000" w:themeColor="text1"/>
          <w:lang w:eastAsia="en-GB"/>
        </w:rPr>
        <w:t>hanges to the forecasted amount of cash flows of hedged items and hedging instruments.</w:t>
      </w:r>
    </w:p>
    <w:p w14:paraId="580CBC4F" w14:textId="77777777" w:rsidR="0023523E" w:rsidRPr="00D6259F" w:rsidRDefault="0023523E" w:rsidP="0023523E">
      <w:pPr>
        <w:rPr>
          <w:color w:val="000000" w:themeColor="text1"/>
          <w:lang w:eastAsia="en-GB"/>
        </w:rPr>
      </w:pPr>
    </w:p>
    <w:p w14:paraId="508587C2" w14:textId="77777777" w:rsidR="00D422B1" w:rsidRPr="00D6259F" w:rsidRDefault="00D422B1" w:rsidP="00C034D8">
      <w:pPr>
        <w:pStyle w:val="Heading2"/>
      </w:pPr>
      <w:bookmarkStart w:id="91" w:name="_Toc55482657"/>
      <w:bookmarkStart w:id="92" w:name="_Toc179890299"/>
      <w:r w:rsidRPr="00D6259F">
        <w:t xml:space="preserve">Note 13: Receivables and </w:t>
      </w:r>
      <w:proofErr w:type="gramStart"/>
      <w:r w:rsidRPr="00D6259F">
        <w:t>recoverables</w:t>
      </w:r>
      <w:bookmarkEnd w:id="91"/>
      <w:bookmarkEnd w:id="92"/>
      <w:proofErr w:type="gramEnd"/>
    </w:p>
    <w:p w14:paraId="2DB5EF26" w14:textId="1BF452D0" w:rsidR="00D422B1" w:rsidRPr="00D6259F" w:rsidRDefault="000F20D8" w:rsidP="00C034D8">
      <w:pPr>
        <w:rPr>
          <w:noProof/>
          <w:color w:val="000000" w:themeColor="text1"/>
        </w:rPr>
      </w:pPr>
      <w:r w:rsidRPr="00D6259F">
        <w:rPr>
          <w:noProof/>
          <w:color w:val="000000" w:themeColor="text1"/>
        </w:rPr>
        <w:object w:dxaOrig="10215" w:dyaOrig="5130" w14:anchorId="02031F1C">
          <v:shape id="_x0000_i1048" type="#_x0000_t75" style="width:498pt;height:254pt" o:ole="">
            <v:imagedata r:id="rId57" o:title=""/>
          </v:shape>
          <o:OLEObject Type="Link" ProgID="Excel.Sheet.12" ShapeID="_x0000_i1048" DrawAspect="Content" r:id="rId58" UpdateMode="Always">
            <o:LinkType>EnhancedMetaFile</o:LinkType>
            <o:LockedField>false</o:LockedField>
          </o:OLEObject>
        </w:object>
      </w:r>
    </w:p>
    <w:p w14:paraId="37A45E32" w14:textId="72C62A94" w:rsidR="00503DD8" w:rsidRPr="00D6259F" w:rsidRDefault="00D422B1" w:rsidP="00C034D8">
      <w:pPr>
        <w:rPr>
          <w:color w:val="000000" w:themeColor="text1"/>
        </w:rPr>
      </w:pPr>
      <w:r w:rsidRPr="00D6259F">
        <w:rPr>
          <w:color w:val="000000" w:themeColor="text1"/>
        </w:rPr>
        <w:t xml:space="preserve">Current trade, </w:t>
      </w:r>
      <w:proofErr w:type="gramStart"/>
      <w:r w:rsidRPr="00D6259F">
        <w:rPr>
          <w:color w:val="000000" w:themeColor="text1"/>
        </w:rPr>
        <w:t>rates</w:t>
      </w:r>
      <w:proofErr w:type="gramEnd"/>
      <w:r w:rsidRPr="00D6259F">
        <w:rPr>
          <w:color w:val="000000" w:themeColor="text1"/>
        </w:rPr>
        <w:t xml:space="preserve"> and sundry receivables and recoverables are non-interest bearing and receipt is generally on 30-day terms, therefore the carrying value approximates their fair value. </w:t>
      </w:r>
    </w:p>
    <w:p w14:paraId="375C584B" w14:textId="0EB3F8AB" w:rsidR="00902A50" w:rsidRPr="00D6259F" w:rsidRDefault="000F20D8" w:rsidP="00C034D8">
      <w:pPr>
        <w:rPr>
          <w:rFonts w:cs="Arial"/>
          <w:color w:val="000000" w:themeColor="text1"/>
          <w:lang w:eastAsia="en-GB"/>
        </w:rPr>
      </w:pPr>
      <w:r w:rsidRPr="00D6259F">
        <w:rPr>
          <w:rFonts w:cs="Arial"/>
          <w:b/>
          <w:bCs/>
          <w:color w:val="000000" w:themeColor="text1"/>
          <w:lang w:val="en-US" w:eastAsia="en-GB"/>
        </w:rPr>
        <w:object w:dxaOrig="10215" w:dyaOrig="2940" w14:anchorId="1EA6DBC6">
          <v:shape id="_x0000_i1049" type="#_x0000_t75" style="width:500pt;height:136pt" o:ole="">
            <v:imagedata r:id="rId59" o:title=""/>
          </v:shape>
          <o:OLEObject Type="Link" ProgID="Excel.Sheet.12" ShapeID="_x0000_i1049" DrawAspect="Content" r:id="rId60" UpdateMode="Always">
            <o:LinkType>EnhancedMetaFile</o:LinkType>
            <o:LockedField>false</o:LockedField>
          </o:OLEObject>
        </w:object>
      </w:r>
    </w:p>
    <w:p w14:paraId="1E863F74" w14:textId="77777777" w:rsidR="00D422B1" w:rsidRPr="00D6259F" w:rsidRDefault="00D422B1" w:rsidP="00C034D8">
      <w:pPr>
        <w:pStyle w:val="Heading3"/>
      </w:pPr>
      <w:bookmarkStart w:id="93" w:name="_Toc121217104"/>
      <w:r w:rsidRPr="00D6259F">
        <w:t>Relevant significant accounting policies</w:t>
      </w:r>
      <w:bookmarkEnd w:id="93"/>
    </w:p>
    <w:p w14:paraId="1F3CFD90" w14:textId="77777777" w:rsidR="00D422B1" w:rsidRPr="00D6259F" w:rsidRDefault="00D422B1" w:rsidP="00C2175B">
      <w:pPr>
        <w:pStyle w:val="Heading5"/>
        <w:rPr>
          <w:rFonts w:ascii="Times New Roman" w:hAnsi="Times New Roman"/>
          <w:color w:val="000000" w:themeColor="text1"/>
          <w:sz w:val="19"/>
          <w:szCs w:val="20"/>
        </w:rPr>
      </w:pPr>
      <w:r w:rsidRPr="00D6259F">
        <w:rPr>
          <w:color w:val="000000" w:themeColor="text1"/>
        </w:rPr>
        <w:t>Receivables from exchange transactions</w:t>
      </w:r>
    </w:p>
    <w:p w14:paraId="01D84E8A" w14:textId="2F11C010" w:rsidR="00D422B1" w:rsidRPr="00D6259F" w:rsidRDefault="00D422B1" w:rsidP="00C034D8">
      <w:pPr>
        <w:rPr>
          <w:color w:val="000000" w:themeColor="text1"/>
          <w:lang w:eastAsia="en-GB"/>
        </w:rPr>
      </w:pPr>
      <w:r w:rsidRPr="00D6259F">
        <w:rPr>
          <w:color w:val="000000" w:themeColor="text1"/>
          <w:lang w:eastAsia="en-GB"/>
        </w:rPr>
        <w:t xml:space="preserve">Receivables from exchange transactions arise when the Council is owed </w:t>
      </w:r>
      <w:r w:rsidR="00CC1522" w:rsidRPr="00D6259F">
        <w:rPr>
          <w:color w:val="000000" w:themeColor="text1"/>
          <w:lang w:eastAsia="en-GB"/>
        </w:rPr>
        <w:t xml:space="preserve">value </w:t>
      </w:r>
      <w:r w:rsidRPr="00D6259F">
        <w:rPr>
          <w:color w:val="000000" w:themeColor="text1"/>
          <w:lang w:eastAsia="en-GB"/>
        </w:rPr>
        <w:t xml:space="preserve">by another entity or individual for goods or services provided directly by </w:t>
      </w:r>
      <w:r w:rsidR="00AE0B18" w:rsidRPr="00D6259F">
        <w:rPr>
          <w:color w:val="000000" w:themeColor="text1"/>
          <w:lang w:eastAsia="en-GB"/>
        </w:rPr>
        <w:t xml:space="preserve">the </w:t>
      </w:r>
      <w:r w:rsidRPr="00D6259F">
        <w:rPr>
          <w:color w:val="000000" w:themeColor="text1"/>
          <w:lang w:eastAsia="en-GB"/>
        </w:rPr>
        <w:t>Council and will receive approximately equal value in a willing arm’s</w:t>
      </w:r>
      <w:r w:rsidR="0067602F" w:rsidRPr="00D6259F">
        <w:rPr>
          <w:color w:val="000000" w:themeColor="text1"/>
          <w:lang w:eastAsia="en-GB"/>
        </w:rPr>
        <w:t>-</w:t>
      </w:r>
      <w:r w:rsidRPr="00D6259F">
        <w:rPr>
          <w:color w:val="000000" w:themeColor="text1"/>
          <w:lang w:eastAsia="en-GB"/>
        </w:rPr>
        <w:t>length transaction (primarily in the form of cash in exchange). Examples of exchange transactions include parking services and metered water rates.</w:t>
      </w:r>
    </w:p>
    <w:p w14:paraId="6249B3B6" w14:textId="77777777" w:rsidR="00D422B1" w:rsidRPr="00D6259F" w:rsidRDefault="00D422B1" w:rsidP="00C2175B">
      <w:pPr>
        <w:pStyle w:val="Heading5"/>
        <w:rPr>
          <w:color w:val="000000" w:themeColor="text1"/>
        </w:rPr>
      </w:pPr>
      <w:r w:rsidRPr="00D6259F">
        <w:rPr>
          <w:color w:val="000000" w:themeColor="text1"/>
        </w:rPr>
        <w:t>Recoverables from non-exchange transactions</w:t>
      </w:r>
    </w:p>
    <w:p w14:paraId="40803412" w14:textId="77777777" w:rsidR="00D422B1" w:rsidRPr="00D6259F" w:rsidRDefault="00D422B1" w:rsidP="00C034D8">
      <w:pPr>
        <w:rPr>
          <w:color w:val="000000" w:themeColor="text1"/>
          <w:lang w:eastAsia="en-GB"/>
        </w:rPr>
      </w:pPr>
      <w:r w:rsidRPr="00D6259F">
        <w:rPr>
          <w:color w:val="000000" w:themeColor="text1"/>
          <w:lang w:eastAsia="en-GB"/>
        </w:rPr>
        <w:t xml:space="preserve">Recoverables from non-exchange transactions arise when the Council is owed value from another party without giving approximately equal value directly in exchange for the value received. Most of the goods or services </w:t>
      </w:r>
      <w:r w:rsidR="00F500A0" w:rsidRPr="00D6259F">
        <w:rPr>
          <w:color w:val="000000" w:themeColor="text1"/>
          <w:lang w:eastAsia="en-GB"/>
        </w:rPr>
        <w:t>the</w:t>
      </w:r>
      <w:r w:rsidRPr="00D6259F">
        <w:rPr>
          <w:color w:val="000000" w:themeColor="text1"/>
          <w:lang w:eastAsia="en-GB"/>
        </w:rPr>
        <w:t xml:space="preserve"> Council provide</w:t>
      </w:r>
      <w:r w:rsidR="009528BF" w:rsidRPr="00D6259F">
        <w:rPr>
          <w:color w:val="000000" w:themeColor="text1"/>
          <w:lang w:eastAsia="en-GB"/>
        </w:rPr>
        <w:t>s</w:t>
      </w:r>
      <w:r w:rsidRPr="00D6259F">
        <w:rPr>
          <w:color w:val="000000" w:themeColor="text1"/>
          <w:lang w:eastAsia="en-GB"/>
        </w:rPr>
        <w:t xml:space="preserve"> are subsidised by rates revenue and therefore the exchange is unequal. Examples of non-exchange transactions include social housing rentals, parking fines and recreational centre activities. Non-exchange transactions are comprised of either taxes or transfers. Transfers also include grants that do not have specific conditions attached which require return of the grant for non-performance.</w:t>
      </w:r>
    </w:p>
    <w:p w14:paraId="115A770D" w14:textId="5F3B901E" w:rsidR="00D422B1" w:rsidRPr="00D6259F" w:rsidRDefault="00D422B1" w:rsidP="00C034D8">
      <w:pPr>
        <w:rPr>
          <w:color w:val="000000" w:themeColor="text1"/>
          <w:lang w:eastAsia="en-GB"/>
        </w:rPr>
      </w:pPr>
      <w:r w:rsidRPr="00D6259F">
        <w:rPr>
          <w:color w:val="000000" w:themeColor="text1"/>
          <w:lang w:eastAsia="en-GB"/>
        </w:rPr>
        <w:t xml:space="preserve">An inflow of resources from a non-exchange transaction recognised as an asset is recognised as revenue, except to the extent that a liability is also recognised in respect of the same inflow. As </w:t>
      </w:r>
      <w:r w:rsidR="00F500A0" w:rsidRPr="00D6259F">
        <w:rPr>
          <w:color w:val="000000" w:themeColor="text1"/>
          <w:lang w:eastAsia="en-GB"/>
        </w:rPr>
        <w:t xml:space="preserve">the </w:t>
      </w:r>
      <w:r w:rsidRPr="00D6259F">
        <w:rPr>
          <w:color w:val="000000" w:themeColor="text1"/>
          <w:lang w:eastAsia="en-GB"/>
        </w:rPr>
        <w:t>Council satisfies a present obligation recognised as a liability in respect of an inflow of resources from a non-exchange transaction recognised as an asset, it reduces the carrying amount of the liability recognised and recognises an amount of revenue equal to that reduction.</w:t>
      </w:r>
    </w:p>
    <w:p w14:paraId="6A76CC20" w14:textId="340B3F3E" w:rsidR="00D37B6D" w:rsidRPr="00D6259F" w:rsidRDefault="00D37B6D" w:rsidP="00C034D8">
      <w:pPr>
        <w:rPr>
          <w:rFonts w:eastAsiaTheme="majorEastAsia" w:cs="Calibri"/>
          <w:b/>
          <w:i/>
          <w:iCs/>
          <w:color w:val="000000" w:themeColor="text1"/>
          <w:sz w:val="26"/>
          <w:szCs w:val="26"/>
          <w:lang w:eastAsia="en-GB"/>
        </w:rPr>
      </w:pPr>
      <w:r w:rsidRPr="00D6259F">
        <w:rPr>
          <w:rFonts w:eastAsiaTheme="majorEastAsia" w:cs="Calibri"/>
          <w:b/>
          <w:i/>
          <w:iCs/>
          <w:color w:val="000000" w:themeColor="text1"/>
          <w:sz w:val="26"/>
          <w:szCs w:val="26"/>
          <w:lang w:eastAsia="en-GB"/>
        </w:rPr>
        <w:t xml:space="preserve">Expected </w:t>
      </w:r>
      <w:r w:rsidR="005F3C62" w:rsidRPr="00D6259F">
        <w:rPr>
          <w:rFonts w:eastAsiaTheme="majorEastAsia" w:cs="Calibri"/>
          <w:b/>
          <w:i/>
          <w:iCs/>
          <w:color w:val="000000" w:themeColor="text1"/>
          <w:sz w:val="26"/>
          <w:szCs w:val="26"/>
          <w:lang w:eastAsia="en-GB"/>
        </w:rPr>
        <w:t>c</w:t>
      </w:r>
      <w:r w:rsidRPr="00D6259F">
        <w:rPr>
          <w:rFonts w:eastAsiaTheme="majorEastAsia" w:cs="Calibri"/>
          <w:b/>
          <w:i/>
          <w:iCs/>
          <w:color w:val="000000" w:themeColor="text1"/>
          <w:sz w:val="26"/>
          <w:szCs w:val="26"/>
          <w:lang w:eastAsia="en-GB"/>
        </w:rPr>
        <w:t xml:space="preserve">redit </w:t>
      </w:r>
      <w:proofErr w:type="gramStart"/>
      <w:r w:rsidRPr="00D6259F">
        <w:rPr>
          <w:rFonts w:eastAsiaTheme="majorEastAsia" w:cs="Calibri"/>
          <w:b/>
          <w:i/>
          <w:iCs/>
          <w:color w:val="000000" w:themeColor="text1"/>
          <w:sz w:val="26"/>
          <w:szCs w:val="26"/>
          <w:lang w:eastAsia="en-GB"/>
        </w:rPr>
        <w:t>losses</w:t>
      </w:r>
      <w:proofErr w:type="gramEnd"/>
    </w:p>
    <w:p w14:paraId="01B8B0DD" w14:textId="77777777" w:rsidR="00046FCA" w:rsidRPr="00D6259F" w:rsidRDefault="00046FCA" w:rsidP="00046FCA">
      <w:pPr>
        <w:rPr>
          <w:color w:val="000000" w:themeColor="text1"/>
          <w:lang w:eastAsia="en-GB"/>
        </w:rPr>
      </w:pPr>
      <w:r w:rsidRPr="00D6259F">
        <w:rPr>
          <w:color w:val="000000" w:themeColor="text1"/>
          <w:lang w:eastAsia="en-GB"/>
        </w:rPr>
        <w:t xml:space="preserve">Short-term receivables are recorded at the amount due, less an allowance for expected credit losses (ECL). </w:t>
      </w:r>
    </w:p>
    <w:p w14:paraId="2565B267" w14:textId="2BD8044D" w:rsidR="00046FCA" w:rsidRPr="00D6259F" w:rsidRDefault="00046FCA" w:rsidP="00046FCA">
      <w:pPr>
        <w:rPr>
          <w:color w:val="000000" w:themeColor="text1"/>
          <w:lang w:eastAsia="en-GB"/>
        </w:rPr>
      </w:pPr>
      <w:r w:rsidRPr="00D6259F">
        <w:rPr>
          <w:color w:val="000000" w:themeColor="text1"/>
          <w:lang w:eastAsia="en-GB"/>
        </w:rPr>
        <w:t>The Council and</w:t>
      </w:r>
      <w:r w:rsidR="006020F7" w:rsidRPr="00D6259F">
        <w:rPr>
          <w:color w:val="000000" w:themeColor="text1"/>
          <w:lang w:eastAsia="en-GB"/>
        </w:rPr>
        <w:t xml:space="preserve"> Group</w:t>
      </w:r>
      <w:r w:rsidRPr="00D6259F">
        <w:rPr>
          <w:color w:val="000000" w:themeColor="text1"/>
          <w:lang w:eastAsia="en-GB"/>
        </w:rPr>
        <w:t xml:space="preserve"> apply the simplified ECL model of recognising lifetime ECL for short-term receivables. Lifetime ECL result from all possible default events over the expected life of a receivable. The Council and</w:t>
      </w:r>
      <w:r w:rsidR="006020F7" w:rsidRPr="00D6259F">
        <w:rPr>
          <w:color w:val="000000" w:themeColor="text1"/>
          <w:lang w:eastAsia="en-GB"/>
        </w:rPr>
        <w:t xml:space="preserve"> Group</w:t>
      </w:r>
      <w:r w:rsidRPr="00D6259F">
        <w:rPr>
          <w:color w:val="000000" w:themeColor="text1"/>
          <w:lang w:eastAsia="en-GB"/>
        </w:rPr>
        <w:t xml:space="preserve"> use a provision matrix based on historical credit loss information upon initial recognition of a receivable, using reasonable assumptions and any available customer information.</w:t>
      </w:r>
    </w:p>
    <w:p w14:paraId="63E0F165" w14:textId="77777777" w:rsidR="00046FCA" w:rsidRPr="00D6259F" w:rsidRDefault="00046FCA" w:rsidP="00046FCA">
      <w:pPr>
        <w:rPr>
          <w:color w:val="000000" w:themeColor="text1"/>
          <w:lang w:eastAsia="en-GB"/>
        </w:rPr>
      </w:pPr>
      <w:r w:rsidRPr="00D6259F">
        <w:rPr>
          <w:color w:val="000000" w:themeColor="text1"/>
          <w:lang w:eastAsia="en-GB"/>
        </w:rPr>
        <w:t xml:space="preserve">Other receivables are written-off when there is no reasonable expectation of recovery. Indicators that there is no reasonable expectation of recovery include the debtor being in liquidation. </w:t>
      </w:r>
    </w:p>
    <w:p w14:paraId="670624F5" w14:textId="77777777" w:rsidR="00046FCA" w:rsidRPr="00D6259F" w:rsidRDefault="00046FCA" w:rsidP="00046FCA">
      <w:pPr>
        <w:rPr>
          <w:b/>
          <w:bCs/>
          <w:color w:val="000000" w:themeColor="text1"/>
          <w:lang w:eastAsia="en-GB"/>
        </w:rPr>
      </w:pPr>
      <w:r w:rsidRPr="00D6259F">
        <w:rPr>
          <w:b/>
          <w:bCs/>
          <w:color w:val="000000" w:themeColor="text1"/>
          <w:lang w:eastAsia="en-GB"/>
        </w:rPr>
        <w:t>Rates receivable</w:t>
      </w:r>
    </w:p>
    <w:p w14:paraId="55C17FC1" w14:textId="0FDA4407" w:rsidR="0036199F" w:rsidRPr="00D6259F" w:rsidRDefault="0036199F" w:rsidP="00320CC1">
      <w:pPr>
        <w:keepNext/>
        <w:rPr>
          <w:color w:val="000000" w:themeColor="text1"/>
          <w:lang w:eastAsia="en-GB"/>
        </w:rPr>
      </w:pPr>
      <w:r w:rsidRPr="00D6259F">
        <w:rPr>
          <w:color w:val="000000" w:themeColor="text1"/>
          <w:lang w:eastAsia="en-GB"/>
        </w:rPr>
        <w:t>The Council does not provide for ECL on rates receivable</w:t>
      </w:r>
      <w:r w:rsidR="00F76171" w:rsidRPr="00D6259F">
        <w:rPr>
          <w:color w:val="000000" w:themeColor="text1"/>
          <w:lang w:eastAsia="en-GB"/>
        </w:rPr>
        <w:t>,</w:t>
      </w:r>
      <w:r w:rsidRPr="00D6259F">
        <w:rPr>
          <w:color w:val="000000" w:themeColor="text1"/>
          <w:lang w:eastAsia="en-GB"/>
        </w:rPr>
        <w:t xml:space="preserve"> except for abandoned properties where the debt is greater than 10 years past due and the likelihood of recovery is assessed to be remote. For all other rates receivables, </w:t>
      </w:r>
      <w:r w:rsidR="00026640" w:rsidRPr="00D6259F">
        <w:rPr>
          <w:color w:val="000000" w:themeColor="text1"/>
          <w:lang w:eastAsia="en-GB"/>
        </w:rPr>
        <w:t xml:space="preserve">the </w:t>
      </w:r>
      <w:r w:rsidRPr="00D6259F">
        <w:rPr>
          <w:color w:val="000000" w:themeColor="text1"/>
          <w:lang w:eastAsia="en-GB"/>
        </w:rPr>
        <w:t xml:space="preserve">Council has various powers under the Local Government (Rating) Act 2002 </w:t>
      </w:r>
      <w:r w:rsidRPr="00D6259F">
        <w:rPr>
          <w:color w:val="000000" w:themeColor="text1"/>
          <w:lang w:eastAsia="en-GB"/>
        </w:rPr>
        <w:lastRenderedPageBreak/>
        <w:t>to recover any outstanding debts. These powers allow the Council to commence legal proceedings to recover any rates that remain unpaid four months after the due date for payment. If payment has not been made within three months of the Court’s judgment, then the Council can apply to the Registrar of the High Court to have the judgment enforced by sale or lease of the rating unit.</w:t>
      </w:r>
    </w:p>
    <w:p w14:paraId="25A90272" w14:textId="68344CA6" w:rsidR="00046FCA" w:rsidRPr="00D6259F" w:rsidRDefault="00046FCA" w:rsidP="00046FCA">
      <w:pPr>
        <w:rPr>
          <w:color w:val="000000" w:themeColor="text1"/>
          <w:lang w:eastAsia="en-GB"/>
        </w:rPr>
      </w:pPr>
      <w:r w:rsidRPr="00D6259F">
        <w:rPr>
          <w:color w:val="000000" w:themeColor="text1"/>
          <w:lang w:eastAsia="en-GB"/>
        </w:rPr>
        <w:t xml:space="preserve">Ratepayers can apply for payment plan options in special circumstances. </w:t>
      </w:r>
    </w:p>
    <w:p w14:paraId="1D9E832F" w14:textId="77777777" w:rsidR="0018509A" w:rsidRPr="00D6259F" w:rsidRDefault="0018509A" w:rsidP="0018509A">
      <w:pPr>
        <w:rPr>
          <w:b/>
          <w:bCs/>
          <w:color w:val="000000" w:themeColor="text1"/>
          <w:lang w:eastAsia="en-GB"/>
        </w:rPr>
      </w:pPr>
      <w:r w:rsidRPr="00D6259F">
        <w:rPr>
          <w:b/>
          <w:bCs/>
          <w:color w:val="000000" w:themeColor="text1"/>
          <w:lang w:eastAsia="en-GB"/>
        </w:rPr>
        <w:t xml:space="preserve">Other receivables </w:t>
      </w:r>
    </w:p>
    <w:p w14:paraId="52A0BD9C" w14:textId="7546C5CD" w:rsidR="00046FCA" w:rsidRPr="00D6259F" w:rsidRDefault="00046FCA" w:rsidP="00046FCA">
      <w:pPr>
        <w:rPr>
          <w:color w:val="000000" w:themeColor="text1"/>
          <w:lang w:eastAsia="en-GB"/>
        </w:rPr>
      </w:pPr>
      <w:r w:rsidRPr="00D6259F">
        <w:rPr>
          <w:color w:val="000000" w:themeColor="text1"/>
          <w:lang w:eastAsia="en-GB"/>
        </w:rPr>
        <w:t xml:space="preserve">In measuring </w:t>
      </w:r>
      <w:r w:rsidR="00CC1522" w:rsidRPr="00D6259F">
        <w:rPr>
          <w:color w:val="000000" w:themeColor="text1"/>
          <w:lang w:eastAsia="en-GB"/>
        </w:rPr>
        <w:t>ECL</w:t>
      </w:r>
      <w:r w:rsidRPr="00D6259F">
        <w:rPr>
          <w:color w:val="000000" w:themeColor="text1"/>
          <w:lang w:eastAsia="en-GB"/>
        </w:rPr>
        <w:t xml:space="preserve">, all receivables have been grouped based on shared risk characteristics and the days overdue. The ECL rates for other receivables are based on the payment profile of revenue on credit over the prior three years at </w:t>
      </w:r>
      <w:r w:rsidR="00676B7B" w:rsidRPr="00D6259F">
        <w:rPr>
          <w:color w:val="000000" w:themeColor="text1"/>
          <w:lang w:eastAsia="en-GB"/>
        </w:rPr>
        <w:t>year-end</w:t>
      </w:r>
      <w:r w:rsidRPr="00D6259F">
        <w:rPr>
          <w:color w:val="000000" w:themeColor="text1"/>
          <w:lang w:eastAsia="en-GB"/>
        </w:rPr>
        <w:t xml:space="preserve"> date. A provision matrix is then established based on historical, </w:t>
      </w:r>
      <w:proofErr w:type="gramStart"/>
      <w:r w:rsidRPr="00D6259F">
        <w:rPr>
          <w:color w:val="000000" w:themeColor="text1"/>
          <w:lang w:eastAsia="en-GB"/>
        </w:rPr>
        <w:t>current</w:t>
      </w:r>
      <w:proofErr w:type="gramEnd"/>
      <w:r w:rsidRPr="00D6259F">
        <w:rPr>
          <w:color w:val="000000" w:themeColor="text1"/>
          <w:lang w:eastAsia="en-GB"/>
        </w:rPr>
        <w:t xml:space="preserve"> and forward-looking information specific to each class of debtors and the macroeconomic environment affecting the ability of customers to settle their debt</w:t>
      </w:r>
      <w:r w:rsidR="002560E6" w:rsidRPr="00D6259F">
        <w:rPr>
          <w:color w:val="000000" w:themeColor="text1"/>
          <w:lang w:eastAsia="en-GB"/>
        </w:rPr>
        <w:t>.</w:t>
      </w:r>
    </w:p>
    <w:p w14:paraId="55B12FC3" w14:textId="4219FB6B" w:rsidR="0018509A" w:rsidRPr="00D6259F" w:rsidRDefault="0018509A" w:rsidP="0018509A">
      <w:pPr>
        <w:rPr>
          <w:color w:val="000000" w:themeColor="text1"/>
          <w:lang w:eastAsia="en-GB"/>
        </w:rPr>
      </w:pPr>
      <w:r w:rsidRPr="00D6259F">
        <w:rPr>
          <w:color w:val="000000" w:themeColor="text1"/>
          <w:lang w:eastAsia="en-GB"/>
        </w:rPr>
        <w:t xml:space="preserve">The allowance for </w:t>
      </w:r>
      <w:r w:rsidR="002560E6" w:rsidRPr="00D6259F">
        <w:rPr>
          <w:color w:val="000000" w:themeColor="text1"/>
          <w:lang w:eastAsia="en-GB"/>
        </w:rPr>
        <w:t>ECL</w:t>
      </w:r>
      <w:r w:rsidRPr="00D6259F">
        <w:rPr>
          <w:color w:val="000000" w:themeColor="text1"/>
          <w:lang w:eastAsia="en-GB"/>
        </w:rPr>
        <w:t xml:space="preserve"> </w:t>
      </w:r>
      <w:r w:rsidR="006A521F" w:rsidRPr="00D6259F">
        <w:rPr>
          <w:color w:val="000000" w:themeColor="text1"/>
          <w:lang w:eastAsia="en-GB"/>
        </w:rPr>
        <w:t xml:space="preserve">on total receivables and recoverables </w:t>
      </w:r>
      <w:r w:rsidRPr="00D6259F">
        <w:rPr>
          <w:color w:val="000000" w:themeColor="text1"/>
          <w:lang w:eastAsia="en-GB"/>
        </w:rPr>
        <w:t xml:space="preserve">based on </w:t>
      </w:r>
      <w:r w:rsidR="00543F5F" w:rsidRPr="00D6259F">
        <w:rPr>
          <w:color w:val="000000" w:themeColor="text1"/>
          <w:lang w:eastAsia="en-GB"/>
        </w:rPr>
        <w:t xml:space="preserve">the </w:t>
      </w:r>
      <w:r w:rsidRPr="00D6259F">
        <w:rPr>
          <w:color w:val="000000" w:themeColor="text1"/>
          <w:lang w:eastAsia="en-GB"/>
        </w:rPr>
        <w:t>Council and the</w:t>
      </w:r>
      <w:r w:rsidR="006020F7" w:rsidRPr="00D6259F">
        <w:rPr>
          <w:color w:val="000000" w:themeColor="text1"/>
          <w:lang w:eastAsia="en-GB"/>
        </w:rPr>
        <w:t xml:space="preserve"> Group</w:t>
      </w:r>
      <w:r w:rsidRPr="00D6259F">
        <w:rPr>
          <w:color w:val="000000" w:themeColor="text1"/>
          <w:lang w:eastAsia="en-GB"/>
        </w:rPr>
        <w:t xml:space="preserve">’s credit loss matrix is </w:t>
      </w:r>
      <w:r w:rsidR="005F3C62" w:rsidRPr="00D6259F">
        <w:rPr>
          <w:color w:val="000000" w:themeColor="text1"/>
          <w:lang w:eastAsia="en-GB"/>
        </w:rPr>
        <w:t>shown</w:t>
      </w:r>
      <w:r w:rsidRPr="00D6259F">
        <w:rPr>
          <w:color w:val="000000" w:themeColor="text1"/>
          <w:lang w:eastAsia="en-GB"/>
        </w:rPr>
        <w:t xml:space="preserve"> </w:t>
      </w:r>
      <w:r w:rsidR="005F3C62" w:rsidRPr="00D6259F">
        <w:rPr>
          <w:color w:val="000000" w:themeColor="text1"/>
          <w:lang w:eastAsia="en-GB"/>
        </w:rPr>
        <w:t xml:space="preserve">in </w:t>
      </w:r>
      <w:r w:rsidR="005F3C62" w:rsidRPr="00D6259F">
        <w:rPr>
          <w:i/>
          <w:iCs/>
          <w:color w:val="000000" w:themeColor="text1"/>
          <w:lang w:eastAsia="en-GB"/>
        </w:rPr>
        <w:t xml:space="preserve">Table </w:t>
      </w:r>
      <w:r w:rsidR="00D127B4" w:rsidRPr="00D6259F">
        <w:rPr>
          <w:i/>
          <w:iCs/>
          <w:color w:val="000000" w:themeColor="text1"/>
          <w:lang w:eastAsia="en-GB"/>
        </w:rPr>
        <w:t>23</w:t>
      </w:r>
      <w:r w:rsidR="005F3C62" w:rsidRPr="00D6259F">
        <w:rPr>
          <w:color w:val="000000" w:themeColor="text1"/>
          <w:lang w:eastAsia="en-GB"/>
        </w:rPr>
        <w:t>.</w:t>
      </w:r>
    </w:p>
    <w:p w14:paraId="1F97353F" w14:textId="7B86472F" w:rsidR="007E4148" w:rsidRPr="00D6259F" w:rsidRDefault="000F20D8" w:rsidP="0018509A">
      <w:pPr>
        <w:rPr>
          <w:color w:val="000000" w:themeColor="text1"/>
          <w:lang w:eastAsia="en-GB"/>
        </w:rPr>
      </w:pPr>
      <w:r w:rsidRPr="00D6259F">
        <w:rPr>
          <w:color w:val="000000" w:themeColor="text1"/>
          <w:lang w:eastAsia="en-GB"/>
        </w:rPr>
        <w:object w:dxaOrig="13380" w:dyaOrig="7425" w14:anchorId="7F93BBAD">
          <v:shape id="_x0000_i1050" type="#_x0000_t75" style="width:513pt;height:372pt" o:ole="">
            <v:imagedata r:id="rId61" o:title=""/>
          </v:shape>
          <o:OLEObject Type="Link" ProgID="Excel.Sheet.12" ShapeID="_x0000_i1050" DrawAspect="Content" r:id="rId62" UpdateMode="Always">
            <o:LinkType>EnhancedMetaFile</o:LinkType>
            <o:LockedField>false</o:LockedField>
          </o:OLEObject>
        </w:object>
      </w:r>
    </w:p>
    <w:p w14:paraId="34569B95" w14:textId="67D2B05F" w:rsidR="00AF10E2" w:rsidRPr="00D6259F" w:rsidRDefault="00AF10E2" w:rsidP="00AF10E2">
      <w:pPr>
        <w:rPr>
          <w:color w:val="000000" w:themeColor="text1"/>
          <w:lang w:eastAsia="en-GB"/>
        </w:rPr>
      </w:pPr>
      <w:r w:rsidRPr="00D6259F">
        <w:rPr>
          <w:color w:val="000000" w:themeColor="text1"/>
          <w:lang w:eastAsia="en-GB"/>
        </w:rPr>
        <w:t xml:space="preserve">The net receivables and recoverables past due for more than six months </w:t>
      </w:r>
      <w:proofErr w:type="gramStart"/>
      <w:r w:rsidR="002560E6" w:rsidRPr="00D6259F">
        <w:rPr>
          <w:color w:val="000000" w:themeColor="text1"/>
          <w:lang w:eastAsia="en-GB"/>
        </w:rPr>
        <w:t>includes</w:t>
      </w:r>
      <w:proofErr w:type="gramEnd"/>
      <w:r w:rsidRPr="00D6259F">
        <w:rPr>
          <w:color w:val="000000" w:themeColor="text1"/>
          <w:lang w:eastAsia="en-GB"/>
        </w:rPr>
        <w:t xml:space="preserve"> fines, which after initial de</w:t>
      </w:r>
      <w:r w:rsidR="00FE030D" w:rsidRPr="00D6259F">
        <w:rPr>
          <w:color w:val="000000" w:themeColor="text1"/>
          <w:lang w:eastAsia="en-GB"/>
        </w:rPr>
        <w:t>b</w:t>
      </w:r>
      <w:r w:rsidRPr="00D6259F">
        <w:rPr>
          <w:color w:val="000000" w:themeColor="text1"/>
          <w:lang w:eastAsia="en-GB"/>
        </w:rPr>
        <w:t>t recovery attempts, are passed to the Courts to further pursue. Due to their nature, the collection pattern for such fines is longer than for trade debtors.</w:t>
      </w:r>
    </w:p>
    <w:p w14:paraId="5695DF66" w14:textId="77777777" w:rsidR="00D422B1" w:rsidRPr="00D6259F" w:rsidRDefault="00D422B1" w:rsidP="00C034D8">
      <w:pPr>
        <w:pStyle w:val="Heading2"/>
      </w:pPr>
      <w:bookmarkStart w:id="94" w:name="_Toc55482658"/>
      <w:bookmarkStart w:id="95" w:name="_Toc179890300"/>
      <w:r w:rsidRPr="00D6259F">
        <w:lastRenderedPageBreak/>
        <w:t xml:space="preserve">Note 14: </w:t>
      </w:r>
      <w:r w:rsidR="00E77F2F" w:rsidRPr="00D6259F">
        <w:t>Prepayments</w:t>
      </w:r>
      <w:bookmarkEnd w:id="94"/>
      <w:bookmarkEnd w:id="95"/>
    </w:p>
    <w:p w14:paraId="4EA8364D" w14:textId="7C651861" w:rsidR="00E77F2F" w:rsidRPr="00D6259F" w:rsidRDefault="000F20D8" w:rsidP="00C034D8">
      <w:pPr>
        <w:rPr>
          <w:color w:val="000000" w:themeColor="text1"/>
          <w:lang w:eastAsia="en-NZ"/>
        </w:rPr>
      </w:pPr>
      <w:r w:rsidRPr="00D6259F">
        <w:rPr>
          <w:b/>
          <w:bCs/>
          <w:noProof/>
          <w:color w:val="000000" w:themeColor="text1"/>
          <w:lang w:val="en-US" w:eastAsia="en-NZ"/>
        </w:rPr>
        <w:object w:dxaOrig="10215" w:dyaOrig="4215" w14:anchorId="5B247950">
          <v:shape id="_x0000_i1051" type="#_x0000_t75" style="width:473pt;height:208pt" o:ole="">
            <v:imagedata r:id="rId63" o:title=""/>
          </v:shape>
          <o:OLEObject Type="Link" ProgID="Excel.Sheet.12" ShapeID="_x0000_i1051" DrawAspect="Content" r:id="rId64" UpdateMode="Always">
            <o:LinkType>EnhancedMetaFile</o:LinkType>
            <o:LockedField>false</o:LockedField>
          </o:OLEObject>
        </w:object>
      </w:r>
    </w:p>
    <w:p w14:paraId="5B2E7B72" w14:textId="37FAEEC7" w:rsidR="00990472" w:rsidRPr="00D6259F" w:rsidRDefault="0093708C" w:rsidP="00C034D8">
      <w:pPr>
        <w:rPr>
          <w:color w:val="000000" w:themeColor="text1"/>
          <w:lang w:eastAsia="en-NZ"/>
        </w:rPr>
      </w:pPr>
      <w:r w:rsidRPr="00D6259F">
        <w:rPr>
          <w:color w:val="000000" w:themeColor="text1"/>
          <w:lang w:eastAsia="en-NZ"/>
        </w:rPr>
        <w:t>The Council</w:t>
      </w:r>
      <w:r w:rsidR="00205825" w:rsidRPr="00D6259F">
        <w:rPr>
          <w:color w:val="000000" w:themeColor="text1"/>
          <w:lang w:eastAsia="en-NZ"/>
        </w:rPr>
        <w:t xml:space="preserve">’s significant material damage insurance policies </w:t>
      </w:r>
      <w:r w:rsidR="003877F1" w:rsidRPr="00D6259F">
        <w:rPr>
          <w:color w:val="000000" w:themeColor="text1"/>
          <w:lang w:eastAsia="en-NZ"/>
        </w:rPr>
        <w:t xml:space="preserve">normally </w:t>
      </w:r>
      <w:r w:rsidR="00205825" w:rsidRPr="00D6259F">
        <w:rPr>
          <w:color w:val="000000" w:themeColor="text1"/>
          <w:lang w:eastAsia="en-NZ"/>
        </w:rPr>
        <w:t xml:space="preserve">renew </w:t>
      </w:r>
      <w:r w:rsidR="005B159F" w:rsidRPr="00D6259F">
        <w:rPr>
          <w:color w:val="000000" w:themeColor="text1"/>
          <w:lang w:eastAsia="en-NZ"/>
        </w:rPr>
        <w:t xml:space="preserve">at the end of </w:t>
      </w:r>
      <w:r w:rsidR="00205825" w:rsidRPr="00D6259F">
        <w:rPr>
          <w:color w:val="000000" w:themeColor="text1"/>
          <w:lang w:eastAsia="en-NZ"/>
        </w:rPr>
        <w:t xml:space="preserve">May each year. </w:t>
      </w:r>
      <w:r w:rsidR="00AB3D2D" w:rsidRPr="00D6259F">
        <w:rPr>
          <w:color w:val="000000" w:themeColor="text1"/>
          <w:lang w:eastAsia="en-NZ"/>
        </w:rPr>
        <w:t xml:space="preserve">The </w:t>
      </w:r>
      <w:r w:rsidR="00D92397" w:rsidRPr="00D6259F">
        <w:rPr>
          <w:color w:val="000000" w:themeColor="text1"/>
          <w:lang w:eastAsia="en-NZ"/>
        </w:rPr>
        <w:t xml:space="preserve">prior year </w:t>
      </w:r>
      <w:r w:rsidR="00AB3D2D" w:rsidRPr="00D6259F">
        <w:rPr>
          <w:color w:val="000000" w:themeColor="text1"/>
          <w:lang w:eastAsia="en-NZ"/>
        </w:rPr>
        <w:t>payment for insurance did not</w:t>
      </w:r>
      <w:r w:rsidR="000A119B" w:rsidRPr="00D6259F">
        <w:rPr>
          <w:color w:val="000000" w:themeColor="text1"/>
          <w:lang w:eastAsia="en-NZ"/>
        </w:rPr>
        <w:t xml:space="preserve"> </w:t>
      </w:r>
      <w:r w:rsidR="00AB3D2D" w:rsidRPr="00D6259F">
        <w:rPr>
          <w:color w:val="000000" w:themeColor="text1"/>
          <w:lang w:eastAsia="en-NZ"/>
        </w:rPr>
        <w:t xml:space="preserve">occur until July 2023. </w:t>
      </w:r>
      <w:r w:rsidR="00771B51" w:rsidRPr="00D6259F">
        <w:rPr>
          <w:color w:val="000000" w:themeColor="text1"/>
          <w:lang w:eastAsia="en-NZ"/>
        </w:rPr>
        <w:t xml:space="preserve">Hence, the </w:t>
      </w:r>
      <w:r w:rsidR="000A119B" w:rsidRPr="00D6259F">
        <w:rPr>
          <w:color w:val="000000" w:themeColor="text1"/>
          <w:lang w:eastAsia="en-NZ"/>
        </w:rPr>
        <w:t xml:space="preserve">prior year </w:t>
      </w:r>
      <w:r w:rsidR="00771B51" w:rsidRPr="00D6259F">
        <w:rPr>
          <w:color w:val="000000" w:themeColor="text1"/>
          <w:lang w:eastAsia="en-NZ"/>
        </w:rPr>
        <w:t xml:space="preserve">prepayment for insurance is considerably lower compared to the </w:t>
      </w:r>
      <w:r w:rsidR="00676B7B" w:rsidRPr="00D6259F">
        <w:rPr>
          <w:color w:val="000000" w:themeColor="text1"/>
          <w:lang w:eastAsia="en-NZ"/>
        </w:rPr>
        <w:t>current year</w:t>
      </w:r>
      <w:r w:rsidR="00D92397" w:rsidRPr="00D6259F">
        <w:rPr>
          <w:color w:val="000000" w:themeColor="text1"/>
          <w:lang w:eastAsia="en-NZ"/>
        </w:rPr>
        <w:t>.</w:t>
      </w:r>
      <w:r w:rsidR="005E79BF" w:rsidRPr="00D6259F">
        <w:rPr>
          <w:color w:val="000000" w:themeColor="text1"/>
          <w:lang w:eastAsia="en-NZ"/>
        </w:rPr>
        <w:t xml:space="preserve"> </w:t>
      </w:r>
    </w:p>
    <w:p w14:paraId="50EBF4BB" w14:textId="37FAEEC7" w:rsidR="00E77F2F" w:rsidRPr="00D6259F" w:rsidRDefault="00E77F2F" w:rsidP="00C034D8">
      <w:pPr>
        <w:pStyle w:val="Heading2"/>
      </w:pPr>
      <w:bookmarkStart w:id="96" w:name="_Toc179890301"/>
      <w:r w:rsidRPr="00D6259F">
        <w:lastRenderedPageBreak/>
        <w:t xml:space="preserve">Note 15: Other financial </w:t>
      </w:r>
      <w:proofErr w:type="gramStart"/>
      <w:r w:rsidRPr="00D6259F">
        <w:t>assets</w:t>
      </w:r>
      <w:bookmarkEnd w:id="96"/>
      <w:proofErr w:type="gramEnd"/>
    </w:p>
    <w:p w14:paraId="07187D7C" w14:textId="69D75150" w:rsidR="00D422B1" w:rsidRPr="00D6259F" w:rsidRDefault="000F20D8" w:rsidP="00C034D8">
      <w:pPr>
        <w:rPr>
          <w:noProof/>
          <w:color w:val="000000" w:themeColor="text1"/>
        </w:rPr>
      </w:pPr>
      <w:r w:rsidRPr="00D6259F">
        <w:rPr>
          <w:noProof/>
          <w:color w:val="000000" w:themeColor="text1"/>
        </w:rPr>
        <w:object w:dxaOrig="10215" w:dyaOrig="8115" w14:anchorId="1B497662">
          <v:shape id="_x0000_i1052" type="#_x0000_t75" style="width:7in;height:418pt" o:ole="">
            <v:imagedata r:id="rId65" o:title=""/>
          </v:shape>
          <o:OLEObject Type="Link" ProgID="Excel.Sheet.12" ShapeID="_x0000_i1052" DrawAspect="Content" r:id="rId66" UpdateMode="Always">
            <o:LinkType>EnhancedMetaFile</o:LinkType>
            <o:LockedField>false</o:LockedField>
          </o:OLEObject>
        </w:object>
      </w:r>
    </w:p>
    <w:p w14:paraId="51929F77" w14:textId="77777777" w:rsidR="00D422B1" w:rsidRPr="00D6259F" w:rsidRDefault="00D422B1" w:rsidP="00C034D8">
      <w:pPr>
        <w:pStyle w:val="Heading4"/>
      </w:pPr>
      <w:r w:rsidRPr="00D6259F">
        <w:t>Equity investments</w:t>
      </w:r>
    </w:p>
    <w:p w14:paraId="00FC7286" w14:textId="0DD0948D" w:rsidR="00D422B1" w:rsidRPr="00D6259F" w:rsidRDefault="00D422B1" w:rsidP="00C034D8">
      <w:pPr>
        <w:rPr>
          <w:color w:val="000000" w:themeColor="text1"/>
          <w:lang w:eastAsia="en-GB"/>
        </w:rPr>
      </w:pPr>
      <w:r w:rsidRPr="00D6259F">
        <w:rPr>
          <w:color w:val="000000" w:themeColor="text1"/>
          <w:lang w:eastAsia="en-GB"/>
        </w:rPr>
        <w:t>Civic Financial Services Limited is the trading name for the New Zealand Local Government Insurance Corporation Limited. The Council holds a 4.</w:t>
      </w:r>
      <w:r w:rsidR="003A22E7" w:rsidRPr="00D6259F">
        <w:rPr>
          <w:color w:val="000000" w:themeColor="text1"/>
          <w:lang w:eastAsia="en-GB"/>
        </w:rPr>
        <w:t>7</w:t>
      </w:r>
      <w:r w:rsidR="00FA6D44" w:rsidRPr="00D6259F">
        <w:rPr>
          <w:color w:val="000000" w:themeColor="text1"/>
          <w:lang w:eastAsia="en-GB"/>
        </w:rPr>
        <w:t xml:space="preserve"> percent</w:t>
      </w:r>
      <w:r w:rsidRPr="00D6259F">
        <w:rPr>
          <w:color w:val="000000" w:themeColor="text1"/>
          <w:lang w:eastAsia="en-GB"/>
        </w:rPr>
        <w:t xml:space="preserve"> (20</w:t>
      </w:r>
      <w:r w:rsidR="001C7B40" w:rsidRPr="00D6259F">
        <w:rPr>
          <w:color w:val="000000" w:themeColor="text1"/>
          <w:lang w:eastAsia="en-GB"/>
        </w:rPr>
        <w:t>2</w:t>
      </w:r>
      <w:r w:rsidR="00615577" w:rsidRPr="00D6259F">
        <w:rPr>
          <w:color w:val="000000" w:themeColor="text1"/>
          <w:lang w:eastAsia="en-GB"/>
        </w:rPr>
        <w:t>3</w:t>
      </w:r>
      <w:r w:rsidRPr="00D6259F">
        <w:rPr>
          <w:color w:val="000000" w:themeColor="text1"/>
          <w:lang w:eastAsia="en-GB"/>
        </w:rPr>
        <w:t>: 4.</w:t>
      </w:r>
      <w:r w:rsidR="003A22E7" w:rsidRPr="00D6259F">
        <w:rPr>
          <w:color w:val="000000" w:themeColor="text1"/>
          <w:lang w:eastAsia="en-GB"/>
        </w:rPr>
        <w:t>7</w:t>
      </w:r>
      <w:r w:rsidR="00FA6D44" w:rsidRPr="00D6259F">
        <w:rPr>
          <w:color w:val="000000" w:themeColor="text1"/>
          <w:lang w:eastAsia="en-GB"/>
        </w:rPr>
        <w:t xml:space="preserve"> percent</w:t>
      </w:r>
      <w:r w:rsidRPr="00D6259F">
        <w:rPr>
          <w:color w:val="000000" w:themeColor="text1"/>
          <w:lang w:eastAsia="en-GB"/>
        </w:rPr>
        <w:t xml:space="preserve">) shareholding in this entity and has no present intention to sell. </w:t>
      </w:r>
      <w:r w:rsidR="00057CC8" w:rsidRPr="00D6259F">
        <w:rPr>
          <w:color w:val="000000" w:themeColor="text1"/>
          <w:lang w:eastAsia="en-GB"/>
        </w:rPr>
        <w:t xml:space="preserve">The fair value of the investment is determined by reference to the net equity </w:t>
      </w:r>
      <w:r w:rsidR="00F358DF" w:rsidRPr="00D6259F">
        <w:rPr>
          <w:color w:val="000000" w:themeColor="text1"/>
          <w:lang w:eastAsia="en-GB"/>
        </w:rPr>
        <w:t>amount from the</w:t>
      </w:r>
      <w:r w:rsidR="00AC1BEB" w:rsidRPr="00D6259F">
        <w:rPr>
          <w:color w:val="000000" w:themeColor="text1"/>
          <w:lang w:eastAsia="en-GB"/>
        </w:rPr>
        <w:t>ir</w:t>
      </w:r>
      <w:r w:rsidR="00F358DF" w:rsidRPr="00D6259F">
        <w:rPr>
          <w:color w:val="000000" w:themeColor="text1"/>
          <w:lang w:eastAsia="en-GB"/>
        </w:rPr>
        <w:t xml:space="preserve"> most recent Annual Report.</w:t>
      </w:r>
    </w:p>
    <w:p w14:paraId="6E57EB75" w14:textId="2C63A1E7" w:rsidR="00F358DF" w:rsidRPr="00D6259F" w:rsidRDefault="00D422B1" w:rsidP="00C034D8">
      <w:pPr>
        <w:rPr>
          <w:color w:val="000000" w:themeColor="text1"/>
          <w:lang w:eastAsia="en-GB"/>
        </w:rPr>
      </w:pPr>
      <w:r w:rsidRPr="00D6259F">
        <w:rPr>
          <w:color w:val="000000" w:themeColor="text1"/>
          <w:lang w:eastAsia="en-GB"/>
        </w:rPr>
        <w:t>The LGFA is an alternative debt provider majority owned by and operated for local authorities. The Council holds an 8</w:t>
      </w:r>
      <w:r w:rsidR="007542FD" w:rsidRPr="00D6259F">
        <w:rPr>
          <w:color w:val="000000" w:themeColor="text1"/>
          <w:lang w:eastAsia="en-GB"/>
        </w:rPr>
        <w:t>.3</w:t>
      </w:r>
      <w:r w:rsidR="00FA6D44" w:rsidRPr="00D6259F">
        <w:rPr>
          <w:color w:val="000000" w:themeColor="text1"/>
          <w:lang w:eastAsia="en-GB"/>
        </w:rPr>
        <w:t xml:space="preserve"> percent</w:t>
      </w:r>
      <w:r w:rsidRPr="00D6259F">
        <w:rPr>
          <w:color w:val="000000" w:themeColor="text1"/>
          <w:lang w:eastAsia="en-GB"/>
        </w:rPr>
        <w:t xml:space="preserve"> </w:t>
      </w:r>
      <w:r w:rsidR="004540A9" w:rsidRPr="00D6259F">
        <w:rPr>
          <w:color w:val="000000" w:themeColor="text1"/>
          <w:lang w:eastAsia="en-GB"/>
        </w:rPr>
        <w:t>(202</w:t>
      </w:r>
      <w:r w:rsidR="00615577" w:rsidRPr="00D6259F">
        <w:rPr>
          <w:color w:val="000000" w:themeColor="text1"/>
          <w:lang w:eastAsia="en-GB"/>
        </w:rPr>
        <w:t>3</w:t>
      </w:r>
      <w:r w:rsidR="004540A9" w:rsidRPr="00D6259F">
        <w:rPr>
          <w:color w:val="000000" w:themeColor="text1"/>
          <w:lang w:eastAsia="en-GB"/>
        </w:rPr>
        <w:t xml:space="preserve">: 8.3 percent) </w:t>
      </w:r>
      <w:r w:rsidRPr="00D6259F">
        <w:rPr>
          <w:color w:val="000000" w:themeColor="text1"/>
          <w:lang w:eastAsia="en-GB"/>
        </w:rPr>
        <w:t xml:space="preserve">shareholding of the paid-up capital and </w:t>
      </w:r>
      <w:r w:rsidR="00210020" w:rsidRPr="00D6259F">
        <w:rPr>
          <w:color w:val="000000" w:themeColor="text1"/>
          <w:lang w:eastAsia="en-GB"/>
        </w:rPr>
        <w:t xml:space="preserve">will benefit </w:t>
      </w:r>
      <w:r w:rsidRPr="00D6259F">
        <w:rPr>
          <w:color w:val="000000" w:themeColor="text1"/>
          <w:lang w:eastAsia="en-GB"/>
        </w:rPr>
        <w:t xml:space="preserve">as a shareholder from a return on its investment and as a borrower from lower borrowing costs. Refer to </w:t>
      </w:r>
      <w:r w:rsidRPr="00D6259F">
        <w:rPr>
          <w:i/>
          <w:iCs/>
          <w:color w:val="000000" w:themeColor="text1"/>
          <w:lang w:eastAsia="en-GB"/>
        </w:rPr>
        <w:t>Note 3</w:t>
      </w:r>
      <w:r w:rsidR="00335FA5" w:rsidRPr="00D6259F">
        <w:rPr>
          <w:i/>
          <w:iCs/>
          <w:color w:val="000000" w:themeColor="text1"/>
          <w:lang w:eastAsia="en-GB"/>
        </w:rPr>
        <w:t>7</w:t>
      </w:r>
      <w:r w:rsidRPr="00D6259F">
        <w:rPr>
          <w:i/>
          <w:iCs/>
          <w:color w:val="000000" w:themeColor="text1"/>
          <w:lang w:eastAsia="en-GB"/>
        </w:rPr>
        <w:t>: Related party disclosures</w:t>
      </w:r>
      <w:r w:rsidRPr="00D6259F">
        <w:rPr>
          <w:color w:val="000000" w:themeColor="text1"/>
          <w:lang w:eastAsia="en-GB"/>
        </w:rPr>
        <w:t>, for more information (</w:t>
      </w:r>
      <w:r w:rsidR="006F6060" w:rsidRPr="00D6259F">
        <w:rPr>
          <w:color w:val="000000" w:themeColor="text1"/>
          <w:lang w:eastAsia="en-GB"/>
        </w:rPr>
        <w:t>page</w:t>
      </w:r>
      <w:r w:rsidR="00D478DA" w:rsidRPr="00D6259F">
        <w:rPr>
          <w:color w:val="000000" w:themeColor="text1"/>
          <w:lang w:eastAsia="en-GB"/>
        </w:rPr>
        <w:t xml:space="preserve"> </w:t>
      </w:r>
      <w:r w:rsidR="00921C9A" w:rsidRPr="00D6259F">
        <w:rPr>
          <w:color w:val="000000" w:themeColor="text1"/>
          <w:lang w:eastAsia="en-GB"/>
        </w:rPr>
        <w:t>110</w:t>
      </w:r>
      <w:r w:rsidRPr="00D6259F">
        <w:rPr>
          <w:color w:val="000000" w:themeColor="text1"/>
          <w:lang w:eastAsia="en-GB"/>
        </w:rPr>
        <w:t>).</w:t>
      </w:r>
      <w:r w:rsidR="00F358DF" w:rsidRPr="00D6259F">
        <w:rPr>
          <w:color w:val="000000" w:themeColor="text1"/>
          <w:lang w:eastAsia="en-GB"/>
        </w:rPr>
        <w:t xml:space="preserve"> The fair value of the investment is determined by reference to the </w:t>
      </w:r>
      <w:r w:rsidR="000A119B" w:rsidRPr="00D6259F">
        <w:rPr>
          <w:color w:val="000000" w:themeColor="text1"/>
          <w:lang w:eastAsia="en-GB"/>
        </w:rPr>
        <w:t xml:space="preserve">estimated </w:t>
      </w:r>
      <w:r w:rsidR="00F358DF" w:rsidRPr="00D6259F">
        <w:rPr>
          <w:color w:val="000000" w:themeColor="text1"/>
          <w:lang w:eastAsia="en-GB"/>
        </w:rPr>
        <w:t>net equity amount from the</w:t>
      </w:r>
      <w:r w:rsidR="007542FD" w:rsidRPr="00D6259F">
        <w:rPr>
          <w:color w:val="000000" w:themeColor="text1"/>
          <w:lang w:eastAsia="en-GB"/>
        </w:rPr>
        <w:t>ir</w:t>
      </w:r>
      <w:r w:rsidR="00F358DF" w:rsidRPr="00D6259F">
        <w:rPr>
          <w:color w:val="000000" w:themeColor="text1"/>
          <w:lang w:eastAsia="en-GB"/>
        </w:rPr>
        <w:t xml:space="preserve"> most recent unaudited </w:t>
      </w:r>
      <w:r w:rsidR="000A119B" w:rsidRPr="00D6259F">
        <w:rPr>
          <w:color w:val="000000" w:themeColor="text1"/>
          <w:lang w:eastAsia="en-GB"/>
        </w:rPr>
        <w:t>June</w:t>
      </w:r>
      <w:r w:rsidR="00F358DF" w:rsidRPr="00D6259F">
        <w:rPr>
          <w:color w:val="000000" w:themeColor="text1"/>
          <w:lang w:eastAsia="en-GB"/>
        </w:rPr>
        <w:t xml:space="preserve"> quarter report.</w:t>
      </w:r>
    </w:p>
    <w:p w14:paraId="0755E25B" w14:textId="0A7A2682" w:rsidR="00D422B1" w:rsidRPr="00D6259F" w:rsidRDefault="00D422B1" w:rsidP="00C034D8">
      <w:pPr>
        <w:rPr>
          <w:color w:val="000000" w:themeColor="text1"/>
          <w:lang w:eastAsia="en-GB"/>
        </w:rPr>
      </w:pPr>
      <w:r w:rsidRPr="00D6259F">
        <w:rPr>
          <w:color w:val="000000" w:themeColor="text1"/>
          <w:lang w:eastAsia="en-GB"/>
        </w:rPr>
        <w:t xml:space="preserve">Creative HQ, a controlled entity of Wellington Regional Economic Development Agency Limited (WREDA), has small shareholdings in various incubator and accelerator programme companies. These shares are held until the companies mature or cease operations. </w:t>
      </w:r>
    </w:p>
    <w:p w14:paraId="27EAA96F" w14:textId="6181440F" w:rsidR="00F45864" w:rsidRPr="00D6259F" w:rsidRDefault="004540A9" w:rsidP="00F45864">
      <w:pPr>
        <w:pStyle w:val="Heading4"/>
      </w:pPr>
      <w:r w:rsidRPr="00D6259F">
        <w:lastRenderedPageBreak/>
        <w:t>Debt securities investments</w:t>
      </w:r>
    </w:p>
    <w:p w14:paraId="6E6CC0BE" w14:textId="77777777" w:rsidR="00F45864" w:rsidRPr="00D6259F" w:rsidRDefault="00F45864" w:rsidP="00F45864">
      <w:pPr>
        <w:keepNext/>
        <w:keepLines/>
        <w:spacing w:before="120" w:after="0"/>
        <w:outlineLvl w:val="4"/>
        <w:rPr>
          <w:rFonts w:eastAsiaTheme="majorEastAsia" w:cs="Calibri"/>
          <w:b/>
          <w:i/>
          <w:iCs/>
          <w:color w:val="000000" w:themeColor="text1"/>
          <w:sz w:val="26"/>
          <w:szCs w:val="26"/>
          <w:lang w:eastAsia="en-GB"/>
        </w:rPr>
      </w:pPr>
      <w:r w:rsidRPr="00D6259F">
        <w:rPr>
          <w:rFonts w:eastAsiaTheme="majorEastAsia" w:cs="Calibri"/>
          <w:b/>
          <w:i/>
          <w:iCs/>
          <w:color w:val="000000" w:themeColor="text1"/>
          <w:sz w:val="26"/>
          <w:szCs w:val="26"/>
          <w:lang w:eastAsia="en-GB"/>
        </w:rPr>
        <w:t>Borrower notes</w:t>
      </w:r>
    </w:p>
    <w:p w14:paraId="5D2B1C14" w14:textId="1702E0CC" w:rsidR="00F45864" w:rsidRPr="00D6259F" w:rsidRDefault="00F45864" w:rsidP="00F45864">
      <w:pPr>
        <w:rPr>
          <w:color w:val="000000" w:themeColor="text1"/>
          <w:lang w:eastAsia="en-GB"/>
        </w:rPr>
      </w:pPr>
      <w:r w:rsidRPr="00D6259F">
        <w:rPr>
          <w:color w:val="000000" w:themeColor="text1"/>
          <w:lang w:eastAsia="en-GB"/>
        </w:rPr>
        <w:t>As part of the borrowing arrangements through the LGFA, the Council is required to leave 2.5 percent of any debt drawdown with the LGFA, as an investment, in the form of a borrower note. Borrower notes are subordinated convertible debt instruments, which will be repaid with interest to the Council once the related borrowing is repaid or no longer owed to the LGFA. The maturity profile of these notes matches the related debt maturity profile (</w:t>
      </w:r>
      <w:r w:rsidR="00E401FA" w:rsidRPr="00D6259F">
        <w:rPr>
          <w:color w:val="000000" w:themeColor="text1"/>
          <w:lang w:eastAsia="en-GB"/>
        </w:rPr>
        <w:t xml:space="preserve">26 August </w:t>
      </w:r>
      <w:r w:rsidRPr="00D6259F">
        <w:rPr>
          <w:color w:val="000000" w:themeColor="text1"/>
          <w:lang w:eastAsia="en-GB"/>
        </w:rPr>
        <w:t>2024 to 15 October 2033).</w:t>
      </w:r>
    </w:p>
    <w:p w14:paraId="59E10A33" w14:textId="77777777" w:rsidR="00F45864" w:rsidRPr="00D6259F" w:rsidRDefault="00F45864" w:rsidP="00F45864">
      <w:pPr>
        <w:rPr>
          <w:color w:val="000000" w:themeColor="text1"/>
          <w:lang w:eastAsia="en-GB"/>
        </w:rPr>
      </w:pPr>
      <w:r w:rsidRPr="00D6259F">
        <w:rPr>
          <w:color w:val="000000" w:themeColor="text1"/>
          <w:lang w:eastAsia="en-GB"/>
        </w:rPr>
        <w:t>The fair value of borrower notes is determined by reference to the relevant interest rate curve.</w:t>
      </w:r>
    </w:p>
    <w:p w14:paraId="04D972C9" w14:textId="77777777" w:rsidR="00D422B1" w:rsidRPr="00D6259F" w:rsidRDefault="00D422B1" w:rsidP="00C034D8">
      <w:pPr>
        <w:pStyle w:val="Heading4"/>
      </w:pPr>
      <w:r w:rsidRPr="00D6259F">
        <w:t>Deposits and loans</w:t>
      </w:r>
    </w:p>
    <w:p w14:paraId="25154590" w14:textId="02B0D0BA" w:rsidR="00D422B1" w:rsidRPr="00D6259F" w:rsidRDefault="00D422B1" w:rsidP="00C034D8">
      <w:pPr>
        <w:pStyle w:val="Heading5"/>
        <w:rPr>
          <w:color w:val="000000" w:themeColor="text1"/>
        </w:rPr>
      </w:pPr>
      <w:r w:rsidRPr="00D6259F">
        <w:rPr>
          <w:color w:val="000000" w:themeColor="text1"/>
        </w:rPr>
        <w:t xml:space="preserve">Bank </w:t>
      </w:r>
      <w:r w:rsidR="00AF10E2" w:rsidRPr="00D6259F">
        <w:rPr>
          <w:color w:val="000000" w:themeColor="text1"/>
        </w:rPr>
        <w:t xml:space="preserve">term </w:t>
      </w:r>
      <w:proofErr w:type="gramStart"/>
      <w:r w:rsidRPr="00D6259F">
        <w:rPr>
          <w:color w:val="000000" w:themeColor="text1"/>
        </w:rPr>
        <w:t>deposits</w:t>
      </w:r>
      <w:proofErr w:type="gramEnd"/>
    </w:p>
    <w:p w14:paraId="195F636F" w14:textId="469EC4C5" w:rsidR="00057CC8" w:rsidRPr="00D6259F" w:rsidRDefault="00D422B1" w:rsidP="00057CC8">
      <w:pPr>
        <w:rPr>
          <w:color w:val="000000" w:themeColor="text1"/>
          <w:lang w:eastAsia="en-GB"/>
        </w:rPr>
      </w:pPr>
      <w:r w:rsidRPr="00D6259F">
        <w:rPr>
          <w:color w:val="000000" w:themeColor="text1"/>
          <w:lang w:eastAsia="en-GB"/>
        </w:rPr>
        <w:t xml:space="preserve">Bank term deposits with maturities greater than </w:t>
      </w:r>
      <w:r w:rsidR="000A119B" w:rsidRPr="00D6259F">
        <w:rPr>
          <w:color w:val="000000" w:themeColor="text1"/>
          <w:lang w:eastAsia="en-GB"/>
        </w:rPr>
        <w:t>3</w:t>
      </w:r>
      <w:r w:rsidRPr="00D6259F">
        <w:rPr>
          <w:color w:val="000000" w:themeColor="text1"/>
          <w:lang w:eastAsia="en-GB"/>
        </w:rPr>
        <w:t xml:space="preserve"> months</w:t>
      </w:r>
      <w:r w:rsidR="00026640" w:rsidRPr="00D6259F">
        <w:rPr>
          <w:color w:val="000000" w:themeColor="text1"/>
          <w:lang w:eastAsia="en-GB"/>
        </w:rPr>
        <w:t xml:space="preserve"> at acquisition</w:t>
      </w:r>
      <w:r w:rsidRPr="00D6259F">
        <w:rPr>
          <w:color w:val="000000" w:themeColor="text1"/>
          <w:lang w:eastAsia="en-GB"/>
        </w:rPr>
        <w:t xml:space="preserve"> are categorised as investments. These longer-term deposits largely </w:t>
      </w:r>
      <w:r w:rsidR="0079459A" w:rsidRPr="00D6259F">
        <w:rPr>
          <w:color w:val="000000" w:themeColor="text1"/>
          <w:lang w:eastAsia="en-GB"/>
        </w:rPr>
        <w:t xml:space="preserve">relate </w:t>
      </w:r>
      <w:r w:rsidRPr="00D6259F">
        <w:rPr>
          <w:color w:val="000000" w:themeColor="text1"/>
          <w:lang w:eastAsia="en-GB"/>
        </w:rPr>
        <w:t xml:space="preserve">to pre-funding for future debt repayments and </w:t>
      </w:r>
      <w:r w:rsidR="0046591F" w:rsidRPr="00D6259F">
        <w:rPr>
          <w:color w:val="000000" w:themeColor="text1"/>
          <w:lang w:eastAsia="en-GB"/>
        </w:rPr>
        <w:t xml:space="preserve">generally </w:t>
      </w:r>
      <w:r w:rsidRPr="00D6259F">
        <w:rPr>
          <w:color w:val="000000" w:themeColor="text1"/>
          <w:lang w:eastAsia="en-GB"/>
        </w:rPr>
        <w:t>mature in less than 12 months.</w:t>
      </w:r>
      <w:r w:rsidR="00057CC8" w:rsidRPr="00D6259F">
        <w:rPr>
          <w:color w:val="000000" w:themeColor="text1"/>
          <w:lang w:eastAsia="en-GB"/>
        </w:rPr>
        <w:t xml:space="preserve"> </w:t>
      </w:r>
    </w:p>
    <w:p w14:paraId="37A3DA80" w14:textId="3FB32537" w:rsidR="00057CC8" w:rsidRPr="00D6259F" w:rsidRDefault="00057CC8" w:rsidP="00057CC8">
      <w:pPr>
        <w:rPr>
          <w:color w:val="000000" w:themeColor="text1"/>
          <w:lang w:eastAsia="en-GB"/>
        </w:rPr>
      </w:pPr>
      <w:r w:rsidRPr="00D6259F">
        <w:rPr>
          <w:color w:val="000000" w:themeColor="text1"/>
          <w:lang w:eastAsia="en-GB"/>
        </w:rPr>
        <w:t>The carrying amount of term deposits approximates their fair value</w:t>
      </w:r>
      <w:r w:rsidR="009F49FC" w:rsidRPr="00D6259F">
        <w:rPr>
          <w:color w:val="000000" w:themeColor="text1"/>
          <w:lang w:eastAsia="en-GB"/>
        </w:rPr>
        <w:t xml:space="preserve"> a</w:t>
      </w:r>
      <w:r w:rsidR="00C1770F" w:rsidRPr="00D6259F">
        <w:rPr>
          <w:color w:val="000000" w:themeColor="text1"/>
          <w:lang w:eastAsia="en-GB"/>
        </w:rPr>
        <w:t>nd</w:t>
      </w:r>
      <w:r w:rsidR="009F49FC" w:rsidRPr="00D6259F">
        <w:rPr>
          <w:color w:val="000000" w:themeColor="text1"/>
          <w:lang w:eastAsia="en-GB"/>
        </w:rPr>
        <w:t xml:space="preserve"> no ECL has been recognised due to the continued low credit risk associated with these deposits, being held in NZ registered banks with A or better long-term investment grade credit ratings.</w:t>
      </w:r>
    </w:p>
    <w:p w14:paraId="4B679708" w14:textId="77777777" w:rsidR="00D422B1" w:rsidRPr="00D6259F" w:rsidRDefault="00D422B1" w:rsidP="00C034D8">
      <w:pPr>
        <w:pStyle w:val="Heading5"/>
        <w:rPr>
          <w:color w:val="000000" w:themeColor="text1"/>
        </w:rPr>
      </w:pPr>
      <w:bookmarkStart w:id="97" w:name="_Hlk132981819"/>
      <w:r w:rsidRPr="00D6259F">
        <w:rPr>
          <w:color w:val="000000" w:themeColor="text1"/>
        </w:rPr>
        <w:t>Loans to related parties</w:t>
      </w:r>
    </w:p>
    <w:bookmarkEnd w:id="97"/>
    <w:p w14:paraId="759A2051" w14:textId="170652A9" w:rsidR="00EC26F3" w:rsidRPr="00D6259F" w:rsidRDefault="00D422B1" w:rsidP="00C034D8">
      <w:pPr>
        <w:rPr>
          <w:color w:val="000000" w:themeColor="text1"/>
          <w:lang w:eastAsia="en-GB"/>
        </w:rPr>
      </w:pPr>
      <w:r w:rsidRPr="00D6259F">
        <w:rPr>
          <w:color w:val="000000" w:themeColor="text1"/>
          <w:lang w:eastAsia="en-GB"/>
        </w:rPr>
        <w:t xml:space="preserve">The loans to related parties are concessionary in </w:t>
      </w:r>
      <w:r w:rsidR="00EF790E" w:rsidRPr="00D6259F">
        <w:rPr>
          <w:color w:val="000000" w:themeColor="text1"/>
          <w:lang w:eastAsia="en-GB"/>
        </w:rPr>
        <w:t>nature since</w:t>
      </w:r>
      <w:r w:rsidRPr="00D6259F">
        <w:rPr>
          <w:color w:val="000000" w:themeColor="text1"/>
          <w:lang w:eastAsia="en-GB"/>
        </w:rPr>
        <w:t xml:space="preserve"> the loans have been granted on interest free terms</w:t>
      </w:r>
      <w:r w:rsidR="00E8052B" w:rsidRPr="00D6259F">
        <w:rPr>
          <w:color w:val="000000" w:themeColor="text1"/>
          <w:lang w:eastAsia="en-GB"/>
        </w:rPr>
        <w:t xml:space="preserve"> for all or part of the life of the loan</w:t>
      </w:r>
      <w:r w:rsidRPr="00D6259F">
        <w:rPr>
          <w:color w:val="000000" w:themeColor="text1"/>
          <w:lang w:eastAsia="en-GB"/>
        </w:rPr>
        <w:t>. The movements in the loans are shown in</w:t>
      </w:r>
      <w:r w:rsidR="00AF44A5" w:rsidRPr="00D6259F">
        <w:rPr>
          <w:color w:val="000000" w:themeColor="text1"/>
          <w:lang w:eastAsia="en-GB"/>
        </w:rPr>
        <w:t xml:space="preserve"> </w:t>
      </w:r>
      <w:r w:rsidR="00AF44A5" w:rsidRPr="00D6259F">
        <w:rPr>
          <w:i/>
          <w:iCs/>
          <w:color w:val="000000" w:themeColor="text1"/>
          <w:lang w:eastAsia="en-GB"/>
        </w:rPr>
        <w:t>T</w:t>
      </w:r>
      <w:r w:rsidRPr="00D6259F">
        <w:rPr>
          <w:i/>
          <w:iCs/>
          <w:color w:val="000000" w:themeColor="text1"/>
          <w:lang w:eastAsia="en-GB"/>
        </w:rPr>
        <w:t xml:space="preserve">able </w:t>
      </w:r>
      <w:r w:rsidR="00921C9A" w:rsidRPr="00D6259F">
        <w:rPr>
          <w:i/>
          <w:iCs/>
          <w:color w:val="000000" w:themeColor="text1"/>
          <w:lang w:eastAsia="en-GB"/>
        </w:rPr>
        <w:t>26</w:t>
      </w:r>
      <w:r w:rsidR="00B53056" w:rsidRPr="00D6259F">
        <w:rPr>
          <w:i/>
          <w:iCs/>
          <w:color w:val="000000" w:themeColor="text1"/>
          <w:lang w:eastAsia="en-GB"/>
        </w:rPr>
        <w:t>.</w:t>
      </w:r>
    </w:p>
    <w:p w14:paraId="5AD6F356" w14:textId="6B981262" w:rsidR="00D422B1" w:rsidRPr="00D6259F" w:rsidRDefault="000F20D8" w:rsidP="00C034D8">
      <w:pPr>
        <w:rPr>
          <w:color w:val="000000" w:themeColor="text1"/>
        </w:rPr>
      </w:pPr>
      <w:r w:rsidRPr="00D6259F">
        <w:rPr>
          <w:b/>
          <w:bCs/>
          <w:noProof/>
          <w:color w:val="000000" w:themeColor="text1"/>
          <w:lang w:val="en-US"/>
        </w:rPr>
        <w:object w:dxaOrig="10185" w:dyaOrig="7515" w14:anchorId="6DEE1EC5">
          <v:shape id="_x0000_i1053" type="#_x0000_t75" style="width:490pt;height:372pt" o:ole="">
            <v:imagedata r:id="rId67" o:title=""/>
          </v:shape>
          <o:OLEObject Type="Link" ProgID="Excel.Sheet.12" ShapeID="_x0000_i1053" DrawAspect="Content" r:id="rId68" UpdateMode="Always">
            <o:LinkType>EnhancedMetaFile</o:LinkType>
            <o:LockedField>false</o:LockedField>
          </o:OLEObject>
        </w:object>
      </w:r>
    </w:p>
    <w:p w14:paraId="03421086" w14:textId="77777777" w:rsidR="00D422B1" w:rsidRPr="00D6259F" w:rsidRDefault="00D422B1" w:rsidP="00C034D8">
      <w:pPr>
        <w:rPr>
          <w:rFonts w:cs="Arial"/>
          <w:color w:val="000000" w:themeColor="text1"/>
          <w:lang w:eastAsia="en-GB"/>
        </w:rPr>
      </w:pPr>
      <w:r w:rsidRPr="00D6259F">
        <w:rPr>
          <w:color w:val="000000" w:themeColor="text1"/>
          <w:lang w:eastAsia="en-GB"/>
        </w:rPr>
        <w:t>The fair value movement on loans reflects the timing of their expected repayments and the interest free or other nature of the loan. Over the remaining life of the loans their fair value will be amortised back up to their full nominal value</w:t>
      </w:r>
      <w:r w:rsidRPr="00D6259F">
        <w:rPr>
          <w:rFonts w:cs="Arial"/>
          <w:color w:val="000000" w:themeColor="text1"/>
          <w:lang w:eastAsia="en-GB"/>
        </w:rPr>
        <w:t xml:space="preserve">. </w:t>
      </w:r>
    </w:p>
    <w:p w14:paraId="188095D6" w14:textId="3BE313BB" w:rsidR="00D422B1" w:rsidRPr="00D6259F" w:rsidRDefault="00D422B1" w:rsidP="00C034D8">
      <w:pPr>
        <w:pStyle w:val="Heading4"/>
      </w:pPr>
      <w:r w:rsidRPr="00D6259F">
        <w:t>Wellington Regional Stadium Trust</w:t>
      </w:r>
      <w:r w:rsidR="005B159F" w:rsidRPr="00D6259F">
        <w:t xml:space="preserve"> (WRST)</w:t>
      </w:r>
    </w:p>
    <w:p w14:paraId="33F52538" w14:textId="77777777" w:rsidR="006077F9" w:rsidRPr="00D6259F" w:rsidRDefault="00EF1C6E" w:rsidP="00C034D8">
      <w:pPr>
        <w:rPr>
          <w:color w:val="000000" w:themeColor="text1"/>
          <w:lang w:eastAsia="en-GB"/>
        </w:rPr>
      </w:pPr>
      <w:r w:rsidRPr="00D6259F">
        <w:rPr>
          <w:color w:val="000000" w:themeColor="text1"/>
          <w:lang w:eastAsia="en-GB"/>
        </w:rPr>
        <w:t xml:space="preserve">The </w:t>
      </w:r>
      <w:r w:rsidR="00D422B1" w:rsidRPr="00D6259F">
        <w:rPr>
          <w:color w:val="000000" w:themeColor="text1"/>
          <w:lang w:eastAsia="en-GB"/>
        </w:rPr>
        <w:t>Council holds a $15</w:t>
      </w:r>
      <w:r w:rsidR="0046465C" w:rsidRPr="00D6259F">
        <w:rPr>
          <w:color w:val="000000" w:themeColor="text1"/>
          <w:lang w:eastAsia="en-GB"/>
        </w:rPr>
        <w:t>.0</w:t>
      </w:r>
      <w:r w:rsidR="00D422B1" w:rsidRPr="00D6259F">
        <w:rPr>
          <w:color w:val="000000" w:themeColor="text1"/>
          <w:lang w:eastAsia="en-GB"/>
        </w:rPr>
        <w:t xml:space="preserve">m limited recourse loan to WRST, which is unsecured, with no specified maturity and at no interest. The loan is not repayable until all other debts are </w:t>
      </w:r>
      <w:r w:rsidR="005C269A" w:rsidRPr="00D6259F">
        <w:rPr>
          <w:color w:val="000000" w:themeColor="text1"/>
          <w:lang w:eastAsia="en-GB"/>
        </w:rPr>
        <w:t>extinguished.</w:t>
      </w:r>
      <w:r w:rsidR="006077F9" w:rsidRPr="00D6259F">
        <w:rPr>
          <w:color w:val="000000" w:themeColor="text1"/>
          <w:lang w:eastAsia="en-GB"/>
        </w:rPr>
        <w:t xml:space="preserve"> </w:t>
      </w:r>
    </w:p>
    <w:p w14:paraId="2DBC3665" w14:textId="41A5E3FE" w:rsidR="00D422B1" w:rsidRPr="00D6259F" w:rsidRDefault="006077F9" w:rsidP="00C034D8">
      <w:pPr>
        <w:rPr>
          <w:color w:val="000000" w:themeColor="text1"/>
          <w:lang w:eastAsia="en-GB"/>
        </w:rPr>
      </w:pPr>
      <w:r w:rsidRPr="00D6259F">
        <w:rPr>
          <w:color w:val="000000" w:themeColor="text1"/>
          <w:lang w:eastAsia="en-GB"/>
        </w:rPr>
        <w:t xml:space="preserve">In addition to the loan, unpaid interest which arose under a </w:t>
      </w:r>
      <w:r w:rsidR="00D422B1" w:rsidRPr="00D6259F">
        <w:rPr>
          <w:color w:val="000000" w:themeColor="text1"/>
          <w:lang w:eastAsia="en-GB"/>
        </w:rPr>
        <w:t>membership underwrite</w:t>
      </w:r>
      <w:r w:rsidRPr="00D6259F">
        <w:rPr>
          <w:color w:val="000000" w:themeColor="text1"/>
          <w:lang w:eastAsia="en-GB"/>
        </w:rPr>
        <w:t xml:space="preserve"> agreement was </w:t>
      </w:r>
      <w:r w:rsidR="00D422B1" w:rsidRPr="00D6259F">
        <w:rPr>
          <w:color w:val="000000" w:themeColor="text1"/>
          <w:lang w:eastAsia="en-GB"/>
        </w:rPr>
        <w:t>converted to a $0.</w:t>
      </w:r>
      <w:r w:rsidR="001774EE" w:rsidRPr="00D6259F">
        <w:rPr>
          <w:color w:val="000000" w:themeColor="text1"/>
          <w:lang w:eastAsia="en-GB"/>
        </w:rPr>
        <w:t>4</w:t>
      </w:r>
      <w:r w:rsidR="00D422B1" w:rsidRPr="00D6259F">
        <w:rPr>
          <w:color w:val="000000" w:themeColor="text1"/>
          <w:lang w:eastAsia="en-GB"/>
        </w:rPr>
        <w:t xml:space="preserve">m advance repayable after all other advances made by the Council and </w:t>
      </w:r>
      <w:r w:rsidR="005C269A" w:rsidRPr="00D6259F">
        <w:rPr>
          <w:color w:val="000000" w:themeColor="text1"/>
          <w:lang w:eastAsia="en-GB"/>
        </w:rPr>
        <w:t>GWRC</w:t>
      </w:r>
      <w:r w:rsidR="00210020" w:rsidRPr="00D6259F">
        <w:rPr>
          <w:color w:val="000000" w:themeColor="text1"/>
          <w:lang w:eastAsia="en-GB"/>
        </w:rPr>
        <w:t xml:space="preserve"> are paid</w:t>
      </w:r>
      <w:r w:rsidR="00D422B1" w:rsidRPr="00D6259F">
        <w:rPr>
          <w:color w:val="000000" w:themeColor="text1"/>
          <w:lang w:eastAsia="en-GB"/>
        </w:rPr>
        <w:t>.</w:t>
      </w:r>
      <w:r w:rsidRPr="00D6259F">
        <w:rPr>
          <w:color w:val="000000" w:themeColor="text1"/>
          <w:lang w:eastAsia="en-GB"/>
        </w:rPr>
        <w:t xml:space="preserve"> The </w:t>
      </w:r>
      <w:r w:rsidR="00D422B1" w:rsidRPr="00D6259F">
        <w:rPr>
          <w:color w:val="000000" w:themeColor="text1"/>
          <w:lang w:eastAsia="en-GB"/>
        </w:rPr>
        <w:t xml:space="preserve">expected repayment of the loan and the advance back to the Council, as advised by WRST, is in 2070. </w:t>
      </w:r>
    </w:p>
    <w:p w14:paraId="3754F51B" w14:textId="473CDF3E" w:rsidR="007C7055" w:rsidRPr="00D6259F" w:rsidRDefault="007C7055" w:rsidP="007C7055">
      <w:pPr>
        <w:rPr>
          <w:color w:val="000000" w:themeColor="text1"/>
          <w:lang w:eastAsia="en-GB"/>
        </w:rPr>
      </w:pPr>
      <w:r w:rsidRPr="00D6259F">
        <w:rPr>
          <w:color w:val="000000" w:themeColor="text1"/>
          <w:lang w:eastAsia="en-GB"/>
        </w:rPr>
        <w:t xml:space="preserve">The amortisation rate applicable to the WRST loan is 12.7 percent. </w:t>
      </w:r>
    </w:p>
    <w:p w14:paraId="287F875A" w14:textId="4AFFCB04" w:rsidR="00D422B1" w:rsidRPr="00D6259F" w:rsidRDefault="00247F7E" w:rsidP="00C034D8">
      <w:pPr>
        <w:rPr>
          <w:rFonts w:eastAsia="MS Gothic"/>
          <w:color w:val="000000" w:themeColor="text1"/>
        </w:rPr>
      </w:pPr>
      <w:r w:rsidRPr="00D6259F">
        <w:rPr>
          <w:color w:val="000000" w:themeColor="text1"/>
        </w:rPr>
        <w:t>The $2.1m loan results from a</w:t>
      </w:r>
      <w:r w:rsidR="00D422B1" w:rsidRPr="00D6259F">
        <w:rPr>
          <w:color w:val="000000" w:themeColor="text1"/>
        </w:rPr>
        <w:t xml:space="preserve"> joint loan facility </w:t>
      </w:r>
      <w:r w:rsidR="00F62C44" w:rsidRPr="00D6259F">
        <w:rPr>
          <w:color w:val="000000" w:themeColor="text1"/>
        </w:rPr>
        <w:t xml:space="preserve">of $4.2m </w:t>
      </w:r>
      <w:r w:rsidR="005B159F" w:rsidRPr="00D6259F">
        <w:rPr>
          <w:color w:val="000000" w:themeColor="text1"/>
        </w:rPr>
        <w:t xml:space="preserve">shared </w:t>
      </w:r>
      <w:r w:rsidRPr="00D6259F">
        <w:rPr>
          <w:color w:val="000000" w:themeColor="text1"/>
        </w:rPr>
        <w:t xml:space="preserve">equally </w:t>
      </w:r>
      <w:r w:rsidR="00D422B1" w:rsidRPr="00D6259F">
        <w:rPr>
          <w:color w:val="000000" w:themeColor="text1"/>
        </w:rPr>
        <w:t xml:space="preserve">between </w:t>
      </w:r>
      <w:r w:rsidR="001D2C74" w:rsidRPr="00D6259F">
        <w:rPr>
          <w:color w:val="000000" w:themeColor="text1"/>
        </w:rPr>
        <w:t xml:space="preserve">the </w:t>
      </w:r>
      <w:r w:rsidR="00D422B1" w:rsidRPr="00D6259F">
        <w:rPr>
          <w:color w:val="000000" w:themeColor="text1"/>
        </w:rPr>
        <w:t xml:space="preserve">Council and </w:t>
      </w:r>
      <w:r w:rsidR="005C269A" w:rsidRPr="00D6259F">
        <w:rPr>
          <w:color w:val="000000" w:themeColor="text1"/>
        </w:rPr>
        <w:t>GWRC</w:t>
      </w:r>
      <w:r w:rsidR="00C724A5" w:rsidRPr="00D6259F">
        <w:rPr>
          <w:color w:val="000000" w:themeColor="text1"/>
        </w:rPr>
        <w:t>.</w:t>
      </w:r>
      <w:r w:rsidR="00D422B1" w:rsidRPr="00D6259F">
        <w:rPr>
          <w:color w:val="000000" w:themeColor="text1"/>
        </w:rPr>
        <w:t xml:space="preserve"> </w:t>
      </w:r>
      <w:r w:rsidR="00B76453" w:rsidRPr="00D6259F">
        <w:rPr>
          <w:rFonts w:eastAsia="MS Gothic"/>
          <w:color w:val="000000" w:themeColor="text1"/>
        </w:rPr>
        <w:t xml:space="preserve">The loan facility </w:t>
      </w:r>
      <w:r w:rsidR="00C1770F" w:rsidRPr="00D6259F">
        <w:rPr>
          <w:rFonts w:eastAsia="MS Gothic"/>
          <w:color w:val="000000" w:themeColor="text1"/>
        </w:rPr>
        <w:t>was</w:t>
      </w:r>
      <w:r w:rsidR="005E4B4F" w:rsidRPr="00D6259F">
        <w:rPr>
          <w:rFonts w:eastAsia="MS Gothic"/>
          <w:color w:val="000000" w:themeColor="text1"/>
        </w:rPr>
        <w:t xml:space="preserve"> </w:t>
      </w:r>
      <w:r w:rsidRPr="00D6259F">
        <w:rPr>
          <w:rFonts w:eastAsia="MS Gothic"/>
          <w:color w:val="000000" w:themeColor="text1"/>
        </w:rPr>
        <w:t xml:space="preserve">drawn down by WRST </w:t>
      </w:r>
      <w:r w:rsidR="00B76453" w:rsidRPr="00D6259F">
        <w:rPr>
          <w:rFonts w:eastAsia="MS Gothic"/>
          <w:color w:val="000000" w:themeColor="text1"/>
        </w:rPr>
        <w:t xml:space="preserve">to fund operating deficits resulting from the impact of COVID-19 and to provide funding for the capital works required to continue with the strengthening of the Fran Wilde walkway. </w:t>
      </w:r>
      <w:r w:rsidR="005E4B4F" w:rsidRPr="00D6259F">
        <w:rPr>
          <w:rFonts w:eastAsia="MS Gothic"/>
          <w:color w:val="000000" w:themeColor="text1"/>
        </w:rPr>
        <w:t>The</w:t>
      </w:r>
      <w:r w:rsidR="00B76453" w:rsidRPr="00D6259F">
        <w:rPr>
          <w:rFonts w:eastAsia="MS Gothic"/>
          <w:color w:val="000000" w:themeColor="text1"/>
        </w:rPr>
        <w:t xml:space="preserve"> </w:t>
      </w:r>
      <w:r w:rsidR="00F62C44" w:rsidRPr="00D6259F">
        <w:rPr>
          <w:rFonts w:eastAsia="MS Gothic"/>
          <w:color w:val="000000" w:themeColor="text1"/>
        </w:rPr>
        <w:t xml:space="preserve">Council’s share of the unsecured </w:t>
      </w:r>
      <w:r w:rsidR="00B76453" w:rsidRPr="00D6259F">
        <w:rPr>
          <w:rFonts w:eastAsia="MS Gothic"/>
          <w:color w:val="000000" w:themeColor="text1"/>
        </w:rPr>
        <w:t>loan is $</w:t>
      </w:r>
      <w:r w:rsidR="00F62C44" w:rsidRPr="00D6259F">
        <w:rPr>
          <w:rFonts w:eastAsia="MS Gothic"/>
          <w:color w:val="000000" w:themeColor="text1"/>
        </w:rPr>
        <w:t>2.1</w:t>
      </w:r>
      <w:r w:rsidR="00B76453" w:rsidRPr="00D6259F">
        <w:rPr>
          <w:rFonts w:eastAsia="MS Gothic"/>
          <w:color w:val="000000" w:themeColor="text1"/>
        </w:rPr>
        <w:t>m with a fixed interest rate of 3</w:t>
      </w:r>
      <w:r w:rsidR="000A119B" w:rsidRPr="00D6259F">
        <w:rPr>
          <w:rFonts w:eastAsia="MS Gothic"/>
          <w:color w:val="000000" w:themeColor="text1"/>
        </w:rPr>
        <w:t>.0</w:t>
      </w:r>
      <w:r w:rsidR="00B76453" w:rsidRPr="00D6259F">
        <w:rPr>
          <w:rFonts w:eastAsia="MS Gothic"/>
          <w:color w:val="000000" w:themeColor="text1"/>
        </w:rPr>
        <w:t xml:space="preserve"> percent and </w:t>
      </w:r>
      <w:r w:rsidR="00B53056" w:rsidRPr="00D6259F">
        <w:rPr>
          <w:rFonts w:eastAsia="MS Gothic"/>
          <w:color w:val="000000" w:themeColor="text1"/>
        </w:rPr>
        <w:t>was</w:t>
      </w:r>
      <w:r w:rsidR="00B76453" w:rsidRPr="00D6259F">
        <w:rPr>
          <w:rFonts w:eastAsia="MS Gothic"/>
          <w:color w:val="000000" w:themeColor="text1"/>
        </w:rPr>
        <w:t xml:space="preserve"> interest free for the first two years </w:t>
      </w:r>
      <w:r w:rsidR="001A14ED" w:rsidRPr="00D6259F">
        <w:rPr>
          <w:rFonts w:eastAsia="MS Gothic"/>
          <w:color w:val="000000" w:themeColor="text1"/>
        </w:rPr>
        <w:t xml:space="preserve">commencing from the date of the first </w:t>
      </w:r>
      <w:r w:rsidR="00B76453" w:rsidRPr="00D6259F">
        <w:rPr>
          <w:rFonts w:eastAsia="MS Gothic"/>
          <w:color w:val="000000" w:themeColor="text1"/>
        </w:rPr>
        <w:t>drawdown</w:t>
      </w:r>
      <w:r w:rsidR="00B53056" w:rsidRPr="00D6259F">
        <w:rPr>
          <w:rFonts w:eastAsia="MS Gothic"/>
          <w:color w:val="000000" w:themeColor="text1"/>
        </w:rPr>
        <w:t xml:space="preserve"> in December 2020</w:t>
      </w:r>
      <w:r w:rsidR="005E4B4F" w:rsidRPr="00D6259F">
        <w:rPr>
          <w:rFonts w:eastAsia="MS Gothic"/>
          <w:color w:val="000000" w:themeColor="text1"/>
        </w:rPr>
        <w:t>.</w:t>
      </w:r>
      <w:r w:rsidR="00CE5478" w:rsidRPr="00D6259F">
        <w:rPr>
          <w:rFonts w:eastAsia="MS Gothic"/>
          <w:color w:val="000000" w:themeColor="text1"/>
        </w:rPr>
        <w:t xml:space="preserve"> </w:t>
      </w:r>
      <w:r w:rsidR="00B53056" w:rsidRPr="00D6259F">
        <w:rPr>
          <w:rFonts w:eastAsia="MS Gothic"/>
          <w:color w:val="000000" w:themeColor="text1"/>
        </w:rPr>
        <w:t xml:space="preserve">The first six-monthly </w:t>
      </w:r>
      <w:r w:rsidR="00BF487C" w:rsidRPr="00D6259F">
        <w:rPr>
          <w:rFonts w:eastAsia="MS Gothic"/>
          <w:color w:val="000000" w:themeColor="text1"/>
        </w:rPr>
        <w:t xml:space="preserve">accrued </w:t>
      </w:r>
      <w:r w:rsidR="00B53056" w:rsidRPr="00D6259F">
        <w:rPr>
          <w:rFonts w:eastAsia="MS Gothic"/>
          <w:color w:val="000000" w:themeColor="text1"/>
        </w:rPr>
        <w:t xml:space="preserve">interest payment </w:t>
      </w:r>
      <w:r w:rsidR="00BF487C" w:rsidRPr="00D6259F">
        <w:rPr>
          <w:rFonts w:eastAsia="MS Gothic"/>
          <w:color w:val="000000" w:themeColor="text1"/>
        </w:rPr>
        <w:t xml:space="preserve">was </w:t>
      </w:r>
      <w:r w:rsidR="007C7055" w:rsidRPr="00D6259F">
        <w:rPr>
          <w:rFonts w:eastAsia="MS Gothic"/>
          <w:color w:val="000000" w:themeColor="text1"/>
        </w:rPr>
        <w:t>received</w:t>
      </w:r>
      <w:r w:rsidR="00B53056" w:rsidRPr="00D6259F">
        <w:rPr>
          <w:rFonts w:eastAsia="MS Gothic"/>
          <w:color w:val="000000" w:themeColor="text1"/>
        </w:rPr>
        <w:t xml:space="preserve"> in June 202</w:t>
      </w:r>
      <w:r w:rsidR="00BF487C" w:rsidRPr="00D6259F">
        <w:rPr>
          <w:rFonts w:eastAsia="MS Gothic"/>
          <w:color w:val="000000" w:themeColor="text1"/>
        </w:rPr>
        <w:t>3</w:t>
      </w:r>
      <w:r w:rsidR="00B53056" w:rsidRPr="00D6259F">
        <w:rPr>
          <w:rFonts w:eastAsia="MS Gothic"/>
          <w:color w:val="000000" w:themeColor="text1"/>
        </w:rPr>
        <w:t>, with the loan due to be fully repaid by the end of the 2030/31 reporting period.</w:t>
      </w:r>
    </w:p>
    <w:p w14:paraId="1513330F" w14:textId="525F7CBA" w:rsidR="00AC15B6" w:rsidRPr="00D6259F" w:rsidRDefault="00057CC8" w:rsidP="00AC15B6">
      <w:pPr>
        <w:rPr>
          <w:color w:val="000000" w:themeColor="text1"/>
          <w:lang w:eastAsia="en-GB"/>
        </w:rPr>
      </w:pPr>
      <w:r w:rsidRPr="00D6259F">
        <w:rPr>
          <w:color w:val="000000" w:themeColor="text1"/>
          <w:lang w:eastAsia="en-GB"/>
        </w:rPr>
        <w:t>The Council does not hold any collateral for any of its loan assets.</w:t>
      </w:r>
    </w:p>
    <w:p w14:paraId="4FA0C72B" w14:textId="77777777" w:rsidR="00141909" w:rsidRPr="00D6259F" w:rsidRDefault="00141909" w:rsidP="00141909">
      <w:pPr>
        <w:pStyle w:val="Heading3"/>
      </w:pPr>
      <w:r w:rsidRPr="00D6259F">
        <w:lastRenderedPageBreak/>
        <w:t>Relevant significant accounting policies</w:t>
      </w:r>
    </w:p>
    <w:p w14:paraId="6605A97D" w14:textId="77777777" w:rsidR="00141909" w:rsidRPr="00D6259F" w:rsidRDefault="00141909" w:rsidP="00141909">
      <w:pPr>
        <w:pStyle w:val="Heading5"/>
        <w:rPr>
          <w:color w:val="000000" w:themeColor="text1"/>
        </w:rPr>
      </w:pPr>
      <w:r w:rsidRPr="00D6259F">
        <w:rPr>
          <w:color w:val="000000" w:themeColor="text1"/>
        </w:rPr>
        <w:t>Initial recognition</w:t>
      </w:r>
    </w:p>
    <w:p w14:paraId="02441DB2" w14:textId="77777777" w:rsidR="00141909" w:rsidRPr="00D6259F" w:rsidRDefault="00141909" w:rsidP="00141909">
      <w:pPr>
        <w:rPr>
          <w:color w:val="000000" w:themeColor="text1"/>
          <w:lang w:eastAsia="en-GB"/>
        </w:rPr>
      </w:pPr>
      <w:r w:rsidRPr="00D6259F">
        <w:rPr>
          <w:color w:val="000000" w:themeColor="text1"/>
          <w:lang w:eastAsia="en-GB"/>
        </w:rPr>
        <w:t>Other financial assets (other than shares in subsidiaries) are initially recognised at fair value. They are then classified as, and subsequently measured under, the following categories:</w:t>
      </w:r>
    </w:p>
    <w:p w14:paraId="0A33DDC1" w14:textId="173386C6" w:rsidR="00141909" w:rsidRPr="00D6259F" w:rsidRDefault="00141909" w:rsidP="00BB0BEE">
      <w:pPr>
        <w:pStyle w:val="ListParagraph"/>
        <w:numPr>
          <w:ilvl w:val="0"/>
          <w:numId w:val="39"/>
        </w:numPr>
        <w:rPr>
          <w:color w:val="000000" w:themeColor="text1"/>
          <w:lang w:eastAsia="en-GB"/>
        </w:rPr>
      </w:pPr>
      <w:r w:rsidRPr="00D6259F">
        <w:rPr>
          <w:color w:val="000000" w:themeColor="text1"/>
          <w:lang w:eastAsia="en-GB"/>
        </w:rPr>
        <w:t xml:space="preserve">amortised </w:t>
      </w:r>
      <w:r w:rsidR="00BF487C" w:rsidRPr="00D6259F">
        <w:rPr>
          <w:color w:val="000000" w:themeColor="text1"/>
          <w:lang w:eastAsia="en-GB"/>
        </w:rPr>
        <w:t>cost.</w:t>
      </w:r>
    </w:p>
    <w:p w14:paraId="02CEEF6A" w14:textId="373D1D21" w:rsidR="00141909" w:rsidRPr="00D6259F" w:rsidRDefault="00141909" w:rsidP="00BB0BEE">
      <w:pPr>
        <w:pStyle w:val="ListParagraph"/>
        <w:numPr>
          <w:ilvl w:val="0"/>
          <w:numId w:val="39"/>
        </w:numPr>
        <w:rPr>
          <w:color w:val="000000" w:themeColor="text1"/>
          <w:lang w:eastAsia="en-GB"/>
        </w:rPr>
      </w:pPr>
      <w:r w:rsidRPr="00D6259F">
        <w:rPr>
          <w:color w:val="000000" w:themeColor="text1"/>
          <w:lang w:eastAsia="en-GB"/>
        </w:rPr>
        <w:t xml:space="preserve">fair value through other comprehensive revenue and expense (FVTOCRE); </w:t>
      </w:r>
      <w:r w:rsidR="009256D0" w:rsidRPr="00D6259F">
        <w:rPr>
          <w:color w:val="000000" w:themeColor="text1"/>
          <w:lang w:eastAsia="en-GB"/>
        </w:rPr>
        <w:t>or</w:t>
      </w:r>
    </w:p>
    <w:p w14:paraId="57C365C0" w14:textId="77777777" w:rsidR="00141909" w:rsidRPr="00D6259F" w:rsidRDefault="00141909" w:rsidP="00BB0BEE">
      <w:pPr>
        <w:pStyle w:val="ListParagraph"/>
        <w:numPr>
          <w:ilvl w:val="0"/>
          <w:numId w:val="39"/>
        </w:numPr>
        <w:rPr>
          <w:color w:val="000000" w:themeColor="text1"/>
          <w:lang w:eastAsia="en-GB"/>
        </w:rPr>
      </w:pPr>
      <w:r w:rsidRPr="00D6259F">
        <w:rPr>
          <w:color w:val="000000" w:themeColor="text1"/>
          <w:lang w:eastAsia="en-GB"/>
        </w:rPr>
        <w:t>fair value through surplus and deficit (FVTSD).</w:t>
      </w:r>
    </w:p>
    <w:p w14:paraId="7E2366CB" w14:textId="7F2E03E0" w:rsidR="00141909" w:rsidRPr="00D6259F" w:rsidRDefault="00141909" w:rsidP="00141909">
      <w:pPr>
        <w:rPr>
          <w:color w:val="000000" w:themeColor="text1"/>
          <w:lang w:eastAsia="en-GB"/>
        </w:rPr>
      </w:pPr>
      <w:r w:rsidRPr="00D6259F">
        <w:rPr>
          <w:color w:val="000000" w:themeColor="text1"/>
          <w:lang w:eastAsia="en-GB"/>
        </w:rPr>
        <w:t xml:space="preserve">Transaction costs are included in the value of the financial asset at initial recognition unless it has been designated at FVTSD, in which case it is recognised in </w:t>
      </w:r>
      <w:r w:rsidR="009256D0" w:rsidRPr="00D6259F">
        <w:rPr>
          <w:color w:val="000000" w:themeColor="text1"/>
          <w:lang w:eastAsia="en-GB"/>
        </w:rPr>
        <w:t xml:space="preserve">the </w:t>
      </w:r>
      <w:r w:rsidRPr="00D6259F">
        <w:rPr>
          <w:color w:val="000000" w:themeColor="text1"/>
          <w:lang w:eastAsia="en-GB"/>
        </w:rPr>
        <w:t>surplus or deficit.</w:t>
      </w:r>
    </w:p>
    <w:p w14:paraId="2F2B8736" w14:textId="27400BDD" w:rsidR="00141909" w:rsidRPr="00D6259F" w:rsidRDefault="00141909" w:rsidP="00141909">
      <w:pPr>
        <w:rPr>
          <w:color w:val="000000" w:themeColor="text1"/>
          <w:lang w:eastAsia="en-GB"/>
        </w:rPr>
      </w:pPr>
      <w:r w:rsidRPr="00D6259F">
        <w:rPr>
          <w:color w:val="000000" w:themeColor="text1"/>
          <w:lang w:eastAsia="en-GB"/>
        </w:rPr>
        <w:t>The classification of a financial asset depends on its cash flow characteristics and the Council and</w:t>
      </w:r>
      <w:r w:rsidR="006020F7" w:rsidRPr="00D6259F">
        <w:rPr>
          <w:color w:val="000000" w:themeColor="text1"/>
          <w:lang w:eastAsia="en-GB"/>
        </w:rPr>
        <w:t xml:space="preserve"> Group</w:t>
      </w:r>
      <w:r w:rsidRPr="00D6259F">
        <w:rPr>
          <w:color w:val="000000" w:themeColor="text1"/>
          <w:lang w:eastAsia="en-GB"/>
        </w:rPr>
        <w:t>’s management model for managing them.</w:t>
      </w:r>
    </w:p>
    <w:p w14:paraId="33EEFA0F" w14:textId="77777777" w:rsidR="00141909" w:rsidRPr="00D6259F" w:rsidRDefault="00141909" w:rsidP="00141909">
      <w:pPr>
        <w:rPr>
          <w:color w:val="000000" w:themeColor="text1"/>
          <w:lang w:eastAsia="en-GB"/>
        </w:rPr>
      </w:pPr>
      <w:r w:rsidRPr="00D6259F">
        <w:rPr>
          <w:color w:val="000000" w:themeColor="text1"/>
          <w:lang w:eastAsia="en-GB"/>
        </w:rPr>
        <w:t xml:space="preserve">A financial asset is classified and subsequently measured at amortised cost if it gives rise to cash flows that are ‘solely payments of principal and interest (SPPI)’ on the principal outstanding and is held within a management model whose objective is to collect the contractual cash flows of the asset. </w:t>
      </w:r>
    </w:p>
    <w:p w14:paraId="71FBEA50" w14:textId="77777777" w:rsidR="00141909" w:rsidRPr="00D6259F" w:rsidRDefault="00141909" w:rsidP="00141909">
      <w:pPr>
        <w:rPr>
          <w:color w:val="000000" w:themeColor="text1"/>
          <w:lang w:eastAsia="en-GB"/>
        </w:rPr>
      </w:pPr>
      <w:r w:rsidRPr="00D6259F">
        <w:rPr>
          <w:color w:val="000000" w:themeColor="text1"/>
          <w:lang w:eastAsia="en-GB"/>
        </w:rPr>
        <w:t xml:space="preserve">A financial asset is classified and subsequently measured at FVTOCRE if it gives rise to cash flows that are SPPI and held within a management model whose objective is achieved by both collecting contractual cash flows and selling financial assets. </w:t>
      </w:r>
    </w:p>
    <w:p w14:paraId="01A5F6B6" w14:textId="1B4180B5" w:rsidR="00837B64" w:rsidRPr="00D6259F" w:rsidRDefault="00141909" w:rsidP="00141909">
      <w:pPr>
        <w:rPr>
          <w:color w:val="000000" w:themeColor="text1"/>
          <w:lang w:eastAsia="en-GB"/>
        </w:rPr>
      </w:pPr>
      <w:r w:rsidRPr="00D6259F">
        <w:rPr>
          <w:color w:val="000000" w:themeColor="text1"/>
          <w:lang w:eastAsia="en-GB"/>
        </w:rPr>
        <w:t>Financial assets that do not meet the criteria to be measured at amortised cost or FVTOCRE are subsequently measured at FVTSD. However, the Council and</w:t>
      </w:r>
      <w:r w:rsidR="006020F7" w:rsidRPr="00D6259F">
        <w:rPr>
          <w:color w:val="000000" w:themeColor="text1"/>
          <w:lang w:eastAsia="en-GB"/>
        </w:rPr>
        <w:t xml:space="preserve"> Group</w:t>
      </w:r>
      <w:r w:rsidRPr="00D6259F">
        <w:rPr>
          <w:color w:val="000000" w:themeColor="text1"/>
          <w:lang w:eastAsia="en-GB"/>
        </w:rPr>
        <w:t xml:space="preserve"> may elect at initial recognition to designate an equity investment not held for trading as subsequently measured at FVTOCRE.</w:t>
      </w:r>
    </w:p>
    <w:p w14:paraId="1B0B7148" w14:textId="77777777" w:rsidR="00141909" w:rsidRPr="00D6259F" w:rsidRDefault="00141909" w:rsidP="00141909">
      <w:pPr>
        <w:pStyle w:val="Heading5"/>
        <w:rPr>
          <w:color w:val="000000" w:themeColor="text1"/>
        </w:rPr>
      </w:pPr>
      <w:r w:rsidRPr="00D6259F">
        <w:rPr>
          <w:color w:val="000000" w:themeColor="text1"/>
        </w:rPr>
        <w:t>Initial recognition of concessionary loans</w:t>
      </w:r>
    </w:p>
    <w:p w14:paraId="2105A635" w14:textId="77777777" w:rsidR="00141909" w:rsidRPr="00D6259F" w:rsidRDefault="00141909" w:rsidP="00141909">
      <w:pPr>
        <w:rPr>
          <w:color w:val="000000" w:themeColor="text1"/>
        </w:rPr>
      </w:pPr>
      <w:r w:rsidRPr="00D6259F">
        <w:rPr>
          <w:color w:val="000000" w:themeColor="text1"/>
        </w:rPr>
        <w:t xml:space="preserve">Loans made at nil or below-market interest rates are initially recognised at the present value of their expected future cash flow, discounted at the current market rate of return for a similar financial instrument. For loans to community organisations, the difference between the loan amount and present value of the expected future cash flows of the loan is recognised in the surplus or deficit as a grant expense. </w:t>
      </w:r>
    </w:p>
    <w:p w14:paraId="70C60AEE" w14:textId="77777777" w:rsidR="00141909" w:rsidRPr="00D6259F" w:rsidRDefault="00141909" w:rsidP="00141909">
      <w:pPr>
        <w:pStyle w:val="Heading5"/>
        <w:rPr>
          <w:color w:val="000000" w:themeColor="text1"/>
        </w:rPr>
      </w:pPr>
      <w:r w:rsidRPr="00D6259F">
        <w:rPr>
          <w:color w:val="000000" w:themeColor="text1"/>
        </w:rPr>
        <w:t xml:space="preserve">Subsequent measurement of financial assets at amortised cost </w:t>
      </w:r>
    </w:p>
    <w:p w14:paraId="789E37D4" w14:textId="219686FA" w:rsidR="00141909" w:rsidRPr="00D6259F" w:rsidRDefault="00141909" w:rsidP="00141909">
      <w:pPr>
        <w:rPr>
          <w:color w:val="000000" w:themeColor="text1"/>
        </w:rPr>
      </w:pPr>
      <w:r w:rsidRPr="00D6259F">
        <w:rPr>
          <w:color w:val="000000" w:themeColor="text1"/>
        </w:rPr>
        <w:t xml:space="preserve">Financial assets classified at amortised cost are subsequently measured at amortised cost using the effective interest method, less any expected credit losses (ECL). Instruments in this category include term deposits and loans to </w:t>
      </w:r>
      <w:r w:rsidR="007A3A0C" w:rsidRPr="00D6259F">
        <w:rPr>
          <w:color w:val="000000" w:themeColor="text1"/>
        </w:rPr>
        <w:t>related parties.</w:t>
      </w:r>
    </w:p>
    <w:p w14:paraId="68D0CB74" w14:textId="77777777" w:rsidR="00141909" w:rsidRPr="00D6259F" w:rsidRDefault="00141909" w:rsidP="00141909">
      <w:pPr>
        <w:pStyle w:val="Heading5"/>
        <w:rPr>
          <w:color w:val="000000" w:themeColor="text1"/>
        </w:rPr>
      </w:pPr>
      <w:r w:rsidRPr="00D6259F">
        <w:rPr>
          <w:color w:val="000000" w:themeColor="text1"/>
        </w:rPr>
        <w:t>Subsequent measurement of financial assets at FVTOCRE</w:t>
      </w:r>
    </w:p>
    <w:p w14:paraId="5EB1BC50" w14:textId="23A1B20C" w:rsidR="00141909" w:rsidRPr="00D6259F" w:rsidRDefault="00141909" w:rsidP="00141909">
      <w:pPr>
        <w:rPr>
          <w:color w:val="000000" w:themeColor="text1"/>
        </w:rPr>
      </w:pPr>
      <w:r w:rsidRPr="00D6259F">
        <w:rPr>
          <w:color w:val="000000" w:themeColor="text1"/>
        </w:rPr>
        <w:t>Financial assets in this category that are equity instruments designated as FVTOCRE are subsequently measured at fair value with fair value gains and losses recognised in other comprehensive revenue and expense. There is no assessment for impairment when fair value falls below the cost of the investment. When sold, the cumulative gain or loss previously recognised in other comprehensive revenue and expense is transferred to accumulated funds within equity. The Council and</w:t>
      </w:r>
      <w:r w:rsidR="006020F7" w:rsidRPr="00D6259F">
        <w:rPr>
          <w:color w:val="000000" w:themeColor="text1"/>
        </w:rPr>
        <w:t xml:space="preserve"> Group</w:t>
      </w:r>
      <w:r w:rsidRPr="00D6259F">
        <w:rPr>
          <w:color w:val="000000" w:themeColor="text1"/>
        </w:rPr>
        <w:t xml:space="preserve"> designate into this category all equity investments that are not held for trading as they are strategic investments that are intended to be held for the medium to long-term.</w:t>
      </w:r>
    </w:p>
    <w:p w14:paraId="639224FF" w14:textId="77777777" w:rsidR="00141909" w:rsidRPr="00D6259F" w:rsidRDefault="00141909" w:rsidP="00141909">
      <w:pPr>
        <w:pStyle w:val="Heading5"/>
        <w:rPr>
          <w:color w:val="000000" w:themeColor="text1"/>
        </w:rPr>
      </w:pPr>
      <w:r w:rsidRPr="00D6259F">
        <w:rPr>
          <w:color w:val="000000" w:themeColor="text1"/>
        </w:rPr>
        <w:lastRenderedPageBreak/>
        <w:t>Subsequent measurement of financial assets at FVTSD</w:t>
      </w:r>
    </w:p>
    <w:p w14:paraId="78A245F7" w14:textId="50CE7034" w:rsidR="00141909" w:rsidRPr="00D6259F" w:rsidRDefault="00141909" w:rsidP="00141909">
      <w:pPr>
        <w:rPr>
          <w:color w:val="000000" w:themeColor="text1"/>
        </w:rPr>
      </w:pPr>
      <w:r w:rsidRPr="00D6259F">
        <w:rPr>
          <w:color w:val="000000" w:themeColor="text1"/>
        </w:rPr>
        <w:t>Financial assets in this category are subsequently measured at fair value with fair value gains and losses recognised in</w:t>
      </w:r>
      <w:r w:rsidR="009256D0" w:rsidRPr="00D6259F">
        <w:rPr>
          <w:color w:val="000000" w:themeColor="text1"/>
        </w:rPr>
        <w:t xml:space="preserve"> the </w:t>
      </w:r>
      <w:r w:rsidRPr="00D6259F">
        <w:rPr>
          <w:color w:val="000000" w:themeColor="text1"/>
        </w:rPr>
        <w:t xml:space="preserve">surplus or deficit. </w:t>
      </w:r>
    </w:p>
    <w:p w14:paraId="04631430" w14:textId="77777777" w:rsidR="00141909" w:rsidRPr="00D6259F" w:rsidRDefault="00141909" w:rsidP="00141909">
      <w:pPr>
        <w:rPr>
          <w:color w:val="000000" w:themeColor="text1"/>
        </w:rPr>
      </w:pPr>
      <w:r w:rsidRPr="00D6259F">
        <w:rPr>
          <w:color w:val="000000" w:themeColor="text1"/>
        </w:rPr>
        <w:t xml:space="preserve">Interest revenue and dividends recognised from these financial assets are separately presented within revenue. </w:t>
      </w:r>
    </w:p>
    <w:p w14:paraId="68A82C7D" w14:textId="00C2ECBA" w:rsidR="00141909" w:rsidRPr="00D6259F" w:rsidRDefault="00141909" w:rsidP="00141909">
      <w:pPr>
        <w:pStyle w:val="Heading5"/>
        <w:rPr>
          <w:color w:val="000000" w:themeColor="text1"/>
        </w:rPr>
      </w:pPr>
      <w:r w:rsidRPr="00D6259F">
        <w:rPr>
          <w:color w:val="000000" w:themeColor="text1"/>
        </w:rPr>
        <w:t xml:space="preserve">Expected credit </w:t>
      </w:r>
      <w:r w:rsidR="00FE030D" w:rsidRPr="00D6259F">
        <w:rPr>
          <w:color w:val="000000" w:themeColor="text1"/>
        </w:rPr>
        <w:t>losses</w:t>
      </w:r>
      <w:r w:rsidRPr="00D6259F">
        <w:rPr>
          <w:color w:val="000000" w:themeColor="text1"/>
        </w:rPr>
        <w:t xml:space="preserve"> (ECL)</w:t>
      </w:r>
    </w:p>
    <w:p w14:paraId="16BFA422" w14:textId="62EC7344" w:rsidR="00141909" w:rsidRPr="00D6259F" w:rsidRDefault="00141909" w:rsidP="00141909">
      <w:pPr>
        <w:rPr>
          <w:color w:val="000000" w:themeColor="text1"/>
        </w:rPr>
      </w:pPr>
      <w:r w:rsidRPr="00D6259F">
        <w:rPr>
          <w:color w:val="000000" w:themeColor="text1"/>
        </w:rPr>
        <w:t>The Council and</w:t>
      </w:r>
      <w:r w:rsidR="006020F7" w:rsidRPr="00D6259F">
        <w:rPr>
          <w:color w:val="000000" w:themeColor="text1"/>
        </w:rPr>
        <w:t xml:space="preserve"> Group</w:t>
      </w:r>
      <w:r w:rsidRPr="00D6259F">
        <w:rPr>
          <w:color w:val="000000" w:themeColor="text1"/>
        </w:rPr>
        <w:t xml:space="preserve"> recognise an allowance for ECL for all debt instruments not classified as FVTSD. ECL are the probability-weighted estimate of credit losses, measured at the present value of cash shortfalls, which is the difference between the cash flows due to </w:t>
      </w:r>
      <w:r w:rsidR="00026640" w:rsidRPr="00D6259F">
        <w:rPr>
          <w:color w:val="000000" w:themeColor="text1"/>
        </w:rPr>
        <w:t xml:space="preserve">the </w:t>
      </w:r>
      <w:r w:rsidRPr="00D6259F">
        <w:rPr>
          <w:color w:val="000000" w:themeColor="text1"/>
        </w:rPr>
        <w:t>Council and</w:t>
      </w:r>
      <w:r w:rsidR="006020F7" w:rsidRPr="00D6259F">
        <w:rPr>
          <w:color w:val="000000" w:themeColor="text1"/>
        </w:rPr>
        <w:t xml:space="preserve"> Group</w:t>
      </w:r>
      <w:r w:rsidRPr="00D6259F">
        <w:rPr>
          <w:color w:val="000000" w:themeColor="text1"/>
        </w:rPr>
        <w:t xml:space="preserve"> in accordance with the contract and the cash flows it expects to receive. ECL are discounted at the effective interest rate of the financial asset.</w:t>
      </w:r>
    </w:p>
    <w:p w14:paraId="51087555" w14:textId="14DF970C" w:rsidR="00141909" w:rsidRPr="00D6259F" w:rsidRDefault="00141909" w:rsidP="00141909">
      <w:pPr>
        <w:rPr>
          <w:color w:val="000000" w:themeColor="text1"/>
        </w:rPr>
      </w:pPr>
      <w:r w:rsidRPr="00D6259F">
        <w:rPr>
          <w:color w:val="000000" w:themeColor="text1"/>
        </w:rPr>
        <w:t>ECL are recognised in two stages. ECL are provided for credit losses that result from default events that are possible within the next 12 months (a 12-month ECL). However, if there has been a significant increase in credit risk since initial recognition, the loss allowance is based on losses possible for the remaining life of the financial asset (Lifetime ECL).</w:t>
      </w:r>
    </w:p>
    <w:p w14:paraId="4C8A1492" w14:textId="55CDD949" w:rsidR="00141909" w:rsidRPr="00D6259F" w:rsidRDefault="00141909" w:rsidP="00141909">
      <w:pPr>
        <w:rPr>
          <w:color w:val="000000" w:themeColor="text1"/>
        </w:rPr>
      </w:pPr>
      <w:r w:rsidRPr="00D6259F">
        <w:rPr>
          <w:color w:val="000000" w:themeColor="text1"/>
        </w:rPr>
        <w:t>When determining whether the credit risk of a financial asset has increased significantly since initial recognition, the Council and</w:t>
      </w:r>
      <w:r w:rsidR="006020F7" w:rsidRPr="00D6259F">
        <w:rPr>
          <w:color w:val="000000" w:themeColor="text1"/>
        </w:rPr>
        <w:t xml:space="preserve"> Group</w:t>
      </w:r>
      <w:r w:rsidRPr="00D6259F">
        <w:rPr>
          <w:color w:val="000000" w:themeColor="text1"/>
        </w:rPr>
        <w:t xml:space="preserve"> considers reasonable and supportable information that is relevant and available without undue cost or effort. This includes both quantitative and qualitative information and analysis based on the Council and</w:t>
      </w:r>
      <w:r w:rsidR="006020F7" w:rsidRPr="00D6259F">
        <w:rPr>
          <w:color w:val="000000" w:themeColor="text1"/>
        </w:rPr>
        <w:t xml:space="preserve"> Group</w:t>
      </w:r>
      <w:r w:rsidRPr="00D6259F">
        <w:rPr>
          <w:color w:val="000000" w:themeColor="text1"/>
        </w:rPr>
        <w:t>’s historical experience and informed credit assessment and including forward-looking information.</w:t>
      </w:r>
    </w:p>
    <w:p w14:paraId="3F784630" w14:textId="6DAF39D3" w:rsidR="00D422B1" w:rsidRPr="00D6259F" w:rsidRDefault="00D422B1" w:rsidP="00C034D8">
      <w:pPr>
        <w:pStyle w:val="Heading2"/>
      </w:pPr>
      <w:bookmarkStart w:id="98" w:name="_Toc55482659"/>
      <w:bookmarkStart w:id="99" w:name="_Toc179890302"/>
      <w:r w:rsidRPr="00D6259F">
        <w:t>Note 1</w:t>
      </w:r>
      <w:r w:rsidR="00382496" w:rsidRPr="00D6259F">
        <w:t>6</w:t>
      </w:r>
      <w:r w:rsidRPr="00D6259F">
        <w:t xml:space="preserve">: Non-current assets classified as held for </w:t>
      </w:r>
      <w:proofErr w:type="gramStart"/>
      <w:r w:rsidRPr="00D6259F">
        <w:t>sale</w:t>
      </w:r>
      <w:bookmarkEnd w:id="98"/>
      <w:bookmarkEnd w:id="99"/>
      <w:proofErr w:type="gramEnd"/>
    </w:p>
    <w:p w14:paraId="042965A6" w14:textId="67EDC985" w:rsidR="00D422B1" w:rsidRPr="00D6259F" w:rsidRDefault="000F20D8" w:rsidP="00C034D8">
      <w:pPr>
        <w:rPr>
          <w:color w:val="000000" w:themeColor="text1"/>
        </w:rPr>
      </w:pPr>
      <w:r w:rsidRPr="00D6259F">
        <w:rPr>
          <w:b/>
          <w:bCs/>
          <w:noProof/>
          <w:color w:val="000000" w:themeColor="text1"/>
          <w:lang w:val="en-US"/>
        </w:rPr>
        <w:object w:dxaOrig="10215" w:dyaOrig="2430" w14:anchorId="6C5EE987">
          <v:shape id="_x0000_i1054" type="#_x0000_t75" style="width:486pt;height:129pt" o:ole="">
            <v:imagedata r:id="rId69" o:title=""/>
          </v:shape>
          <o:OLEObject Type="Link" ProgID="Excel.Sheet.12" ShapeID="_x0000_i1054" DrawAspect="Content" r:id="rId70" UpdateMode="Always">
            <o:LinkType>EnhancedMetaFile</o:LinkType>
            <o:LockedField>false</o:LockedField>
          </o:OLEObject>
        </w:object>
      </w:r>
    </w:p>
    <w:p w14:paraId="78B37614" w14:textId="01AE5163" w:rsidR="00DB76D9" w:rsidRPr="00D6259F" w:rsidRDefault="00DB76D9" w:rsidP="00C034D8">
      <w:pPr>
        <w:pStyle w:val="Heading3"/>
        <w:rPr>
          <w:rFonts w:ascii="Arial" w:hAnsi="Arial" w:cs="Times New Roman"/>
          <w:b w:val="0"/>
          <w:bCs w:val="0"/>
          <w:sz w:val="22"/>
          <w:szCs w:val="22"/>
          <w:lang w:eastAsia="en-US"/>
        </w:rPr>
      </w:pPr>
      <w:bookmarkStart w:id="100" w:name="_Toc121217108"/>
      <w:r w:rsidRPr="00D6259F">
        <w:rPr>
          <w:rFonts w:ascii="Arial" w:hAnsi="Arial" w:cs="Times New Roman"/>
          <w:b w:val="0"/>
          <w:bCs w:val="0"/>
          <w:sz w:val="22"/>
          <w:szCs w:val="22"/>
          <w:lang w:eastAsia="en-US"/>
        </w:rPr>
        <w:t>Included in the above Council assets are $8.7</w:t>
      </w:r>
      <w:r w:rsidR="00895DDC" w:rsidRPr="00D6259F">
        <w:rPr>
          <w:rFonts w:ascii="Arial" w:hAnsi="Arial" w:cs="Times New Roman"/>
          <w:b w:val="0"/>
          <w:bCs w:val="0"/>
          <w:sz w:val="22"/>
          <w:szCs w:val="22"/>
          <w:lang w:eastAsia="en-US"/>
        </w:rPr>
        <w:t>m</w:t>
      </w:r>
      <w:r w:rsidRPr="00D6259F">
        <w:rPr>
          <w:rFonts w:ascii="Arial" w:hAnsi="Arial" w:cs="Times New Roman"/>
          <w:b w:val="0"/>
          <w:bCs w:val="0"/>
          <w:sz w:val="22"/>
          <w:szCs w:val="22"/>
          <w:lang w:eastAsia="en-US"/>
        </w:rPr>
        <w:t xml:space="preserve"> of land and buildings that w</w:t>
      </w:r>
      <w:r w:rsidR="00210020" w:rsidRPr="00D6259F">
        <w:rPr>
          <w:rFonts w:ascii="Arial" w:hAnsi="Arial" w:cs="Times New Roman"/>
          <w:b w:val="0"/>
          <w:bCs w:val="0"/>
          <w:sz w:val="22"/>
          <w:szCs w:val="22"/>
          <w:lang w:eastAsia="en-US"/>
        </w:rPr>
        <w:t xml:space="preserve">ere </w:t>
      </w:r>
      <w:r w:rsidRPr="00D6259F">
        <w:rPr>
          <w:rFonts w:ascii="Arial" w:hAnsi="Arial" w:cs="Times New Roman"/>
          <w:b w:val="0"/>
          <w:bCs w:val="0"/>
          <w:sz w:val="22"/>
          <w:szCs w:val="22"/>
          <w:lang w:eastAsia="en-US"/>
        </w:rPr>
        <w:t xml:space="preserve">subsequently </w:t>
      </w:r>
      <w:r w:rsidR="00210020" w:rsidRPr="00D6259F">
        <w:rPr>
          <w:rFonts w:ascii="Arial" w:hAnsi="Arial" w:cs="Times New Roman"/>
          <w:b w:val="0"/>
          <w:bCs w:val="0"/>
          <w:sz w:val="22"/>
          <w:szCs w:val="22"/>
          <w:lang w:eastAsia="en-US"/>
        </w:rPr>
        <w:t xml:space="preserve">sold </w:t>
      </w:r>
      <w:r w:rsidRPr="00D6259F">
        <w:rPr>
          <w:rFonts w:ascii="Arial" w:hAnsi="Arial" w:cs="Times New Roman"/>
          <w:b w:val="0"/>
          <w:bCs w:val="0"/>
          <w:sz w:val="22"/>
          <w:szCs w:val="22"/>
          <w:lang w:eastAsia="en-US"/>
        </w:rPr>
        <w:t xml:space="preserve">to Te Toi </w:t>
      </w:r>
      <w:proofErr w:type="spellStart"/>
      <w:r w:rsidRPr="00D6259F">
        <w:rPr>
          <w:rFonts w:ascii="Arial" w:hAnsi="Arial" w:cs="Times New Roman"/>
          <w:b w:val="0"/>
          <w:bCs w:val="0"/>
          <w:sz w:val="22"/>
          <w:szCs w:val="22"/>
          <w:lang w:eastAsia="en-US"/>
        </w:rPr>
        <w:t>Mahana</w:t>
      </w:r>
      <w:proofErr w:type="spellEnd"/>
      <w:r w:rsidRPr="00D6259F">
        <w:rPr>
          <w:rFonts w:ascii="Arial" w:hAnsi="Arial" w:cs="Times New Roman"/>
          <w:b w:val="0"/>
          <w:bCs w:val="0"/>
          <w:sz w:val="22"/>
          <w:szCs w:val="22"/>
          <w:lang w:eastAsia="en-US"/>
        </w:rPr>
        <w:t xml:space="preserve"> </w:t>
      </w:r>
      <w:r w:rsidR="00210020" w:rsidRPr="00D6259F">
        <w:rPr>
          <w:rFonts w:ascii="Arial" w:hAnsi="Arial" w:cs="Times New Roman"/>
          <w:b w:val="0"/>
          <w:bCs w:val="0"/>
          <w:sz w:val="22"/>
          <w:szCs w:val="22"/>
          <w:lang w:eastAsia="en-US"/>
        </w:rPr>
        <w:t>in September 2024</w:t>
      </w:r>
      <w:r w:rsidRPr="00D6259F">
        <w:rPr>
          <w:rFonts w:ascii="Arial" w:hAnsi="Arial" w:cs="Times New Roman"/>
          <w:b w:val="0"/>
          <w:bCs w:val="0"/>
          <w:sz w:val="22"/>
          <w:szCs w:val="22"/>
          <w:lang w:eastAsia="en-US"/>
        </w:rPr>
        <w:t xml:space="preserve">. </w:t>
      </w:r>
    </w:p>
    <w:p w14:paraId="329F3EB4" w14:textId="77777777" w:rsidR="004E4845" w:rsidRPr="00D6259F" w:rsidRDefault="004E4845" w:rsidP="004E4845">
      <w:pPr>
        <w:rPr>
          <w:color w:val="000000" w:themeColor="text1"/>
        </w:rPr>
      </w:pPr>
    </w:p>
    <w:p w14:paraId="6F4ED069" w14:textId="77777777" w:rsidR="004E4845" w:rsidRPr="00D6259F" w:rsidRDefault="004E4845" w:rsidP="004E4845">
      <w:pPr>
        <w:rPr>
          <w:color w:val="000000" w:themeColor="text1"/>
        </w:rPr>
      </w:pPr>
    </w:p>
    <w:p w14:paraId="7B9932DF" w14:textId="77777777" w:rsidR="004E4845" w:rsidRPr="00D6259F" w:rsidRDefault="004E4845" w:rsidP="004E4845">
      <w:pPr>
        <w:rPr>
          <w:color w:val="000000" w:themeColor="text1"/>
        </w:rPr>
      </w:pPr>
    </w:p>
    <w:p w14:paraId="53FD3A2B" w14:textId="77777777" w:rsidR="004E4845" w:rsidRPr="00D6259F" w:rsidRDefault="004E4845" w:rsidP="004E4845">
      <w:pPr>
        <w:rPr>
          <w:color w:val="000000" w:themeColor="text1"/>
        </w:rPr>
      </w:pPr>
    </w:p>
    <w:p w14:paraId="3BD6D144" w14:textId="4B7F963D" w:rsidR="00D422B1" w:rsidRPr="00D6259F" w:rsidRDefault="00D422B1" w:rsidP="00C034D8">
      <w:pPr>
        <w:pStyle w:val="Heading3"/>
      </w:pPr>
      <w:r w:rsidRPr="00D6259F">
        <w:t>Relevant significant accounting policies</w:t>
      </w:r>
      <w:bookmarkEnd w:id="100"/>
    </w:p>
    <w:p w14:paraId="32B4DC61" w14:textId="77777777" w:rsidR="004D0297" w:rsidRPr="00D6259F" w:rsidRDefault="00D422B1" w:rsidP="00C034D8">
      <w:pPr>
        <w:rPr>
          <w:color w:val="000000" w:themeColor="text1"/>
          <w:lang w:eastAsia="en-GB"/>
        </w:rPr>
      </w:pPr>
      <w:r w:rsidRPr="00D6259F">
        <w:rPr>
          <w:color w:val="000000" w:themeColor="text1"/>
          <w:lang w:eastAsia="en-GB"/>
        </w:rPr>
        <w:t xml:space="preserve">Non-current assets are </w:t>
      </w:r>
      <w:r w:rsidR="006934D3" w:rsidRPr="00D6259F">
        <w:rPr>
          <w:color w:val="000000" w:themeColor="text1"/>
          <w:lang w:eastAsia="en-GB"/>
        </w:rPr>
        <w:t>classified as held for sale if the</w:t>
      </w:r>
      <w:r w:rsidR="004D0297" w:rsidRPr="00D6259F">
        <w:rPr>
          <w:color w:val="000000" w:themeColor="text1"/>
          <w:lang w:eastAsia="en-GB"/>
        </w:rPr>
        <w:t>ir</w:t>
      </w:r>
      <w:r w:rsidR="006934D3" w:rsidRPr="00D6259F">
        <w:rPr>
          <w:color w:val="000000" w:themeColor="text1"/>
          <w:lang w:eastAsia="en-GB"/>
        </w:rPr>
        <w:t xml:space="preserve"> carrying value will b</w:t>
      </w:r>
      <w:r w:rsidR="004D0297" w:rsidRPr="00D6259F">
        <w:rPr>
          <w:color w:val="000000" w:themeColor="text1"/>
          <w:lang w:eastAsia="en-GB"/>
        </w:rPr>
        <w:t>e</w:t>
      </w:r>
      <w:r w:rsidR="006934D3" w:rsidRPr="00D6259F">
        <w:rPr>
          <w:color w:val="000000" w:themeColor="text1"/>
          <w:lang w:eastAsia="en-GB"/>
        </w:rPr>
        <w:t xml:space="preserve"> recovered principally through a sale transaction, rather than through continuing use.</w:t>
      </w:r>
    </w:p>
    <w:p w14:paraId="3B26FCDD" w14:textId="389CB99A" w:rsidR="00D422B1" w:rsidRPr="00D6259F" w:rsidRDefault="004D0297" w:rsidP="00C034D8">
      <w:pPr>
        <w:rPr>
          <w:color w:val="000000" w:themeColor="text1"/>
          <w:lang w:eastAsia="en-GB"/>
        </w:rPr>
      </w:pPr>
      <w:r w:rsidRPr="00D6259F">
        <w:rPr>
          <w:color w:val="000000" w:themeColor="text1"/>
          <w:lang w:eastAsia="en-GB"/>
        </w:rPr>
        <w:lastRenderedPageBreak/>
        <w:t xml:space="preserve">Non-current </w:t>
      </w:r>
      <w:r w:rsidR="00A37325" w:rsidRPr="00D6259F">
        <w:rPr>
          <w:color w:val="000000" w:themeColor="text1"/>
          <w:lang w:eastAsia="en-GB"/>
        </w:rPr>
        <w:t xml:space="preserve">assets </w:t>
      </w:r>
      <w:r w:rsidR="00E42031" w:rsidRPr="00D6259F">
        <w:rPr>
          <w:color w:val="000000" w:themeColor="text1"/>
          <w:lang w:eastAsia="en-GB"/>
        </w:rPr>
        <w:t xml:space="preserve">held for sale are measured </w:t>
      </w:r>
      <w:r w:rsidR="00D422B1" w:rsidRPr="00D6259F">
        <w:rPr>
          <w:color w:val="000000" w:themeColor="text1"/>
          <w:lang w:eastAsia="en-GB"/>
        </w:rPr>
        <w:t xml:space="preserve">at the lower of the carrying amount and fair value less costs to sell. </w:t>
      </w:r>
      <w:r w:rsidR="007C7055" w:rsidRPr="00D6259F">
        <w:rPr>
          <w:color w:val="000000" w:themeColor="text1"/>
          <w:lang w:eastAsia="en-GB"/>
        </w:rPr>
        <w:t xml:space="preserve">Impairment losses on initial classification are included within </w:t>
      </w:r>
      <w:r w:rsidR="009256D0" w:rsidRPr="00D6259F">
        <w:rPr>
          <w:color w:val="000000" w:themeColor="text1"/>
          <w:lang w:eastAsia="en-GB"/>
        </w:rPr>
        <w:t xml:space="preserve">the </w:t>
      </w:r>
      <w:r w:rsidR="007C7055" w:rsidRPr="00D6259F">
        <w:rPr>
          <w:color w:val="000000" w:themeColor="text1"/>
          <w:lang w:eastAsia="en-GB"/>
        </w:rPr>
        <w:t>surplus or deficit.</w:t>
      </w:r>
    </w:p>
    <w:p w14:paraId="4F8310C5" w14:textId="364205F9" w:rsidR="00E42031" w:rsidRPr="00D6259F" w:rsidRDefault="00D422B1" w:rsidP="00C034D8">
      <w:pPr>
        <w:rPr>
          <w:color w:val="000000" w:themeColor="text1"/>
          <w:lang w:eastAsia="en-GB"/>
        </w:rPr>
      </w:pPr>
      <w:r w:rsidRPr="00D6259F">
        <w:rPr>
          <w:color w:val="000000" w:themeColor="text1"/>
          <w:lang w:eastAsia="en-GB"/>
        </w:rPr>
        <w:t>Non-current assets</w:t>
      </w:r>
      <w:r w:rsidR="00E42031" w:rsidRPr="00D6259F">
        <w:rPr>
          <w:color w:val="000000" w:themeColor="text1"/>
          <w:lang w:eastAsia="en-GB"/>
        </w:rPr>
        <w:t xml:space="preserve"> are not depreciated or amortised while they are classified as held for sale.</w:t>
      </w:r>
    </w:p>
    <w:p w14:paraId="61BF77FC" w14:textId="1DEBF72D" w:rsidR="00D422B1" w:rsidRPr="00D6259F" w:rsidRDefault="00D422B1" w:rsidP="00C034D8">
      <w:pPr>
        <w:rPr>
          <w:color w:val="000000" w:themeColor="text1"/>
          <w:lang w:eastAsia="en-GB"/>
        </w:rPr>
      </w:pPr>
      <w:r w:rsidRPr="00D6259F">
        <w:rPr>
          <w:color w:val="000000" w:themeColor="text1"/>
          <w:lang w:eastAsia="en-GB"/>
        </w:rPr>
        <w:t>A non-current asset is classified as held for sale where:</w:t>
      </w:r>
    </w:p>
    <w:p w14:paraId="096AE640" w14:textId="1A34F0EA" w:rsidR="00D422B1" w:rsidRPr="00D6259F" w:rsidRDefault="00D422B1" w:rsidP="00E76A2E">
      <w:pPr>
        <w:pStyle w:val="ListParagraph"/>
        <w:numPr>
          <w:ilvl w:val="0"/>
          <w:numId w:val="17"/>
        </w:numPr>
        <w:rPr>
          <w:color w:val="000000" w:themeColor="text1"/>
          <w:lang w:eastAsia="en-GB"/>
        </w:rPr>
      </w:pPr>
      <w:r w:rsidRPr="00D6259F">
        <w:rPr>
          <w:color w:val="000000" w:themeColor="text1"/>
          <w:lang w:eastAsia="en-GB"/>
        </w:rPr>
        <w:t xml:space="preserve">the asset is available for immediate sale in its present condition subject only to terms that are usual and customary for sales of such </w:t>
      </w:r>
      <w:proofErr w:type="gramStart"/>
      <w:r w:rsidR="00F31467" w:rsidRPr="00D6259F">
        <w:rPr>
          <w:color w:val="000000" w:themeColor="text1"/>
          <w:lang w:eastAsia="en-GB"/>
        </w:rPr>
        <w:t>assets</w:t>
      </w:r>
      <w:r w:rsidR="00217494" w:rsidRPr="00D6259F">
        <w:rPr>
          <w:color w:val="000000" w:themeColor="text1"/>
          <w:lang w:eastAsia="en-GB"/>
        </w:rPr>
        <w:t>;</w:t>
      </w:r>
      <w:proofErr w:type="gramEnd"/>
      <w:r w:rsidRPr="00D6259F">
        <w:rPr>
          <w:color w:val="000000" w:themeColor="text1"/>
          <w:lang w:eastAsia="en-GB"/>
        </w:rPr>
        <w:t xml:space="preserve"> </w:t>
      </w:r>
    </w:p>
    <w:p w14:paraId="650FE7B6" w14:textId="4ED0027F" w:rsidR="00D422B1" w:rsidRPr="00D6259F" w:rsidRDefault="00D422B1" w:rsidP="00E76A2E">
      <w:pPr>
        <w:pStyle w:val="ListParagraph"/>
        <w:numPr>
          <w:ilvl w:val="0"/>
          <w:numId w:val="17"/>
        </w:numPr>
        <w:rPr>
          <w:color w:val="000000" w:themeColor="text1"/>
          <w:lang w:eastAsia="en-GB"/>
        </w:rPr>
      </w:pPr>
      <w:r w:rsidRPr="00D6259F">
        <w:rPr>
          <w:color w:val="000000" w:themeColor="text1"/>
          <w:lang w:eastAsia="en-GB"/>
        </w:rPr>
        <w:t xml:space="preserve">a plan to sell the asset is in place and an active programme to locate a buyer has been </w:t>
      </w:r>
      <w:proofErr w:type="gramStart"/>
      <w:r w:rsidR="00F31467" w:rsidRPr="00D6259F">
        <w:rPr>
          <w:color w:val="000000" w:themeColor="text1"/>
          <w:lang w:eastAsia="en-GB"/>
        </w:rPr>
        <w:t>initiated</w:t>
      </w:r>
      <w:r w:rsidR="00217494" w:rsidRPr="00D6259F">
        <w:rPr>
          <w:color w:val="000000" w:themeColor="text1"/>
          <w:lang w:eastAsia="en-GB"/>
        </w:rPr>
        <w:t>;</w:t>
      </w:r>
      <w:proofErr w:type="gramEnd"/>
      <w:r w:rsidRPr="00D6259F">
        <w:rPr>
          <w:color w:val="000000" w:themeColor="text1"/>
          <w:lang w:eastAsia="en-GB"/>
        </w:rPr>
        <w:t xml:space="preserve"> </w:t>
      </w:r>
    </w:p>
    <w:p w14:paraId="2E390F61" w14:textId="255130F4" w:rsidR="00D422B1" w:rsidRPr="00D6259F" w:rsidRDefault="00D422B1" w:rsidP="00E76A2E">
      <w:pPr>
        <w:pStyle w:val="ListParagraph"/>
        <w:numPr>
          <w:ilvl w:val="0"/>
          <w:numId w:val="17"/>
        </w:numPr>
        <w:rPr>
          <w:color w:val="000000" w:themeColor="text1"/>
          <w:lang w:eastAsia="en-GB"/>
        </w:rPr>
      </w:pPr>
      <w:r w:rsidRPr="00D6259F">
        <w:rPr>
          <w:color w:val="000000" w:themeColor="text1"/>
          <w:lang w:eastAsia="en-GB"/>
        </w:rPr>
        <w:t xml:space="preserve">the asset is being actively marketed for sale at a price that is reasonable in relation to its current fair </w:t>
      </w:r>
      <w:proofErr w:type="gramStart"/>
      <w:r w:rsidR="00F31467" w:rsidRPr="00D6259F">
        <w:rPr>
          <w:color w:val="000000" w:themeColor="text1"/>
          <w:lang w:eastAsia="en-GB"/>
        </w:rPr>
        <w:t>value</w:t>
      </w:r>
      <w:r w:rsidR="00217494" w:rsidRPr="00D6259F">
        <w:rPr>
          <w:color w:val="000000" w:themeColor="text1"/>
          <w:lang w:eastAsia="en-GB"/>
        </w:rPr>
        <w:t>;</w:t>
      </w:r>
      <w:proofErr w:type="gramEnd"/>
      <w:r w:rsidRPr="00D6259F">
        <w:rPr>
          <w:color w:val="000000" w:themeColor="text1"/>
          <w:lang w:eastAsia="en-GB"/>
        </w:rPr>
        <w:t xml:space="preserve"> </w:t>
      </w:r>
    </w:p>
    <w:p w14:paraId="5E0FC30B" w14:textId="504F24EE" w:rsidR="00D422B1" w:rsidRPr="00D6259F" w:rsidRDefault="00D422B1" w:rsidP="00E76A2E">
      <w:pPr>
        <w:pStyle w:val="ListParagraph"/>
        <w:numPr>
          <w:ilvl w:val="0"/>
          <w:numId w:val="17"/>
        </w:numPr>
        <w:rPr>
          <w:color w:val="000000" w:themeColor="text1"/>
          <w:lang w:eastAsia="en-GB"/>
        </w:rPr>
      </w:pPr>
      <w:r w:rsidRPr="00D6259F">
        <w:rPr>
          <w:color w:val="000000" w:themeColor="text1"/>
          <w:lang w:eastAsia="en-GB"/>
        </w:rPr>
        <w:t>the sale is expected to occur within one year or beyond one year where a delay has occurred which is caused by events beyond the</w:t>
      </w:r>
      <w:r w:rsidR="006020F7" w:rsidRPr="00D6259F">
        <w:rPr>
          <w:color w:val="000000" w:themeColor="text1"/>
          <w:lang w:eastAsia="en-GB"/>
        </w:rPr>
        <w:t xml:space="preserve"> Group</w:t>
      </w:r>
      <w:r w:rsidRPr="00D6259F">
        <w:rPr>
          <w:color w:val="000000" w:themeColor="text1"/>
          <w:lang w:eastAsia="en-GB"/>
        </w:rPr>
        <w:t>’s control and there is sufficient evidence the</w:t>
      </w:r>
      <w:r w:rsidR="006020F7" w:rsidRPr="00D6259F">
        <w:rPr>
          <w:color w:val="000000" w:themeColor="text1"/>
          <w:lang w:eastAsia="en-GB"/>
        </w:rPr>
        <w:t xml:space="preserve"> Group</w:t>
      </w:r>
      <w:r w:rsidRPr="00D6259F">
        <w:rPr>
          <w:color w:val="000000" w:themeColor="text1"/>
          <w:lang w:eastAsia="en-GB"/>
        </w:rPr>
        <w:t xml:space="preserve"> remains committed to sell the asset; and </w:t>
      </w:r>
    </w:p>
    <w:p w14:paraId="1DBA6FCA" w14:textId="77777777" w:rsidR="00D422B1" w:rsidRPr="00D6259F" w:rsidRDefault="00D422B1" w:rsidP="00E76A2E">
      <w:pPr>
        <w:pStyle w:val="ListParagraph"/>
        <w:numPr>
          <w:ilvl w:val="0"/>
          <w:numId w:val="17"/>
        </w:numPr>
        <w:rPr>
          <w:color w:val="000000" w:themeColor="text1"/>
          <w:lang w:eastAsia="en-GB"/>
        </w:rPr>
      </w:pPr>
      <w:r w:rsidRPr="00D6259F">
        <w:rPr>
          <w:color w:val="000000" w:themeColor="text1"/>
          <w:lang w:eastAsia="en-GB"/>
        </w:rPr>
        <w:t>actions required to complete the sale indicate it is unlikely that significant changes to the plan will be made or the plan will be withdrawn.</w:t>
      </w:r>
    </w:p>
    <w:p w14:paraId="2880767D" w14:textId="77777777" w:rsidR="00D422B1" w:rsidRPr="00D6259F" w:rsidRDefault="00D422B1" w:rsidP="00C034D8">
      <w:pPr>
        <w:pStyle w:val="Heading2"/>
      </w:pPr>
      <w:bookmarkStart w:id="101" w:name="_Toc55482660"/>
      <w:bookmarkStart w:id="102" w:name="_Toc179890303"/>
      <w:r w:rsidRPr="00D6259F">
        <w:lastRenderedPageBreak/>
        <w:t>Note 1</w:t>
      </w:r>
      <w:r w:rsidR="00382496" w:rsidRPr="00D6259F">
        <w:t>7</w:t>
      </w:r>
      <w:r w:rsidRPr="00D6259F">
        <w:t>: Intangibles</w:t>
      </w:r>
      <w:bookmarkEnd w:id="101"/>
      <w:bookmarkEnd w:id="102"/>
    </w:p>
    <w:p w14:paraId="634E714D" w14:textId="7D14C4F0" w:rsidR="00D422B1" w:rsidRPr="00D6259F" w:rsidRDefault="004E4845" w:rsidP="00C034D8">
      <w:pPr>
        <w:rPr>
          <w:color w:val="000000" w:themeColor="text1"/>
        </w:rPr>
      </w:pPr>
      <w:r w:rsidRPr="00D6259F">
        <w:rPr>
          <w:color w:val="000000" w:themeColor="text1"/>
        </w:rPr>
        <w:object w:dxaOrig="10850" w:dyaOrig="9213" w14:anchorId="4E1CBC46">
          <v:shape id="_x0000_i1055" type="#_x0000_t75" style="width:513pt;height:459pt" o:ole="">
            <v:imagedata r:id="rId71" o:title=""/>
          </v:shape>
          <o:OLEObject Type="Link" ProgID="Excel.Sheet.12" ShapeID="_x0000_i1055" DrawAspect="Content" r:id="rId72" UpdateMode="Always">
            <o:LinkType>EnhancedMetaFile</o:LinkType>
            <o:LockedField>false</o:LockedField>
          </o:OLEObject>
        </w:object>
      </w:r>
    </w:p>
    <w:p w14:paraId="535D7349" w14:textId="77777777" w:rsidR="00D422B1" w:rsidRPr="00D6259F" w:rsidRDefault="00D422B1" w:rsidP="00C034D8">
      <w:pPr>
        <w:rPr>
          <w:color w:val="000000" w:themeColor="text1"/>
          <w:lang w:eastAsia="en-GB"/>
        </w:rPr>
      </w:pPr>
      <w:r w:rsidRPr="00D6259F">
        <w:rPr>
          <w:color w:val="000000" w:themeColor="text1"/>
          <w:lang w:eastAsia="en-GB"/>
        </w:rPr>
        <w:t>Disposals and transfers are reported net of accumulated amortisation.</w:t>
      </w:r>
    </w:p>
    <w:p w14:paraId="431C88F7" w14:textId="77777777" w:rsidR="00D422B1" w:rsidRPr="00D6259F" w:rsidRDefault="00D422B1" w:rsidP="00C034D8">
      <w:pPr>
        <w:pStyle w:val="Heading3"/>
      </w:pPr>
      <w:bookmarkStart w:id="103" w:name="_Toc121217110"/>
      <w:r w:rsidRPr="00D6259F">
        <w:t>Carbon credits</w:t>
      </w:r>
      <w:bookmarkEnd w:id="103"/>
    </w:p>
    <w:p w14:paraId="38BF5694" w14:textId="17017722" w:rsidR="00D422B1" w:rsidRPr="00D6259F" w:rsidRDefault="00D422B1" w:rsidP="00C034D8">
      <w:pPr>
        <w:rPr>
          <w:color w:val="000000" w:themeColor="text1"/>
          <w:lang w:eastAsia="en-GB"/>
        </w:rPr>
      </w:pPr>
      <w:r w:rsidRPr="00D6259F">
        <w:rPr>
          <w:color w:val="000000" w:themeColor="text1"/>
          <w:lang w:eastAsia="en-GB"/>
        </w:rPr>
        <w:t>As part of the Emissions Trading Scheme (ETS) the Council receives carbon credit</w:t>
      </w:r>
      <w:r w:rsidR="00361B73" w:rsidRPr="00D6259F">
        <w:rPr>
          <w:color w:val="000000" w:themeColor="text1"/>
          <w:lang w:eastAsia="en-GB"/>
        </w:rPr>
        <w:t xml:space="preserve"> units</w:t>
      </w:r>
      <w:r w:rsidRPr="00D6259F">
        <w:rPr>
          <w:color w:val="000000" w:themeColor="text1"/>
          <w:lang w:eastAsia="en-GB"/>
        </w:rPr>
        <w:t xml:space="preserve"> from </w:t>
      </w:r>
      <w:r w:rsidR="00D30D25" w:rsidRPr="00D6259F">
        <w:rPr>
          <w:color w:val="000000" w:themeColor="text1"/>
          <w:lang w:eastAsia="en-GB"/>
        </w:rPr>
        <w:t>the Crown</w:t>
      </w:r>
      <w:r w:rsidRPr="00D6259F">
        <w:rPr>
          <w:color w:val="000000" w:themeColor="text1"/>
          <w:lang w:eastAsia="en-GB"/>
        </w:rPr>
        <w:t xml:space="preserve"> in recognition of the carbon absorbed by a portion of the Council’s green belt. </w:t>
      </w:r>
    </w:p>
    <w:p w14:paraId="1F69465B" w14:textId="60A2B8DA" w:rsidR="00D422B1" w:rsidRPr="00D6259F" w:rsidRDefault="00D422B1" w:rsidP="00C034D8">
      <w:pPr>
        <w:rPr>
          <w:strike/>
          <w:color w:val="000000" w:themeColor="text1"/>
          <w:lang w:eastAsia="en-GB"/>
        </w:rPr>
      </w:pPr>
      <w:r w:rsidRPr="00D6259F">
        <w:rPr>
          <w:color w:val="000000" w:themeColor="text1"/>
          <w:lang w:eastAsia="en-GB"/>
        </w:rPr>
        <w:t xml:space="preserve">The Council </w:t>
      </w:r>
      <w:r w:rsidR="00361B73" w:rsidRPr="00D6259F">
        <w:rPr>
          <w:color w:val="000000" w:themeColor="text1"/>
          <w:lang w:eastAsia="en-GB"/>
        </w:rPr>
        <w:t xml:space="preserve">may also </w:t>
      </w:r>
      <w:r w:rsidRPr="00D6259F">
        <w:rPr>
          <w:color w:val="000000" w:themeColor="text1"/>
          <w:lang w:eastAsia="en-GB"/>
        </w:rPr>
        <w:t>purchase</w:t>
      </w:r>
      <w:r w:rsidR="00EB3D70" w:rsidRPr="00D6259F">
        <w:rPr>
          <w:color w:val="000000" w:themeColor="text1"/>
          <w:lang w:eastAsia="en-GB"/>
        </w:rPr>
        <w:t xml:space="preserve"> </w:t>
      </w:r>
      <w:r w:rsidRPr="00D6259F">
        <w:rPr>
          <w:color w:val="000000" w:themeColor="text1"/>
          <w:lang w:eastAsia="en-GB"/>
        </w:rPr>
        <w:t>units to cover the expected liabilities associated with landfill operation</w:t>
      </w:r>
      <w:r w:rsidR="00361B73" w:rsidRPr="00D6259F">
        <w:rPr>
          <w:color w:val="000000" w:themeColor="text1"/>
          <w:lang w:eastAsia="en-GB"/>
        </w:rPr>
        <w:t xml:space="preserve"> as required</w:t>
      </w:r>
      <w:r w:rsidRPr="00D6259F">
        <w:rPr>
          <w:color w:val="000000" w:themeColor="text1"/>
          <w:lang w:eastAsia="en-GB"/>
        </w:rPr>
        <w:t xml:space="preserve">. </w:t>
      </w:r>
      <w:r w:rsidR="00F837A7" w:rsidRPr="00D6259F">
        <w:rPr>
          <w:color w:val="000000" w:themeColor="text1"/>
          <w:lang w:eastAsia="en-GB"/>
        </w:rPr>
        <w:t>T</w:t>
      </w:r>
      <w:r w:rsidRPr="00D6259F">
        <w:rPr>
          <w:color w:val="000000" w:themeColor="text1"/>
          <w:lang w:eastAsia="en-GB"/>
        </w:rPr>
        <w:t>he Council surrender</w:t>
      </w:r>
      <w:r w:rsidR="00361B73" w:rsidRPr="00D6259F">
        <w:rPr>
          <w:color w:val="000000" w:themeColor="text1"/>
          <w:lang w:eastAsia="en-GB"/>
        </w:rPr>
        <w:t>s units to extinguish these liabilities.</w:t>
      </w:r>
    </w:p>
    <w:p w14:paraId="7C44C57A" w14:textId="637618EE" w:rsidR="00D422B1" w:rsidRPr="00D6259F" w:rsidRDefault="00D422B1" w:rsidP="00C034D8">
      <w:pPr>
        <w:rPr>
          <w:color w:val="000000" w:themeColor="text1"/>
          <w:lang w:eastAsia="en-GB"/>
        </w:rPr>
      </w:pPr>
      <w:bookmarkStart w:id="104" w:name="_Hlk80623124"/>
      <w:proofErr w:type="gramStart"/>
      <w:r w:rsidRPr="00D6259F">
        <w:rPr>
          <w:color w:val="000000" w:themeColor="text1"/>
          <w:lang w:eastAsia="en-GB"/>
        </w:rPr>
        <w:t>At</w:t>
      </w:r>
      <w:proofErr w:type="gramEnd"/>
      <w:r w:rsidRPr="00D6259F">
        <w:rPr>
          <w:color w:val="000000" w:themeColor="text1"/>
          <w:lang w:eastAsia="en-GB"/>
        </w:rPr>
        <w:t xml:space="preserve"> 30 June 202</w:t>
      </w:r>
      <w:r w:rsidR="00615577" w:rsidRPr="00D6259F">
        <w:rPr>
          <w:color w:val="000000" w:themeColor="text1"/>
          <w:lang w:eastAsia="en-GB"/>
        </w:rPr>
        <w:t>4</w:t>
      </w:r>
      <w:r w:rsidRPr="00D6259F">
        <w:rPr>
          <w:color w:val="000000" w:themeColor="text1"/>
          <w:lang w:eastAsia="en-GB"/>
        </w:rPr>
        <w:t xml:space="preserve"> the total </w:t>
      </w:r>
      <w:r w:rsidR="000B4756" w:rsidRPr="00D6259F">
        <w:rPr>
          <w:color w:val="000000" w:themeColor="text1"/>
          <w:lang w:eastAsia="en-GB"/>
        </w:rPr>
        <w:t xml:space="preserve">expected </w:t>
      </w:r>
      <w:r w:rsidRPr="00D6259F">
        <w:rPr>
          <w:color w:val="000000" w:themeColor="text1"/>
          <w:lang w:eastAsia="en-GB"/>
        </w:rPr>
        <w:t xml:space="preserve">liability relating to landfill carbon emissions </w:t>
      </w:r>
      <w:r w:rsidR="008E5967" w:rsidRPr="00D6259F">
        <w:rPr>
          <w:color w:val="000000" w:themeColor="text1"/>
          <w:lang w:eastAsia="en-GB"/>
        </w:rPr>
        <w:t>for the first six months of the 202</w:t>
      </w:r>
      <w:r w:rsidR="00615577" w:rsidRPr="00D6259F">
        <w:rPr>
          <w:color w:val="000000" w:themeColor="text1"/>
          <w:lang w:eastAsia="en-GB"/>
        </w:rPr>
        <w:t>4</w:t>
      </w:r>
      <w:r w:rsidR="008E5967" w:rsidRPr="00D6259F">
        <w:rPr>
          <w:color w:val="000000" w:themeColor="text1"/>
          <w:lang w:eastAsia="en-GB"/>
        </w:rPr>
        <w:t xml:space="preserve"> calendar year </w:t>
      </w:r>
      <w:r w:rsidRPr="00D6259F">
        <w:rPr>
          <w:color w:val="000000" w:themeColor="text1"/>
          <w:lang w:eastAsia="en-GB"/>
        </w:rPr>
        <w:t>is $</w:t>
      </w:r>
      <w:r w:rsidR="00106F75" w:rsidRPr="00D6259F">
        <w:rPr>
          <w:color w:val="000000" w:themeColor="text1"/>
          <w:lang w:eastAsia="en-GB"/>
        </w:rPr>
        <w:t xml:space="preserve">0.6m </w:t>
      </w:r>
      <w:r w:rsidRPr="00D6259F">
        <w:rPr>
          <w:color w:val="000000" w:themeColor="text1"/>
          <w:lang w:eastAsia="en-GB"/>
        </w:rPr>
        <w:t>(20</w:t>
      </w:r>
      <w:r w:rsidR="00C36AA9" w:rsidRPr="00D6259F">
        <w:rPr>
          <w:color w:val="000000" w:themeColor="text1"/>
          <w:lang w:eastAsia="en-GB"/>
        </w:rPr>
        <w:t>2</w:t>
      </w:r>
      <w:r w:rsidR="00615577" w:rsidRPr="00D6259F">
        <w:rPr>
          <w:color w:val="000000" w:themeColor="text1"/>
          <w:lang w:eastAsia="en-GB"/>
        </w:rPr>
        <w:t>3</w:t>
      </w:r>
      <w:r w:rsidR="00D213FC" w:rsidRPr="00D6259F">
        <w:rPr>
          <w:color w:val="000000" w:themeColor="text1"/>
          <w:lang w:eastAsia="en-GB"/>
        </w:rPr>
        <w:t xml:space="preserve">: </w:t>
      </w:r>
      <w:r w:rsidRPr="00D6259F">
        <w:rPr>
          <w:color w:val="000000" w:themeColor="text1"/>
          <w:lang w:eastAsia="en-GB"/>
        </w:rPr>
        <w:t>$</w:t>
      </w:r>
      <w:r w:rsidR="00615577" w:rsidRPr="00D6259F">
        <w:rPr>
          <w:color w:val="000000" w:themeColor="text1"/>
          <w:lang w:eastAsia="en-GB"/>
        </w:rPr>
        <w:t>0.</w:t>
      </w:r>
      <w:r w:rsidR="001F2E76" w:rsidRPr="00D6259F">
        <w:rPr>
          <w:color w:val="000000" w:themeColor="text1"/>
          <w:lang w:eastAsia="en-GB"/>
        </w:rPr>
        <w:t>6</w:t>
      </w:r>
      <w:r w:rsidR="00615577" w:rsidRPr="00D6259F">
        <w:rPr>
          <w:color w:val="000000" w:themeColor="text1"/>
          <w:lang w:eastAsia="en-GB"/>
        </w:rPr>
        <w:t>m</w:t>
      </w:r>
      <w:r w:rsidRPr="00D6259F">
        <w:rPr>
          <w:color w:val="000000" w:themeColor="text1"/>
          <w:lang w:eastAsia="en-GB"/>
        </w:rPr>
        <w:t>).</w:t>
      </w:r>
    </w:p>
    <w:p w14:paraId="7558D1A7" w14:textId="1D9E19FD" w:rsidR="00D422B1" w:rsidRPr="00D6259F" w:rsidRDefault="00D422B1" w:rsidP="00C034D8">
      <w:pPr>
        <w:rPr>
          <w:color w:val="000000" w:themeColor="text1"/>
          <w:lang w:eastAsia="en-GB"/>
        </w:rPr>
      </w:pPr>
      <w:bookmarkStart w:id="105" w:name="_Hlk124754905"/>
      <w:bookmarkEnd w:id="104"/>
      <w:r w:rsidRPr="00D6259F">
        <w:rPr>
          <w:color w:val="000000" w:themeColor="text1"/>
          <w:lang w:eastAsia="en-GB"/>
        </w:rPr>
        <w:t xml:space="preserve">More information on carbon credits can be found in </w:t>
      </w:r>
      <w:r w:rsidR="00F2150F" w:rsidRPr="00D6259F">
        <w:rPr>
          <w:color w:val="000000" w:themeColor="text1"/>
          <w:lang w:eastAsia="en-GB"/>
        </w:rPr>
        <w:t>Section 4: Our performance in detail,</w:t>
      </w:r>
      <w:r w:rsidRPr="00D6259F">
        <w:rPr>
          <w:color w:val="000000" w:themeColor="text1"/>
          <w:lang w:eastAsia="en-GB"/>
        </w:rPr>
        <w:t xml:space="preserve"> under activity 2.2: Waste reduction and energy conservation (</w:t>
      </w:r>
      <w:r w:rsidR="003B30AC" w:rsidRPr="00D6259F">
        <w:rPr>
          <w:color w:val="000000" w:themeColor="text1"/>
          <w:lang w:eastAsia="en-GB"/>
        </w:rPr>
        <w:t>Volume 1,</w:t>
      </w:r>
      <w:r w:rsidR="005F1472" w:rsidRPr="00D6259F">
        <w:rPr>
          <w:color w:val="000000" w:themeColor="text1"/>
          <w:lang w:eastAsia="en-GB"/>
        </w:rPr>
        <w:t xml:space="preserve"> </w:t>
      </w:r>
      <w:r w:rsidR="00E0442C" w:rsidRPr="00D6259F">
        <w:rPr>
          <w:color w:val="000000" w:themeColor="text1"/>
          <w:lang w:eastAsia="en-GB"/>
        </w:rPr>
        <w:t>p</w:t>
      </w:r>
      <w:r w:rsidR="005F1472" w:rsidRPr="00D6259F">
        <w:rPr>
          <w:color w:val="000000" w:themeColor="text1"/>
          <w:lang w:eastAsia="en-GB"/>
        </w:rPr>
        <w:t>age</w:t>
      </w:r>
      <w:r w:rsidR="00E0442C" w:rsidRPr="00D6259F">
        <w:rPr>
          <w:color w:val="000000" w:themeColor="text1"/>
          <w:lang w:eastAsia="en-GB"/>
        </w:rPr>
        <w:t xml:space="preserve"> </w:t>
      </w:r>
      <w:r w:rsidR="00215DF4" w:rsidRPr="00D6259F">
        <w:rPr>
          <w:color w:val="000000" w:themeColor="text1"/>
          <w:lang w:eastAsia="en-GB"/>
        </w:rPr>
        <w:t>52</w:t>
      </w:r>
      <w:r w:rsidRPr="00D6259F">
        <w:rPr>
          <w:color w:val="000000" w:themeColor="text1"/>
          <w:lang w:eastAsia="en-GB"/>
        </w:rPr>
        <w:t>).</w:t>
      </w:r>
    </w:p>
    <w:bookmarkEnd w:id="105"/>
    <w:p w14:paraId="6B6FE914" w14:textId="228C7F43" w:rsidR="00D422B1" w:rsidRPr="00D6259F" w:rsidRDefault="00D422B1" w:rsidP="00C034D8">
      <w:pPr>
        <w:rPr>
          <w:color w:val="000000" w:themeColor="text1"/>
          <w:lang w:eastAsia="en-GB"/>
        </w:rPr>
      </w:pPr>
      <w:r w:rsidRPr="00D6259F">
        <w:rPr>
          <w:color w:val="000000" w:themeColor="text1"/>
          <w:lang w:eastAsia="en-GB"/>
        </w:rPr>
        <w:lastRenderedPageBreak/>
        <w:t xml:space="preserve">The movement in units held </w:t>
      </w:r>
      <w:r w:rsidR="00361B73" w:rsidRPr="00D6259F">
        <w:rPr>
          <w:color w:val="000000" w:themeColor="text1"/>
          <w:lang w:eastAsia="en-GB"/>
        </w:rPr>
        <w:t xml:space="preserve">by the Council </w:t>
      </w:r>
      <w:r w:rsidR="00F6100C" w:rsidRPr="00D6259F">
        <w:rPr>
          <w:color w:val="000000" w:themeColor="text1"/>
          <w:lang w:eastAsia="en-GB"/>
        </w:rPr>
        <w:t>are</w:t>
      </w:r>
      <w:r w:rsidRPr="00D6259F">
        <w:rPr>
          <w:color w:val="000000" w:themeColor="text1"/>
          <w:lang w:eastAsia="en-GB"/>
        </w:rPr>
        <w:t xml:space="preserve"> shown in </w:t>
      </w:r>
      <w:r w:rsidRPr="00D6259F">
        <w:rPr>
          <w:i/>
          <w:iCs/>
          <w:color w:val="000000" w:themeColor="text1"/>
          <w:lang w:eastAsia="en-GB"/>
        </w:rPr>
        <w:t>Table</w:t>
      </w:r>
      <w:r w:rsidRPr="00D6259F">
        <w:rPr>
          <w:color w:val="000000" w:themeColor="text1"/>
          <w:lang w:eastAsia="en-GB"/>
        </w:rPr>
        <w:t xml:space="preserve"> </w:t>
      </w:r>
      <w:r w:rsidR="00921C9A" w:rsidRPr="00D6259F">
        <w:rPr>
          <w:color w:val="000000" w:themeColor="text1"/>
          <w:lang w:eastAsia="en-GB"/>
        </w:rPr>
        <w:t>29</w:t>
      </w:r>
      <w:r w:rsidRPr="00D6259F">
        <w:rPr>
          <w:color w:val="000000" w:themeColor="text1"/>
          <w:lang w:eastAsia="en-GB"/>
        </w:rPr>
        <w:t>.</w:t>
      </w:r>
    </w:p>
    <w:p w14:paraId="3F4D9662" w14:textId="2C484FA9" w:rsidR="00D422B1" w:rsidRPr="00D6259F" w:rsidRDefault="000F20D8" w:rsidP="00C034D8">
      <w:pPr>
        <w:rPr>
          <w:rFonts w:cs="Arial"/>
          <w:color w:val="000000" w:themeColor="text1"/>
          <w:lang w:eastAsia="en-GB"/>
        </w:rPr>
      </w:pPr>
      <w:r w:rsidRPr="00D6259F">
        <w:rPr>
          <w:noProof/>
          <w:color w:val="000000" w:themeColor="text1"/>
          <w:lang w:eastAsia="en-GB"/>
        </w:rPr>
        <w:object w:dxaOrig="10215" w:dyaOrig="3165" w14:anchorId="2B9AA0AF">
          <v:shape id="_x0000_i1056" type="#_x0000_t75" style="width:482pt;height:159pt" o:ole="">
            <v:imagedata r:id="rId73" o:title=""/>
          </v:shape>
          <o:OLEObject Type="Link" ProgID="Excel.Sheet.12" ShapeID="_x0000_i1056" DrawAspect="Content" r:id="rId74" UpdateMode="Always">
            <o:LinkType>EnhancedMetaFile</o:LinkType>
            <o:LockedField>false</o:LockedField>
          </o:OLEObject>
        </w:object>
      </w:r>
      <w:r w:rsidR="007410AD" w:rsidRPr="00D6259F">
        <w:rPr>
          <w:rFonts w:cs="Arial"/>
          <w:color w:val="000000" w:themeColor="text1"/>
          <w:lang w:eastAsia="en-GB"/>
        </w:rPr>
        <w:t xml:space="preserve"> </w:t>
      </w:r>
    </w:p>
    <w:p w14:paraId="74D6D463" w14:textId="492BD053" w:rsidR="007D0DFF" w:rsidRPr="00D6259F" w:rsidRDefault="007D0DFF" w:rsidP="00C034D8">
      <w:pPr>
        <w:rPr>
          <w:b/>
          <w:bCs/>
          <w:i/>
          <w:iCs/>
          <w:color w:val="000000" w:themeColor="text1"/>
        </w:rPr>
      </w:pPr>
      <w:r w:rsidRPr="00D6259F">
        <w:rPr>
          <w:b/>
          <w:bCs/>
          <w:i/>
          <w:iCs/>
          <w:color w:val="000000" w:themeColor="text1"/>
        </w:rPr>
        <w:t>Carbon emission units</w:t>
      </w:r>
      <w:r w:rsidR="000306A8" w:rsidRPr="00D6259F">
        <w:rPr>
          <w:b/>
          <w:bCs/>
          <w:i/>
          <w:iCs/>
          <w:color w:val="000000" w:themeColor="text1"/>
        </w:rPr>
        <w:t xml:space="preserve">  </w:t>
      </w:r>
    </w:p>
    <w:p w14:paraId="16227D64" w14:textId="72800DA1" w:rsidR="007410AD" w:rsidRPr="00D6259F" w:rsidRDefault="007D0DFF" w:rsidP="00C034D8">
      <w:pPr>
        <w:rPr>
          <w:rFonts w:cs="Arial"/>
          <w:color w:val="000000" w:themeColor="text1"/>
          <w:lang w:eastAsia="en-GB"/>
        </w:rPr>
      </w:pPr>
      <w:r w:rsidRPr="00D6259F">
        <w:rPr>
          <w:color w:val="000000" w:themeColor="text1"/>
        </w:rPr>
        <w:t xml:space="preserve">The price of carbon as </w:t>
      </w:r>
      <w:proofErr w:type="gramStart"/>
      <w:r w:rsidRPr="00D6259F">
        <w:rPr>
          <w:color w:val="000000" w:themeColor="text1"/>
        </w:rPr>
        <w:t>at</w:t>
      </w:r>
      <w:proofErr w:type="gramEnd"/>
      <w:r w:rsidRPr="00D6259F">
        <w:rPr>
          <w:color w:val="000000" w:themeColor="text1"/>
        </w:rPr>
        <w:t xml:space="preserve"> 30 June 202</w:t>
      </w:r>
      <w:r w:rsidR="00223180" w:rsidRPr="00D6259F">
        <w:rPr>
          <w:color w:val="000000" w:themeColor="text1"/>
        </w:rPr>
        <w:t>4</w:t>
      </w:r>
      <w:r w:rsidRPr="00D6259F">
        <w:rPr>
          <w:color w:val="000000" w:themeColor="text1"/>
        </w:rPr>
        <w:t xml:space="preserve"> was $</w:t>
      </w:r>
      <w:r w:rsidR="00AA4FAE" w:rsidRPr="00D6259F">
        <w:rPr>
          <w:color w:val="000000" w:themeColor="text1"/>
        </w:rPr>
        <w:t xml:space="preserve">50.50 </w:t>
      </w:r>
      <w:r w:rsidRPr="00D6259F">
        <w:rPr>
          <w:color w:val="000000" w:themeColor="text1"/>
        </w:rPr>
        <w:t>per New Zealand Unit (</w:t>
      </w:r>
      <w:r w:rsidR="00765F87" w:rsidRPr="00D6259F">
        <w:rPr>
          <w:color w:val="000000" w:themeColor="text1"/>
        </w:rPr>
        <w:t>unit</w:t>
      </w:r>
      <w:r w:rsidRPr="00D6259F">
        <w:rPr>
          <w:color w:val="000000" w:themeColor="text1"/>
        </w:rPr>
        <w:t>) (202</w:t>
      </w:r>
      <w:r w:rsidR="00223180" w:rsidRPr="00D6259F">
        <w:rPr>
          <w:color w:val="000000" w:themeColor="text1"/>
        </w:rPr>
        <w:t>3</w:t>
      </w:r>
      <w:r w:rsidRPr="00D6259F">
        <w:rPr>
          <w:color w:val="000000" w:themeColor="text1"/>
        </w:rPr>
        <w:t>: $7</w:t>
      </w:r>
      <w:r w:rsidR="00223180" w:rsidRPr="00D6259F">
        <w:rPr>
          <w:color w:val="000000" w:themeColor="text1"/>
        </w:rPr>
        <w:t>6</w:t>
      </w:r>
      <w:r w:rsidRPr="00D6259F">
        <w:rPr>
          <w:color w:val="000000" w:themeColor="text1"/>
        </w:rPr>
        <w:t>.</w:t>
      </w:r>
      <w:r w:rsidR="00223180" w:rsidRPr="00D6259F">
        <w:rPr>
          <w:color w:val="000000" w:themeColor="text1"/>
        </w:rPr>
        <w:t>13</w:t>
      </w:r>
      <w:r w:rsidRPr="00D6259F">
        <w:rPr>
          <w:color w:val="000000" w:themeColor="text1"/>
        </w:rPr>
        <w:t xml:space="preserve">). One </w:t>
      </w:r>
      <w:r w:rsidR="00765F87" w:rsidRPr="00D6259F">
        <w:rPr>
          <w:color w:val="000000" w:themeColor="text1"/>
        </w:rPr>
        <w:t>unit</w:t>
      </w:r>
      <w:r w:rsidRPr="00D6259F">
        <w:rPr>
          <w:color w:val="000000" w:themeColor="text1"/>
        </w:rPr>
        <w:t xml:space="preserve"> is equivalent to one</w:t>
      </w:r>
      <w:r w:rsidR="00765F87" w:rsidRPr="00D6259F">
        <w:rPr>
          <w:color w:val="000000" w:themeColor="text1"/>
        </w:rPr>
        <w:t xml:space="preserve"> </w:t>
      </w:r>
      <w:r w:rsidRPr="00D6259F">
        <w:rPr>
          <w:color w:val="000000" w:themeColor="text1"/>
        </w:rPr>
        <w:t>tonne of carbon dioxide equivalent (tCO2-e).</w:t>
      </w:r>
    </w:p>
    <w:p w14:paraId="1E8EF9A8" w14:textId="338CFC64" w:rsidR="00D422B1" w:rsidRPr="00D6259F" w:rsidRDefault="00D422B1" w:rsidP="00C034D8">
      <w:pPr>
        <w:pStyle w:val="Heading3"/>
      </w:pPr>
      <w:bookmarkStart w:id="106" w:name="_Toc121217111"/>
      <w:r w:rsidRPr="00D6259F">
        <w:t>Relevant significant accounting policies</w:t>
      </w:r>
      <w:bookmarkEnd w:id="106"/>
    </w:p>
    <w:p w14:paraId="36609DA8" w14:textId="0D8A5D6A" w:rsidR="004540A9" w:rsidRPr="00D6259F" w:rsidRDefault="004540A9" w:rsidP="004540A9">
      <w:pPr>
        <w:rPr>
          <w:color w:val="000000" w:themeColor="text1"/>
          <w:lang w:eastAsia="en-GB"/>
        </w:rPr>
      </w:pPr>
      <w:r w:rsidRPr="00D6259F">
        <w:rPr>
          <w:color w:val="000000" w:themeColor="text1"/>
          <w:lang w:eastAsia="en-GB"/>
        </w:rPr>
        <w:t xml:space="preserve">Gains and losses arising from disposal of intangible assets are recognised within </w:t>
      </w:r>
      <w:r w:rsidR="009256D0" w:rsidRPr="00D6259F">
        <w:rPr>
          <w:color w:val="000000" w:themeColor="text1"/>
          <w:lang w:eastAsia="en-GB"/>
        </w:rPr>
        <w:t xml:space="preserve">the </w:t>
      </w:r>
      <w:r w:rsidRPr="00D6259F">
        <w:rPr>
          <w:color w:val="000000" w:themeColor="text1"/>
          <w:lang w:eastAsia="en-GB"/>
        </w:rPr>
        <w:t xml:space="preserve">surplus or deficit in the period in which the transaction occurs. Intangible assets are reviewed at least annually to determine if there is any indication of impairment. Where an intangible asset’s recoverable amount is less than </w:t>
      </w:r>
      <w:proofErr w:type="gramStart"/>
      <w:r w:rsidRPr="00D6259F">
        <w:rPr>
          <w:color w:val="000000" w:themeColor="text1"/>
          <w:lang w:eastAsia="en-GB"/>
        </w:rPr>
        <w:t>its</w:t>
      </w:r>
      <w:proofErr w:type="gramEnd"/>
      <w:r w:rsidRPr="00D6259F">
        <w:rPr>
          <w:color w:val="000000" w:themeColor="text1"/>
          <w:lang w:eastAsia="en-GB"/>
        </w:rPr>
        <w:t xml:space="preserve"> carrying amount, it will be reported at its recoverable amount and an impairment loss will be recognised. Losses resulting from impairment are reported within</w:t>
      </w:r>
      <w:r w:rsidR="009256D0" w:rsidRPr="00D6259F">
        <w:rPr>
          <w:color w:val="000000" w:themeColor="text1"/>
          <w:lang w:eastAsia="en-GB"/>
        </w:rPr>
        <w:t xml:space="preserve"> the</w:t>
      </w:r>
      <w:r w:rsidRPr="00D6259F">
        <w:rPr>
          <w:color w:val="000000" w:themeColor="text1"/>
          <w:lang w:eastAsia="en-GB"/>
        </w:rPr>
        <w:t xml:space="preserve"> surplus or deficit.</w:t>
      </w:r>
    </w:p>
    <w:p w14:paraId="6E0C6384" w14:textId="77777777" w:rsidR="00D422B1" w:rsidRPr="00D6259F" w:rsidRDefault="00D422B1" w:rsidP="00DA48D1">
      <w:pPr>
        <w:pStyle w:val="Heading5"/>
        <w:rPr>
          <w:rFonts w:cs="Arial"/>
          <w:color w:val="000000" w:themeColor="text1"/>
        </w:rPr>
      </w:pPr>
      <w:r w:rsidRPr="00D6259F">
        <w:rPr>
          <w:color w:val="000000" w:themeColor="text1"/>
        </w:rPr>
        <w:t xml:space="preserve">Computer software </w:t>
      </w:r>
    </w:p>
    <w:p w14:paraId="6C52B5B6" w14:textId="03DF10D9" w:rsidR="00D422B1" w:rsidRPr="00D6259F" w:rsidRDefault="00D422B1" w:rsidP="00C034D8">
      <w:pPr>
        <w:rPr>
          <w:color w:val="000000" w:themeColor="text1"/>
          <w:lang w:eastAsia="en-GB"/>
        </w:rPr>
      </w:pPr>
      <w:r w:rsidRPr="00D6259F">
        <w:rPr>
          <w:color w:val="000000" w:themeColor="text1"/>
          <w:lang w:eastAsia="en-GB"/>
        </w:rPr>
        <w:t>Acquired computer software is measured on initial recognition at the costs to acquire and bring to use and</w:t>
      </w:r>
      <w:r w:rsidR="00950D8F" w:rsidRPr="00D6259F">
        <w:rPr>
          <w:color w:val="000000" w:themeColor="text1"/>
          <w:lang w:eastAsia="en-GB"/>
        </w:rPr>
        <w:t xml:space="preserve"> is</w:t>
      </w:r>
      <w:r w:rsidRPr="00D6259F">
        <w:rPr>
          <w:color w:val="000000" w:themeColor="text1"/>
          <w:lang w:eastAsia="en-GB"/>
        </w:rPr>
        <w:t xml:space="preserve"> subsequently </w:t>
      </w:r>
      <w:r w:rsidR="00950D8F" w:rsidRPr="00D6259F">
        <w:rPr>
          <w:color w:val="000000" w:themeColor="text1"/>
          <w:lang w:eastAsia="en-GB"/>
        </w:rPr>
        <w:t xml:space="preserve">measured </w:t>
      </w:r>
      <w:r w:rsidRPr="00D6259F">
        <w:rPr>
          <w:color w:val="000000" w:themeColor="text1"/>
          <w:lang w:eastAsia="en-GB"/>
        </w:rPr>
        <w:t>less any amortisation and impairment losses.</w:t>
      </w:r>
    </w:p>
    <w:p w14:paraId="3C120393" w14:textId="77777777" w:rsidR="00D422B1" w:rsidRPr="00D6259F" w:rsidRDefault="00D422B1" w:rsidP="00C034D8">
      <w:pPr>
        <w:rPr>
          <w:color w:val="000000" w:themeColor="text1"/>
          <w:lang w:eastAsia="en-GB"/>
        </w:rPr>
      </w:pPr>
      <w:r w:rsidRPr="00D6259F">
        <w:rPr>
          <w:color w:val="000000" w:themeColor="text1"/>
          <w:lang w:eastAsia="en-GB"/>
        </w:rPr>
        <w:t>Typically, the estimated useful life of these assets is between 2 to</w:t>
      </w:r>
      <w:r w:rsidR="00496844" w:rsidRPr="00D6259F">
        <w:rPr>
          <w:color w:val="000000" w:themeColor="text1"/>
          <w:lang w:eastAsia="en-GB"/>
        </w:rPr>
        <w:t xml:space="preserve"> </w:t>
      </w:r>
      <w:r w:rsidRPr="00D6259F">
        <w:rPr>
          <w:color w:val="000000" w:themeColor="text1"/>
          <w:lang w:eastAsia="en-GB"/>
        </w:rPr>
        <w:t xml:space="preserve">11 years. </w:t>
      </w:r>
    </w:p>
    <w:p w14:paraId="1A1FED01" w14:textId="77777777" w:rsidR="00D422B1" w:rsidRPr="00D6259F" w:rsidRDefault="00D422B1" w:rsidP="00DA48D1">
      <w:pPr>
        <w:pStyle w:val="Heading5"/>
        <w:rPr>
          <w:rFonts w:cs="Arial"/>
          <w:color w:val="000000" w:themeColor="text1"/>
        </w:rPr>
      </w:pPr>
      <w:r w:rsidRPr="00D6259F">
        <w:rPr>
          <w:color w:val="000000" w:themeColor="text1"/>
        </w:rPr>
        <w:t>Carbon Credits</w:t>
      </w:r>
    </w:p>
    <w:p w14:paraId="55D40798" w14:textId="0326D418" w:rsidR="00D422B1" w:rsidRPr="00D6259F" w:rsidRDefault="00D422B1" w:rsidP="00C034D8">
      <w:pPr>
        <w:rPr>
          <w:color w:val="000000" w:themeColor="text1"/>
          <w:lang w:eastAsia="en-GB"/>
        </w:rPr>
      </w:pPr>
      <w:r w:rsidRPr="00D6259F">
        <w:rPr>
          <w:color w:val="000000" w:themeColor="text1"/>
          <w:lang w:eastAsia="en-GB"/>
        </w:rPr>
        <w:t xml:space="preserve">Carbon credits comprise either allocations of emission allowances granted by the </w:t>
      </w:r>
      <w:r w:rsidR="00F2150F" w:rsidRPr="00D6259F">
        <w:rPr>
          <w:color w:val="000000" w:themeColor="text1"/>
          <w:lang w:eastAsia="en-GB"/>
        </w:rPr>
        <w:t>Crown</w:t>
      </w:r>
      <w:r w:rsidRPr="00D6259F">
        <w:rPr>
          <w:color w:val="000000" w:themeColor="text1"/>
          <w:lang w:eastAsia="en-GB"/>
        </w:rPr>
        <w:t xml:space="preserve"> related to forestry assets or units purchased in the market to cover liabilities associated with landfill operations. Carbon credits allocated as a non-exchange transaction are initially recognised at fair value, which then becomes the deemed cost</w:t>
      </w:r>
      <w:r w:rsidR="00D213FC" w:rsidRPr="00D6259F">
        <w:rPr>
          <w:color w:val="000000" w:themeColor="text1"/>
          <w:lang w:eastAsia="en-GB"/>
        </w:rPr>
        <w:t xml:space="preserve">. </w:t>
      </w:r>
      <w:r w:rsidRPr="00D6259F">
        <w:rPr>
          <w:color w:val="000000" w:themeColor="text1"/>
          <w:lang w:eastAsia="en-GB"/>
        </w:rPr>
        <w:t>Carbon credits that are purchased are recognised at cost.</w:t>
      </w:r>
    </w:p>
    <w:p w14:paraId="67208665" w14:textId="77777777" w:rsidR="00D422B1" w:rsidRPr="00D6259F" w:rsidRDefault="00D422B1" w:rsidP="00C034D8">
      <w:pPr>
        <w:pStyle w:val="Heading2"/>
      </w:pPr>
      <w:bookmarkStart w:id="107" w:name="_Toc55482661"/>
      <w:bookmarkStart w:id="108" w:name="_Toc179890304"/>
      <w:r w:rsidRPr="00D6259F">
        <w:lastRenderedPageBreak/>
        <w:t>Note 1</w:t>
      </w:r>
      <w:r w:rsidR="00C676C7" w:rsidRPr="00D6259F">
        <w:t>8</w:t>
      </w:r>
      <w:r w:rsidRPr="00D6259F">
        <w:t xml:space="preserve">: Investment </w:t>
      </w:r>
      <w:proofErr w:type="gramStart"/>
      <w:r w:rsidRPr="00D6259F">
        <w:t>properties</w:t>
      </w:r>
      <w:bookmarkEnd w:id="107"/>
      <w:bookmarkEnd w:id="108"/>
      <w:proofErr w:type="gramEnd"/>
    </w:p>
    <w:p w14:paraId="65D0B9F7" w14:textId="255430E5" w:rsidR="00D422B1" w:rsidRPr="00D6259F" w:rsidRDefault="000F20D8" w:rsidP="00C034D8">
      <w:pPr>
        <w:rPr>
          <w:color w:val="000000" w:themeColor="text1"/>
        </w:rPr>
      </w:pPr>
      <w:r w:rsidRPr="00D6259F">
        <w:rPr>
          <w:color w:val="000000" w:themeColor="text1"/>
        </w:rPr>
        <w:object w:dxaOrig="10215" w:dyaOrig="5115" w14:anchorId="0A4E5366">
          <v:shape id="_x0000_i1057" type="#_x0000_t75" style="width:460pt;height:259pt" o:ole="">
            <v:imagedata r:id="rId75" o:title=""/>
          </v:shape>
          <o:OLEObject Type="Link" ProgID="Excel.Sheet.12" ShapeID="_x0000_i1057" DrawAspect="Content" r:id="rId76" UpdateMode="Always">
            <o:LinkType>EnhancedMetaFile</o:LinkType>
            <o:LockedField>false</o:LockedField>
          </o:OLEObject>
        </w:object>
      </w:r>
    </w:p>
    <w:p w14:paraId="137B1A71" w14:textId="48DB6507" w:rsidR="00D422B1" w:rsidRPr="00D6259F" w:rsidRDefault="008775A8" w:rsidP="00C034D8">
      <w:pPr>
        <w:rPr>
          <w:color w:val="000000" w:themeColor="text1"/>
          <w:lang w:eastAsia="en-GB"/>
        </w:rPr>
      </w:pPr>
      <w:r w:rsidRPr="00D6259F">
        <w:rPr>
          <w:color w:val="000000" w:themeColor="text1"/>
          <w:lang w:eastAsia="en-GB"/>
        </w:rPr>
        <w:t>The</w:t>
      </w:r>
      <w:r w:rsidR="00D422B1" w:rsidRPr="00D6259F">
        <w:rPr>
          <w:color w:val="000000" w:themeColor="text1"/>
          <w:lang w:eastAsia="en-GB"/>
        </w:rPr>
        <w:t xml:space="preserve"> Council’s investment properties were </w:t>
      </w:r>
      <w:r w:rsidR="00F91204" w:rsidRPr="00D6259F">
        <w:rPr>
          <w:color w:val="000000" w:themeColor="text1"/>
          <w:lang w:eastAsia="en-GB"/>
        </w:rPr>
        <w:t>re</w:t>
      </w:r>
      <w:r w:rsidR="00D422B1" w:rsidRPr="00D6259F">
        <w:rPr>
          <w:color w:val="000000" w:themeColor="text1"/>
          <w:lang w:eastAsia="en-GB"/>
        </w:rPr>
        <w:t xml:space="preserve">valued as </w:t>
      </w:r>
      <w:proofErr w:type="gramStart"/>
      <w:r w:rsidR="00D422B1" w:rsidRPr="00D6259F">
        <w:rPr>
          <w:color w:val="000000" w:themeColor="text1"/>
          <w:lang w:eastAsia="en-GB"/>
        </w:rPr>
        <w:t>at</w:t>
      </w:r>
      <w:proofErr w:type="gramEnd"/>
      <w:r w:rsidR="00D422B1" w:rsidRPr="00D6259F">
        <w:rPr>
          <w:color w:val="000000" w:themeColor="text1"/>
          <w:lang w:eastAsia="en-GB"/>
        </w:rPr>
        <w:t xml:space="preserve"> </w:t>
      </w:r>
      <w:r w:rsidR="005D56AC" w:rsidRPr="00D6259F">
        <w:rPr>
          <w:color w:val="000000" w:themeColor="text1"/>
          <w:lang w:eastAsia="en-GB"/>
        </w:rPr>
        <w:t>30 June 2024</w:t>
      </w:r>
      <w:r w:rsidR="00D422B1" w:rsidRPr="00D6259F">
        <w:rPr>
          <w:color w:val="000000" w:themeColor="text1"/>
          <w:lang w:eastAsia="en-GB"/>
        </w:rPr>
        <w:t xml:space="preserve"> by an independent valuer, William Bunt (FNZIV, FPINZ), registered valuer and Director of Valuation </w:t>
      </w:r>
      <w:r w:rsidR="00135F86" w:rsidRPr="00D6259F">
        <w:rPr>
          <w:color w:val="000000" w:themeColor="text1"/>
          <w:lang w:eastAsia="en-GB"/>
        </w:rPr>
        <w:t xml:space="preserve">and Advisory </w:t>
      </w:r>
      <w:r w:rsidR="00D422B1" w:rsidRPr="00D6259F">
        <w:rPr>
          <w:color w:val="000000" w:themeColor="text1"/>
          <w:lang w:eastAsia="en-GB"/>
        </w:rPr>
        <w:t>Services for CBRE Limited</w:t>
      </w:r>
      <w:r w:rsidR="00D213FC" w:rsidRPr="00D6259F">
        <w:rPr>
          <w:color w:val="000000" w:themeColor="text1"/>
          <w:lang w:eastAsia="en-GB"/>
        </w:rPr>
        <w:t xml:space="preserve">. </w:t>
      </w:r>
    </w:p>
    <w:p w14:paraId="74B20F21" w14:textId="70657D6F" w:rsidR="00F6100C" w:rsidRPr="00D6259F" w:rsidRDefault="000F20D8" w:rsidP="00C034D8">
      <w:pPr>
        <w:rPr>
          <w:b/>
          <w:bCs/>
          <w:color w:val="000000" w:themeColor="text1"/>
          <w:lang w:val="en-US" w:eastAsia="en-GB"/>
        </w:rPr>
      </w:pPr>
      <w:r w:rsidRPr="00D6259F">
        <w:rPr>
          <w:b/>
          <w:bCs/>
          <w:color w:val="000000" w:themeColor="text1"/>
          <w:lang w:val="en-US" w:eastAsia="en-GB"/>
        </w:rPr>
        <w:object w:dxaOrig="10215" w:dyaOrig="2415" w14:anchorId="287EA98B">
          <v:shape id="_x0000_i1058" type="#_x0000_t75" style="width:461pt;height:123pt" o:ole="">
            <v:imagedata r:id="rId77" o:title=""/>
          </v:shape>
          <o:OLEObject Type="Link" ProgID="Excel.Sheet.12" ShapeID="_x0000_i1058" DrawAspect="Content" r:id="rId78" UpdateMode="Always">
            <o:LinkType>EnhancedMetaFile</o:LinkType>
            <o:LockedField>false</o:LockedField>
          </o:OLEObject>
        </w:object>
      </w:r>
    </w:p>
    <w:p w14:paraId="6DFB5A06" w14:textId="1E8EB5E6" w:rsidR="00D422B1" w:rsidRPr="00D6259F" w:rsidRDefault="00D422B1" w:rsidP="00C034D8">
      <w:pPr>
        <w:rPr>
          <w:color w:val="000000" w:themeColor="text1"/>
          <w:lang w:eastAsia="en-GB"/>
        </w:rPr>
      </w:pPr>
      <w:r w:rsidRPr="00D6259F">
        <w:rPr>
          <w:color w:val="000000" w:themeColor="text1"/>
          <w:lang w:eastAsia="en-GB"/>
        </w:rPr>
        <w:t>Investment properties</w:t>
      </w:r>
      <w:r w:rsidR="00657EDA" w:rsidRPr="00D6259F">
        <w:rPr>
          <w:color w:val="000000" w:themeColor="text1"/>
          <w:lang w:eastAsia="en-GB"/>
        </w:rPr>
        <w:t>,</w:t>
      </w:r>
      <w:r w:rsidRPr="00D6259F">
        <w:rPr>
          <w:color w:val="000000" w:themeColor="text1"/>
          <w:lang w:eastAsia="en-GB"/>
        </w:rPr>
        <w:t xml:space="preserve"> which are</w:t>
      </w:r>
      <w:r w:rsidR="00657EDA" w:rsidRPr="00D6259F">
        <w:rPr>
          <w:color w:val="000000" w:themeColor="text1"/>
          <w:lang w:eastAsia="en-GB"/>
        </w:rPr>
        <w:t xml:space="preserve"> revalued annually, are</w:t>
      </w:r>
      <w:r w:rsidRPr="00D6259F">
        <w:rPr>
          <w:color w:val="000000" w:themeColor="text1"/>
          <w:lang w:eastAsia="en-GB"/>
        </w:rPr>
        <w:t xml:space="preserve"> held primarily to earn lease revenue and/or for capital growth. These properties include the Council’s ground leases</w:t>
      </w:r>
      <w:r w:rsidR="00E771F9" w:rsidRPr="00D6259F">
        <w:rPr>
          <w:color w:val="000000" w:themeColor="text1"/>
          <w:lang w:eastAsia="en-GB"/>
        </w:rPr>
        <w:t xml:space="preserve">, </w:t>
      </w:r>
      <w:r w:rsidR="00657EDA" w:rsidRPr="00D6259F">
        <w:rPr>
          <w:color w:val="000000" w:themeColor="text1"/>
          <w:lang w:eastAsia="en-GB"/>
        </w:rPr>
        <w:t>Wellington waterfront investment properties</w:t>
      </w:r>
      <w:r w:rsidRPr="00D6259F">
        <w:rPr>
          <w:color w:val="000000" w:themeColor="text1"/>
          <w:lang w:eastAsia="en-GB"/>
        </w:rPr>
        <w:t xml:space="preserve"> and certain </w:t>
      </w:r>
      <w:r w:rsidR="005E7DA4" w:rsidRPr="00D6259F">
        <w:rPr>
          <w:color w:val="000000" w:themeColor="text1"/>
          <w:lang w:eastAsia="en-GB"/>
        </w:rPr>
        <w:t xml:space="preserve">other </w:t>
      </w:r>
      <w:r w:rsidRPr="00D6259F">
        <w:rPr>
          <w:color w:val="000000" w:themeColor="text1"/>
          <w:lang w:eastAsia="en-GB"/>
        </w:rPr>
        <w:t>land and buildings.</w:t>
      </w:r>
    </w:p>
    <w:p w14:paraId="5EB98DE4" w14:textId="77777777" w:rsidR="00D422B1" w:rsidRPr="00D6259F" w:rsidRDefault="00D422B1" w:rsidP="00C034D8">
      <w:pPr>
        <w:rPr>
          <w:color w:val="000000" w:themeColor="text1"/>
          <w:lang w:eastAsia="en-GB"/>
        </w:rPr>
      </w:pPr>
      <w:r w:rsidRPr="00D6259F">
        <w:rPr>
          <w:color w:val="000000" w:themeColor="text1"/>
          <w:lang w:eastAsia="en-GB"/>
        </w:rPr>
        <w:t>Ground leases are parcels of land owned by the Council in the central city or on the waterfront that are leased to other parties who own the buildings situated on the land. The leases are generally based on 21-year perpetually renewable terms. As these parcels of land are held for investment purposes the leases are charged on a commercial market basis.</w:t>
      </w:r>
    </w:p>
    <w:p w14:paraId="0F854B75" w14:textId="13439869" w:rsidR="00D422B1" w:rsidRPr="00D6259F" w:rsidRDefault="00D422B1" w:rsidP="00C034D8">
      <w:pPr>
        <w:rPr>
          <w:color w:val="000000" w:themeColor="text1"/>
          <w:lang w:eastAsia="en-GB"/>
        </w:rPr>
      </w:pPr>
      <w:r w:rsidRPr="00D6259F">
        <w:rPr>
          <w:color w:val="000000" w:themeColor="text1"/>
          <w:lang w:eastAsia="en-GB"/>
        </w:rPr>
        <w:t xml:space="preserve">Investment properties exclude those properties held for strategic purposes or to provide a social service. </w:t>
      </w:r>
      <w:r w:rsidR="007749E1" w:rsidRPr="00D6259F">
        <w:rPr>
          <w:color w:val="000000" w:themeColor="text1"/>
          <w:lang w:eastAsia="en-GB"/>
        </w:rPr>
        <w:t>Excluded</w:t>
      </w:r>
      <w:r w:rsidRPr="00D6259F">
        <w:rPr>
          <w:color w:val="000000" w:themeColor="text1"/>
          <w:lang w:eastAsia="en-GB"/>
        </w:rPr>
        <w:t xml:space="preserve"> properties </w:t>
      </w:r>
      <w:r w:rsidR="007749E1" w:rsidRPr="00D6259F">
        <w:rPr>
          <w:color w:val="000000" w:themeColor="text1"/>
          <w:lang w:eastAsia="en-GB"/>
        </w:rPr>
        <w:t xml:space="preserve">includes those </w:t>
      </w:r>
      <w:r w:rsidRPr="00D6259F">
        <w:rPr>
          <w:color w:val="000000" w:themeColor="text1"/>
          <w:lang w:eastAsia="en-GB"/>
        </w:rPr>
        <w:t xml:space="preserve">which generate cash inflows </w:t>
      </w:r>
      <w:r w:rsidR="0014248F" w:rsidRPr="00D6259F">
        <w:rPr>
          <w:color w:val="000000" w:themeColor="text1"/>
          <w:lang w:eastAsia="en-GB"/>
        </w:rPr>
        <w:t>where</w:t>
      </w:r>
      <w:r w:rsidRPr="00D6259F">
        <w:rPr>
          <w:color w:val="000000" w:themeColor="text1"/>
          <w:lang w:eastAsia="en-GB"/>
        </w:rPr>
        <w:t xml:space="preserve"> the lease revenue is incidental to the purpose for holding the property. Such properties include the Council’s social housing assets, which are held within operational assets in property, </w:t>
      </w:r>
      <w:proofErr w:type="gramStart"/>
      <w:r w:rsidRPr="00D6259F">
        <w:rPr>
          <w:color w:val="000000" w:themeColor="text1"/>
          <w:lang w:eastAsia="en-GB"/>
        </w:rPr>
        <w:t>plant</w:t>
      </w:r>
      <w:proofErr w:type="gramEnd"/>
      <w:r w:rsidRPr="00D6259F">
        <w:rPr>
          <w:color w:val="000000" w:themeColor="text1"/>
          <w:lang w:eastAsia="en-GB"/>
        </w:rPr>
        <w:t xml:space="preserve"> and equipment.</w:t>
      </w:r>
    </w:p>
    <w:p w14:paraId="72BFAD3F" w14:textId="77777777" w:rsidR="00D422B1" w:rsidRPr="00D6259F" w:rsidRDefault="00D422B1" w:rsidP="00C034D8">
      <w:pPr>
        <w:pStyle w:val="Heading3"/>
      </w:pPr>
      <w:bookmarkStart w:id="109" w:name="_Toc121217113"/>
      <w:r w:rsidRPr="00D6259F">
        <w:lastRenderedPageBreak/>
        <w:t>Relevant significant accounting policies</w:t>
      </w:r>
      <w:bookmarkEnd w:id="109"/>
    </w:p>
    <w:p w14:paraId="3E664033" w14:textId="77777777" w:rsidR="004039F9" w:rsidRPr="00D6259F" w:rsidRDefault="00D422B1" w:rsidP="00C034D8">
      <w:pPr>
        <w:rPr>
          <w:color w:val="000000" w:themeColor="text1"/>
          <w:lang w:eastAsia="en-GB"/>
        </w:rPr>
      </w:pPr>
      <w:r w:rsidRPr="00D6259F">
        <w:rPr>
          <w:color w:val="000000" w:themeColor="text1"/>
          <w:lang w:eastAsia="en-GB"/>
        </w:rPr>
        <w:t xml:space="preserve">The basis of valuation varies depending on the nature of the lease. For sites that are subject to a terminating lease the approach is to assess the value of the lease revenue over the remaining term of the lease and add the residual value of the land at lease expiry. </w:t>
      </w:r>
    </w:p>
    <w:p w14:paraId="73B9C58F" w14:textId="6EB9C5CB" w:rsidR="00D422B1" w:rsidRPr="00D6259F" w:rsidRDefault="00D422B1" w:rsidP="00C034D8">
      <w:pPr>
        <w:rPr>
          <w:color w:val="000000" w:themeColor="text1"/>
          <w:lang w:eastAsia="en-GB"/>
        </w:rPr>
      </w:pPr>
      <w:r w:rsidRPr="00D6259F">
        <w:rPr>
          <w:color w:val="000000" w:themeColor="text1"/>
          <w:lang w:eastAsia="en-GB"/>
        </w:rPr>
        <w:t>For sites subject to perpetually renewable leases</w:t>
      </w:r>
      <w:r w:rsidR="004E7145" w:rsidRPr="00D6259F">
        <w:rPr>
          <w:color w:val="000000" w:themeColor="text1"/>
          <w:lang w:eastAsia="en-GB"/>
        </w:rPr>
        <w:t>,</w:t>
      </w:r>
      <w:r w:rsidRPr="00D6259F">
        <w:rPr>
          <w:color w:val="000000" w:themeColor="text1"/>
          <w:lang w:eastAsia="en-GB"/>
        </w:rPr>
        <w:t xml:space="preserve"> values have been assessed utilising </w:t>
      </w:r>
      <w:r w:rsidR="00C66927" w:rsidRPr="00D6259F">
        <w:rPr>
          <w:color w:val="000000" w:themeColor="text1"/>
          <w:lang w:eastAsia="en-GB"/>
        </w:rPr>
        <w:t>the</w:t>
      </w:r>
      <w:r w:rsidRPr="00D6259F">
        <w:rPr>
          <w:color w:val="000000" w:themeColor="text1"/>
          <w:lang w:eastAsia="en-GB"/>
        </w:rPr>
        <w:t xml:space="preserve"> discounted cash flow </w:t>
      </w:r>
      <w:r w:rsidR="00C66927" w:rsidRPr="00D6259F">
        <w:rPr>
          <w:color w:val="000000" w:themeColor="text1"/>
          <w:lang w:eastAsia="en-GB"/>
        </w:rPr>
        <w:t xml:space="preserve">methodology </w:t>
      </w:r>
      <w:r w:rsidRPr="00D6259F">
        <w:rPr>
          <w:color w:val="000000" w:themeColor="text1"/>
          <w:lang w:eastAsia="en-GB"/>
        </w:rPr>
        <w:t>and arriving at a net present value of all future anticipated gross lease payments.</w:t>
      </w:r>
    </w:p>
    <w:p w14:paraId="38DCE168" w14:textId="77777777" w:rsidR="00D422B1" w:rsidRPr="00D6259F" w:rsidRDefault="00D422B1" w:rsidP="00C034D8">
      <w:pPr>
        <w:rPr>
          <w:color w:val="000000" w:themeColor="text1"/>
          <w:lang w:eastAsia="en-GB"/>
        </w:rPr>
      </w:pPr>
      <w:r w:rsidRPr="00D6259F">
        <w:rPr>
          <w:color w:val="000000" w:themeColor="text1"/>
          <w:lang w:eastAsia="en-GB"/>
        </w:rPr>
        <w:t>Borrowing costs incurred during the construction of investment property are not capitalised.</w:t>
      </w:r>
    </w:p>
    <w:p w14:paraId="0CC02056" w14:textId="41712A59" w:rsidR="00D422B1" w:rsidRPr="00D6259F" w:rsidRDefault="00D422B1" w:rsidP="00C034D8">
      <w:pPr>
        <w:rPr>
          <w:color w:val="000000" w:themeColor="text1"/>
          <w:lang w:eastAsia="en-GB"/>
        </w:rPr>
      </w:pPr>
      <w:r w:rsidRPr="00D6259F">
        <w:rPr>
          <w:color w:val="000000" w:themeColor="text1"/>
          <w:lang w:eastAsia="en-GB"/>
        </w:rPr>
        <w:t>Investment properties are measured initially at cost and subsequently measured at fair value, determined annually by an independent registered valuer. Any gain or loss arising is recognised within</w:t>
      </w:r>
      <w:r w:rsidR="00FA378C" w:rsidRPr="00D6259F">
        <w:rPr>
          <w:color w:val="000000" w:themeColor="text1"/>
          <w:lang w:eastAsia="en-GB"/>
        </w:rPr>
        <w:t xml:space="preserve"> the </w:t>
      </w:r>
      <w:r w:rsidRPr="00D6259F">
        <w:rPr>
          <w:color w:val="000000" w:themeColor="text1"/>
          <w:lang w:eastAsia="en-GB"/>
        </w:rPr>
        <w:t>surplus or deficit. Investment properties are not depreciated.</w:t>
      </w:r>
    </w:p>
    <w:p w14:paraId="6782BCFD" w14:textId="2E835091" w:rsidR="00C31A4A" w:rsidRPr="00D6259F" w:rsidRDefault="00D422B1" w:rsidP="00C034D8">
      <w:pPr>
        <w:rPr>
          <w:color w:val="000000" w:themeColor="text1"/>
          <w:lang w:eastAsia="en-GB"/>
        </w:rPr>
      </w:pPr>
      <w:r w:rsidRPr="00D6259F">
        <w:rPr>
          <w:color w:val="000000" w:themeColor="text1"/>
          <w:lang w:eastAsia="en-GB"/>
        </w:rPr>
        <w:t xml:space="preserve">Certain ground leases on the waterfront and within the </w:t>
      </w:r>
      <w:r w:rsidR="00815FD3" w:rsidRPr="00D6259F">
        <w:rPr>
          <w:color w:val="000000" w:themeColor="text1"/>
          <w:lang w:eastAsia="en-GB"/>
        </w:rPr>
        <w:t xml:space="preserve">central city </w:t>
      </w:r>
      <w:r w:rsidRPr="00D6259F">
        <w:rPr>
          <w:color w:val="000000" w:themeColor="text1"/>
          <w:lang w:eastAsia="en-GB"/>
        </w:rPr>
        <w:t>have, for accounting purposes, been treated as sold assets due to the very long-term nature of the lease and peppercorn rentals.</w:t>
      </w:r>
      <w:r w:rsidR="00F53B0E" w:rsidRPr="00D6259F">
        <w:rPr>
          <w:color w:val="000000" w:themeColor="text1"/>
          <w:lang w:eastAsia="en-GB"/>
        </w:rPr>
        <w:t xml:space="preserve"> </w:t>
      </w:r>
      <w:r w:rsidRPr="00D6259F">
        <w:rPr>
          <w:color w:val="000000" w:themeColor="text1"/>
          <w:lang w:eastAsia="en-GB"/>
        </w:rPr>
        <w:t xml:space="preserve">At a future point in time, prior to the asset being returned to </w:t>
      </w:r>
      <w:r w:rsidR="001D2C74" w:rsidRPr="00D6259F">
        <w:rPr>
          <w:color w:val="000000" w:themeColor="text1"/>
          <w:lang w:eastAsia="en-GB"/>
        </w:rPr>
        <w:t xml:space="preserve">the </w:t>
      </w:r>
      <w:r w:rsidRPr="00D6259F">
        <w:rPr>
          <w:color w:val="000000" w:themeColor="text1"/>
          <w:lang w:eastAsia="en-GB"/>
        </w:rPr>
        <w:t xml:space="preserve">Council ownership, </w:t>
      </w:r>
      <w:r w:rsidR="001D2C74" w:rsidRPr="00D6259F">
        <w:rPr>
          <w:color w:val="000000" w:themeColor="text1"/>
          <w:lang w:eastAsia="en-GB"/>
        </w:rPr>
        <w:t xml:space="preserve">the </w:t>
      </w:r>
      <w:r w:rsidRPr="00D6259F">
        <w:rPr>
          <w:color w:val="000000" w:themeColor="text1"/>
          <w:lang w:eastAsia="en-GB"/>
        </w:rPr>
        <w:t>Council will begin to incrementally re-recognise the value of the asset. The amortisation of the estimated future value will reflect the prevalent economic situation and will be more relevant in terms of both the estimated value and materiality.</w:t>
      </w:r>
    </w:p>
    <w:p w14:paraId="380139C0" w14:textId="41A3DFB7" w:rsidR="00D422B1" w:rsidRPr="00D6259F" w:rsidRDefault="00821F32" w:rsidP="00C034D8">
      <w:pPr>
        <w:pStyle w:val="Heading2"/>
      </w:pPr>
      <w:bookmarkStart w:id="110" w:name="_Toc55482662"/>
      <w:bookmarkStart w:id="111" w:name="_Toc179890305"/>
      <w:r w:rsidRPr="00D6259F">
        <w:t>N</w:t>
      </w:r>
      <w:r w:rsidR="00D422B1" w:rsidRPr="00D6259F">
        <w:t>ote 1</w:t>
      </w:r>
      <w:r w:rsidR="00CA262F" w:rsidRPr="00D6259F">
        <w:t>9</w:t>
      </w:r>
      <w:r w:rsidR="00D422B1" w:rsidRPr="00D6259F">
        <w:t xml:space="preserve">: Property, plant and </w:t>
      </w:r>
      <w:proofErr w:type="gramStart"/>
      <w:r w:rsidR="00D422B1" w:rsidRPr="00D6259F">
        <w:t>equipment</w:t>
      </w:r>
      <w:bookmarkEnd w:id="110"/>
      <w:bookmarkEnd w:id="111"/>
      <w:proofErr w:type="gramEnd"/>
      <w:r w:rsidR="00D422B1" w:rsidRPr="00D6259F">
        <w:t xml:space="preserve"> </w:t>
      </w:r>
    </w:p>
    <w:bookmarkStart w:id="112" w:name="_Toc121217115"/>
    <w:p w14:paraId="197A736A" w14:textId="04DE69E3" w:rsidR="00D46AF3" w:rsidRPr="00D6259F" w:rsidRDefault="000F20D8" w:rsidP="00D46AF3">
      <w:pPr>
        <w:rPr>
          <w:color w:val="000000" w:themeColor="text1"/>
          <w:lang w:eastAsia="en-GB"/>
        </w:rPr>
      </w:pPr>
      <w:r w:rsidRPr="00D6259F">
        <w:rPr>
          <w:color w:val="000000" w:themeColor="text1"/>
          <w:lang w:eastAsia="en-GB"/>
        </w:rPr>
        <w:object w:dxaOrig="10665" w:dyaOrig="4515" w14:anchorId="42BBAF86">
          <v:shape id="_x0000_i1059" type="#_x0000_t75" style="width:454pt;height:234pt" o:ole="">
            <v:imagedata r:id="rId79" o:title=""/>
          </v:shape>
          <o:OLEObject Type="Link" ProgID="Excel.Sheet.12" ShapeID="_x0000_i1059" DrawAspect="Content" r:id="rId80" UpdateMode="Always">
            <o:LinkType>EnhancedMetaFile</o:LinkType>
            <o:LockedField>false</o:LockedField>
          </o:OLEObject>
        </w:object>
      </w:r>
    </w:p>
    <w:p w14:paraId="6AF6E358" w14:textId="7746A860" w:rsidR="00D422B1" w:rsidRPr="00D6259F" w:rsidRDefault="00D422B1" w:rsidP="00430900">
      <w:pPr>
        <w:pStyle w:val="Heading3"/>
      </w:pPr>
      <w:r w:rsidRPr="00D6259F">
        <w:t>Relevant significant accounting policies</w:t>
      </w:r>
      <w:bookmarkEnd w:id="112"/>
    </w:p>
    <w:p w14:paraId="1C7CA779" w14:textId="3016E4F0" w:rsidR="00D422B1" w:rsidRPr="00D6259F" w:rsidRDefault="00D422B1" w:rsidP="00C034D8">
      <w:pPr>
        <w:rPr>
          <w:color w:val="000000" w:themeColor="text1"/>
          <w:lang w:eastAsia="en-GB"/>
        </w:rPr>
      </w:pPr>
      <w:r w:rsidRPr="00D6259F">
        <w:rPr>
          <w:color w:val="000000" w:themeColor="text1"/>
          <w:lang w:eastAsia="en-GB"/>
        </w:rPr>
        <w:t xml:space="preserve">Property, </w:t>
      </w:r>
      <w:proofErr w:type="gramStart"/>
      <w:r w:rsidRPr="00D6259F">
        <w:rPr>
          <w:color w:val="000000" w:themeColor="text1"/>
          <w:lang w:eastAsia="en-GB"/>
        </w:rPr>
        <w:t>plant</w:t>
      </w:r>
      <w:proofErr w:type="gramEnd"/>
      <w:r w:rsidRPr="00D6259F">
        <w:rPr>
          <w:color w:val="000000" w:themeColor="text1"/>
          <w:lang w:eastAsia="en-GB"/>
        </w:rPr>
        <w:t xml:space="preserve"> and equipment consists of operational assets, infrastructure assets</w:t>
      </w:r>
      <w:r w:rsidR="00E01E45" w:rsidRPr="00D6259F">
        <w:rPr>
          <w:color w:val="000000" w:themeColor="text1"/>
          <w:lang w:eastAsia="en-GB"/>
        </w:rPr>
        <w:t xml:space="preserve"> and restricted assets</w:t>
      </w:r>
      <w:r w:rsidRPr="00D6259F">
        <w:rPr>
          <w:color w:val="000000" w:themeColor="text1"/>
          <w:lang w:eastAsia="en-GB"/>
        </w:rPr>
        <w:t>.</w:t>
      </w:r>
    </w:p>
    <w:p w14:paraId="75319436" w14:textId="5F509706" w:rsidR="00D422B1" w:rsidRPr="00D6259F" w:rsidRDefault="00D422B1" w:rsidP="00C034D8">
      <w:pPr>
        <w:rPr>
          <w:color w:val="000000" w:themeColor="text1"/>
          <w:lang w:eastAsia="en-GB"/>
        </w:rPr>
      </w:pPr>
      <w:r w:rsidRPr="00D6259F">
        <w:rPr>
          <w:b/>
          <w:bCs/>
          <w:color w:val="000000" w:themeColor="text1"/>
          <w:lang w:eastAsia="en-GB"/>
        </w:rPr>
        <w:t>Operational assets</w:t>
      </w:r>
      <w:r w:rsidRPr="00D6259F">
        <w:rPr>
          <w:color w:val="000000" w:themeColor="text1"/>
          <w:lang w:eastAsia="en-GB"/>
        </w:rPr>
        <w:t xml:space="preserve"> </w:t>
      </w:r>
      <w:proofErr w:type="gramStart"/>
      <w:r w:rsidR="007A5378" w:rsidRPr="00D6259F">
        <w:rPr>
          <w:color w:val="000000" w:themeColor="text1"/>
          <w:lang w:eastAsia="en-GB"/>
        </w:rPr>
        <w:t>include</w:t>
      </w:r>
      <w:r w:rsidR="00E01E45" w:rsidRPr="00D6259F">
        <w:rPr>
          <w:color w:val="000000" w:themeColor="text1"/>
          <w:lang w:eastAsia="en-GB"/>
        </w:rPr>
        <w:t>:</w:t>
      </w:r>
      <w:proofErr w:type="gramEnd"/>
      <w:r w:rsidRPr="00D6259F">
        <w:rPr>
          <w:color w:val="000000" w:themeColor="text1"/>
          <w:lang w:eastAsia="en-GB"/>
        </w:rPr>
        <w:t xml:space="preserve"> land,</w:t>
      </w:r>
      <w:r w:rsidR="00C66927" w:rsidRPr="00D6259F">
        <w:rPr>
          <w:color w:val="000000" w:themeColor="text1"/>
          <w:lang w:eastAsia="en-GB"/>
        </w:rPr>
        <w:t xml:space="preserve"> buildings, </w:t>
      </w:r>
      <w:r w:rsidRPr="00D6259F">
        <w:rPr>
          <w:color w:val="000000" w:themeColor="text1"/>
          <w:lang w:eastAsia="en-GB"/>
        </w:rPr>
        <w:t xml:space="preserve">landfill post-closure </w:t>
      </w:r>
      <w:r w:rsidR="00E01E45" w:rsidRPr="00D6259F">
        <w:rPr>
          <w:color w:val="000000" w:themeColor="text1"/>
          <w:lang w:eastAsia="en-GB"/>
        </w:rPr>
        <w:t>costs</w:t>
      </w:r>
      <w:r w:rsidRPr="00D6259F">
        <w:rPr>
          <w:color w:val="000000" w:themeColor="text1"/>
          <w:lang w:eastAsia="en-GB"/>
        </w:rPr>
        <w:t>, Civic Precinct, plant and equipment</w:t>
      </w:r>
      <w:r w:rsidR="004C3F50" w:rsidRPr="00D6259F">
        <w:rPr>
          <w:color w:val="000000" w:themeColor="text1"/>
          <w:lang w:eastAsia="en-GB"/>
        </w:rPr>
        <w:t>,</w:t>
      </w:r>
      <w:r w:rsidR="00E01E45" w:rsidRPr="00D6259F">
        <w:rPr>
          <w:color w:val="000000" w:themeColor="text1"/>
          <w:lang w:eastAsia="en-GB"/>
        </w:rPr>
        <w:t xml:space="preserve"> and library collections.</w:t>
      </w:r>
    </w:p>
    <w:p w14:paraId="076CB36C" w14:textId="43EF613B" w:rsidR="008F79B9" w:rsidRPr="00D6259F" w:rsidRDefault="008F79B9" w:rsidP="008F79B9">
      <w:pPr>
        <w:rPr>
          <w:color w:val="000000" w:themeColor="text1"/>
          <w:lang w:eastAsia="en-GB"/>
        </w:rPr>
      </w:pPr>
      <w:r w:rsidRPr="00D6259F">
        <w:rPr>
          <w:b/>
          <w:bCs/>
          <w:color w:val="000000" w:themeColor="text1"/>
          <w:lang w:eastAsia="en-GB"/>
        </w:rPr>
        <w:t>Infrastructure assets</w:t>
      </w:r>
      <w:r w:rsidRPr="00D6259F">
        <w:rPr>
          <w:color w:val="000000" w:themeColor="text1"/>
          <w:lang w:eastAsia="en-GB"/>
        </w:rPr>
        <w:t xml:space="preserve"> include: </w:t>
      </w:r>
      <w:r w:rsidR="008775A8" w:rsidRPr="00D6259F">
        <w:rPr>
          <w:color w:val="000000" w:themeColor="text1"/>
          <w:lang w:eastAsia="en-GB"/>
        </w:rPr>
        <w:t xml:space="preserve">the roading network, drainage, </w:t>
      </w:r>
      <w:proofErr w:type="gramStart"/>
      <w:r w:rsidR="008775A8" w:rsidRPr="00D6259F">
        <w:rPr>
          <w:color w:val="000000" w:themeColor="text1"/>
          <w:lang w:eastAsia="en-GB"/>
        </w:rPr>
        <w:t>water</w:t>
      </w:r>
      <w:proofErr w:type="gramEnd"/>
      <w:r w:rsidR="008775A8" w:rsidRPr="00D6259F">
        <w:rPr>
          <w:color w:val="000000" w:themeColor="text1"/>
          <w:lang w:eastAsia="en-GB"/>
        </w:rPr>
        <w:t xml:space="preserve"> and waste reticulation networks including service concession arrangement assets (wastewater treatment plants). </w:t>
      </w:r>
      <w:r w:rsidRPr="00D6259F">
        <w:rPr>
          <w:color w:val="000000" w:themeColor="text1"/>
          <w:lang w:eastAsia="en-GB"/>
        </w:rPr>
        <w:t>Each asset type includes all items that are required for the network to function.</w:t>
      </w:r>
    </w:p>
    <w:p w14:paraId="0A0FD1DC" w14:textId="2FF168E4" w:rsidR="00D422B1" w:rsidRPr="00D6259F" w:rsidRDefault="00D422B1" w:rsidP="00C034D8">
      <w:pPr>
        <w:rPr>
          <w:color w:val="000000" w:themeColor="text1"/>
          <w:lang w:eastAsia="en-GB"/>
        </w:rPr>
      </w:pPr>
      <w:r w:rsidRPr="00D6259F">
        <w:rPr>
          <w:b/>
          <w:bCs/>
          <w:color w:val="000000" w:themeColor="text1"/>
          <w:lang w:eastAsia="en-GB"/>
        </w:rPr>
        <w:lastRenderedPageBreak/>
        <w:t>Restricted assets</w:t>
      </w:r>
      <w:r w:rsidRPr="00D6259F">
        <w:rPr>
          <w:color w:val="000000" w:themeColor="text1"/>
          <w:lang w:eastAsia="en-GB"/>
        </w:rPr>
        <w:t xml:space="preserve"> </w:t>
      </w:r>
      <w:proofErr w:type="gramStart"/>
      <w:r w:rsidR="007A5378" w:rsidRPr="00D6259F">
        <w:rPr>
          <w:color w:val="000000" w:themeColor="text1"/>
          <w:lang w:eastAsia="en-GB"/>
        </w:rPr>
        <w:t>include</w:t>
      </w:r>
      <w:r w:rsidR="004F4CEA" w:rsidRPr="00D6259F">
        <w:rPr>
          <w:color w:val="000000" w:themeColor="text1"/>
          <w:lang w:eastAsia="en-GB"/>
        </w:rPr>
        <w:t>:</w:t>
      </w:r>
      <w:proofErr w:type="gramEnd"/>
      <w:r w:rsidR="004F4CEA" w:rsidRPr="00D6259F">
        <w:rPr>
          <w:color w:val="000000" w:themeColor="text1"/>
          <w:lang w:eastAsia="en-GB"/>
        </w:rPr>
        <w:t xml:space="preserve"> </w:t>
      </w:r>
      <w:r w:rsidRPr="00D6259F">
        <w:rPr>
          <w:color w:val="000000" w:themeColor="text1"/>
          <w:lang w:eastAsia="en-GB"/>
        </w:rPr>
        <w:t>art and cultural assets, buildings</w:t>
      </w:r>
      <w:r w:rsidR="004F4CEA" w:rsidRPr="00D6259F">
        <w:rPr>
          <w:color w:val="000000" w:themeColor="text1"/>
          <w:lang w:eastAsia="en-GB"/>
        </w:rPr>
        <w:t xml:space="preserve"> on restricted land</w:t>
      </w:r>
      <w:r w:rsidRPr="00D6259F">
        <w:rPr>
          <w:color w:val="000000" w:themeColor="text1"/>
          <w:lang w:eastAsia="en-GB"/>
        </w:rPr>
        <w:t>, parks and reserves</w:t>
      </w:r>
      <w:r w:rsidR="00DC43BD" w:rsidRPr="00D6259F">
        <w:rPr>
          <w:color w:val="000000" w:themeColor="text1"/>
          <w:lang w:eastAsia="en-GB"/>
        </w:rPr>
        <w:t xml:space="preserve">, </w:t>
      </w:r>
      <w:r w:rsidRPr="00D6259F">
        <w:rPr>
          <w:color w:val="000000" w:themeColor="text1"/>
          <w:lang w:eastAsia="en-GB"/>
        </w:rPr>
        <w:t>and the Town Belt. These assets provide a benefit or service to the community and in most cases cannot be disposed of because of legal or other restrictions (for example, land declared as a reserve under the Reserves Act 1977)</w:t>
      </w:r>
      <w:r w:rsidR="00C43955" w:rsidRPr="00D6259F">
        <w:rPr>
          <w:color w:val="000000" w:themeColor="text1"/>
          <w:lang w:eastAsia="en-GB"/>
        </w:rPr>
        <w:t>.</w:t>
      </w:r>
      <w:r w:rsidRPr="00D6259F">
        <w:rPr>
          <w:color w:val="000000" w:themeColor="text1"/>
          <w:lang w:eastAsia="en-GB"/>
        </w:rPr>
        <w:t xml:space="preserve"> The use of the asset may also be restricted such as the donated Basin Reserve land which must be retained for the purposes of providing a cricket and recreation ground with no permitted thoroughfare.</w:t>
      </w:r>
    </w:p>
    <w:p w14:paraId="608C32F5" w14:textId="644C27C4" w:rsidR="008F79B9" w:rsidRPr="00D6259F" w:rsidRDefault="008F79B9" w:rsidP="00C034D8">
      <w:pPr>
        <w:rPr>
          <w:color w:val="000000" w:themeColor="text1"/>
          <w:lang w:eastAsia="en-GB"/>
        </w:rPr>
      </w:pPr>
      <w:r w:rsidRPr="00D6259F">
        <w:rPr>
          <w:color w:val="000000" w:themeColor="text1"/>
          <w:lang w:eastAsia="en-GB"/>
        </w:rPr>
        <w:t xml:space="preserve">Within the above three categories, assets can also be subcategorised as heritage or vested assets.   </w:t>
      </w:r>
    </w:p>
    <w:p w14:paraId="077866C2" w14:textId="0996F629" w:rsidR="005D4A7D" w:rsidRPr="00D6259F" w:rsidRDefault="005D4A7D" w:rsidP="005D4A7D">
      <w:pPr>
        <w:rPr>
          <w:color w:val="000000" w:themeColor="text1"/>
          <w:lang w:eastAsia="en-GB"/>
        </w:rPr>
      </w:pPr>
      <w:r w:rsidRPr="00D6259F">
        <w:rPr>
          <w:b/>
          <w:bCs/>
          <w:i/>
          <w:iCs/>
          <w:color w:val="000000" w:themeColor="text1"/>
          <w:lang w:eastAsia="en-GB"/>
        </w:rPr>
        <w:t>Heritage assets</w:t>
      </w:r>
      <w:r w:rsidRPr="00D6259F">
        <w:rPr>
          <w:color w:val="000000" w:themeColor="text1"/>
          <w:lang w:eastAsia="en-GB"/>
        </w:rPr>
        <w:t xml:space="preserve"> are tangible assets with historical, artistic, scientific, technological, </w:t>
      </w:r>
      <w:proofErr w:type="gramStart"/>
      <w:r w:rsidRPr="00D6259F">
        <w:rPr>
          <w:color w:val="000000" w:themeColor="text1"/>
          <w:lang w:eastAsia="en-GB"/>
        </w:rPr>
        <w:t>geophysical</w:t>
      </w:r>
      <w:proofErr w:type="gramEnd"/>
      <w:r w:rsidRPr="00D6259F">
        <w:rPr>
          <w:color w:val="000000" w:themeColor="text1"/>
          <w:lang w:eastAsia="en-GB"/>
        </w:rPr>
        <w:t xml:space="preserve"> or environmental qualities that are held and maintained principally for their contribution to knowledge and culture. The Council and</w:t>
      </w:r>
      <w:r w:rsidR="006020F7" w:rsidRPr="00D6259F">
        <w:rPr>
          <w:color w:val="000000" w:themeColor="text1"/>
          <w:lang w:eastAsia="en-GB"/>
        </w:rPr>
        <w:t xml:space="preserve"> Group</w:t>
      </w:r>
      <w:r w:rsidRPr="00D6259F">
        <w:rPr>
          <w:color w:val="000000" w:themeColor="text1"/>
          <w:lang w:eastAsia="en-GB"/>
        </w:rPr>
        <w:t xml:space="preserve"> recognises these assets within these financial statements to the extent their value can be reliably measured. </w:t>
      </w:r>
    </w:p>
    <w:p w14:paraId="42B0EB0A" w14:textId="235263D6" w:rsidR="00D422B1" w:rsidRPr="00D6259F" w:rsidRDefault="00D422B1" w:rsidP="00C034D8">
      <w:pPr>
        <w:rPr>
          <w:color w:val="000000" w:themeColor="text1"/>
          <w:lang w:eastAsia="en-GB"/>
        </w:rPr>
      </w:pPr>
      <w:r w:rsidRPr="00D6259F">
        <w:rPr>
          <w:b/>
          <w:bCs/>
          <w:i/>
          <w:iCs/>
          <w:color w:val="000000" w:themeColor="text1"/>
          <w:lang w:eastAsia="en-GB"/>
        </w:rPr>
        <w:t>Vested assets</w:t>
      </w:r>
      <w:r w:rsidRPr="00D6259F">
        <w:rPr>
          <w:color w:val="000000" w:themeColor="text1"/>
          <w:lang w:eastAsia="en-GB"/>
        </w:rPr>
        <w:t xml:space="preserve"> are those assets where ownership and control </w:t>
      </w:r>
      <w:r w:rsidR="005A2FF4" w:rsidRPr="00D6259F">
        <w:rPr>
          <w:color w:val="000000" w:themeColor="text1"/>
          <w:lang w:eastAsia="en-GB"/>
        </w:rPr>
        <w:t>are</w:t>
      </w:r>
      <w:r w:rsidRPr="00D6259F">
        <w:rPr>
          <w:color w:val="000000" w:themeColor="text1"/>
          <w:lang w:eastAsia="en-GB"/>
        </w:rPr>
        <w:t xml:space="preserve"> transferred to the Council from a third party (</w:t>
      </w:r>
      <w:r w:rsidR="001C7792" w:rsidRPr="00D6259F">
        <w:rPr>
          <w:color w:val="000000" w:themeColor="text1"/>
          <w:lang w:eastAsia="en-GB"/>
        </w:rPr>
        <w:t xml:space="preserve">for example, </w:t>
      </w:r>
      <w:r w:rsidRPr="00D6259F">
        <w:rPr>
          <w:color w:val="000000" w:themeColor="text1"/>
          <w:lang w:eastAsia="en-GB"/>
        </w:rPr>
        <w:t>infrastructure assets constructed by developers and transferred to the Council on</w:t>
      </w:r>
      <w:r w:rsidRPr="00D6259F">
        <w:rPr>
          <w:rFonts w:cs="Arial"/>
          <w:color w:val="000000" w:themeColor="text1"/>
        </w:rPr>
        <w:t xml:space="preserve"> </w:t>
      </w:r>
      <w:r w:rsidRPr="00D6259F">
        <w:rPr>
          <w:color w:val="000000" w:themeColor="text1"/>
          <w:lang w:eastAsia="en-GB"/>
        </w:rPr>
        <w:t>completion of a subdivision). Vested assets are recognised within their respective asset classes.</w:t>
      </w:r>
    </w:p>
    <w:p w14:paraId="6100FF78" w14:textId="77777777" w:rsidR="00D422B1" w:rsidRPr="00D6259F" w:rsidRDefault="00D422B1" w:rsidP="003D2D53">
      <w:pPr>
        <w:pStyle w:val="Heading5"/>
        <w:rPr>
          <w:color w:val="000000" w:themeColor="text1"/>
        </w:rPr>
      </w:pPr>
      <w:r w:rsidRPr="00D6259F">
        <w:rPr>
          <w:color w:val="000000" w:themeColor="text1"/>
        </w:rPr>
        <w:t>Recognition</w:t>
      </w:r>
    </w:p>
    <w:p w14:paraId="7E559A99" w14:textId="77777777" w:rsidR="00D422B1" w:rsidRPr="00D6259F" w:rsidRDefault="00D422B1" w:rsidP="00C034D8">
      <w:pPr>
        <w:rPr>
          <w:rFonts w:cs="Arial"/>
          <w:color w:val="000000" w:themeColor="text1"/>
        </w:rPr>
      </w:pPr>
      <w:r w:rsidRPr="00D6259F">
        <w:rPr>
          <w:color w:val="000000" w:themeColor="text1"/>
          <w:lang w:eastAsia="en-GB"/>
        </w:rPr>
        <w:t xml:space="preserve">Expenditure is capitalised as property, </w:t>
      </w:r>
      <w:proofErr w:type="gramStart"/>
      <w:r w:rsidRPr="00D6259F">
        <w:rPr>
          <w:color w:val="000000" w:themeColor="text1"/>
          <w:lang w:eastAsia="en-GB"/>
        </w:rPr>
        <w:t>plant</w:t>
      </w:r>
      <w:proofErr w:type="gramEnd"/>
      <w:r w:rsidRPr="00D6259F">
        <w:rPr>
          <w:color w:val="000000" w:themeColor="text1"/>
          <w:lang w:eastAsia="en-GB"/>
        </w:rPr>
        <w:t xml:space="preserve"> and equipment when it creates a new asset or increases the economic benefits of an existing asset. Costs that do not meet the criteria for capitalisation are expensed</w:t>
      </w:r>
      <w:r w:rsidRPr="00D6259F">
        <w:rPr>
          <w:rFonts w:cs="Arial"/>
          <w:color w:val="000000" w:themeColor="text1"/>
        </w:rPr>
        <w:t>.</w:t>
      </w:r>
    </w:p>
    <w:p w14:paraId="3518D106" w14:textId="77777777" w:rsidR="00D422B1" w:rsidRPr="00D6259F" w:rsidRDefault="00D422B1" w:rsidP="003D2D53">
      <w:pPr>
        <w:pStyle w:val="Heading5"/>
        <w:rPr>
          <w:color w:val="000000" w:themeColor="text1"/>
        </w:rPr>
      </w:pPr>
      <w:r w:rsidRPr="00D6259F">
        <w:rPr>
          <w:color w:val="000000" w:themeColor="text1"/>
        </w:rPr>
        <w:t>Measurement</w:t>
      </w:r>
    </w:p>
    <w:p w14:paraId="1417AD52" w14:textId="77777777" w:rsidR="00D422B1" w:rsidRPr="00D6259F" w:rsidRDefault="00D422B1" w:rsidP="00C034D8">
      <w:pPr>
        <w:rPr>
          <w:color w:val="000000" w:themeColor="text1"/>
          <w:lang w:eastAsia="en-GB"/>
        </w:rPr>
      </w:pPr>
      <w:r w:rsidRPr="00D6259F">
        <w:rPr>
          <w:color w:val="000000" w:themeColor="text1"/>
          <w:lang w:eastAsia="en-GB"/>
        </w:rPr>
        <w:t xml:space="preserve">Property, </w:t>
      </w:r>
      <w:proofErr w:type="gramStart"/>
      <w:r w:rsidRPr="00D6259F">
        <w:rPr>
          <w:color w:val="000000" w:themeColor="text1"/>
          <w:lang w:eastAsia="en-GB"/>
        </w:rPr>
        <w:t>plant</w:t>
      </w:r>
      <w:proofErr w:type="gramEnd"/>
      <w:r w:rsidRPr="00D6259F">
        <w:rPr>
          <w:color w:val="000000" w:themeColor="text1"/>
          <w:lang w:eastAsia="en-GB"/>
        </w:rPr>
        <w:t xml:space="preserve"> and equipment is recognised initially at cost, unless acquired for nil or nominal cost (</w:t>
      </w:r>
      <w:r w:rsidR="001C7792" w:rsidRPr="00D6259F">
        <w:rPr>
          <w:color w:val="000000" w:themeColor="text1"/>
          <w:lang w:eastAsia="en-GB"/>
        </w:rPr>
        <w:t xml:space="preserve">for example, </w:t>
      </w:r>
      <w:r w:rsidRPr="00D6259F">
        <w:rPr>
          <w:color w:val="000000" w:themeColor="text1"/>
          <w:lang w:eastAsia="en-GB"/>
        </w:rPr>
        <w:t>vested assets), in which case the asset is recognised at fair value at the date of transfer. The initial cost of property, plant and equipment includes the purchase consideration (or the fair value in the case of vested assets), and those costs that are directly attributable to bringing the asset into the location and condition necessary for its intended purpose. Subsequent expenditure that extends or expands the asset’s service potential is capitalised.</w:t>
      </w:r>
    </w:p>
    <w:p w14:paraId="6B60E9F8" w14:textId="77777777" w:rsidR="00D422B1" w:rsidRPr="00D6259F" w:rsidRDefault="00D422B1" w:rsidP="00C034D8">
      <w:pPr>
        <w:rPr>
          <w:color w:val="000000" w:themeColor="text1"/>
          <w:lang w:eastAsia="en-GB"/>
        </w:rPr>
      </w:pPr>
      <w:r w:rsidRPr="00D6259F">
        <w:rPr>
          <w:color w:val="000000" w:themeColor="text1"/>
          <w:lang w:eastAsia="en-GB"/>
        </w:rPr>
        <w:t>Borrowing costs incurred during the construction of property, plant and equipment are not capitalised.</w:t>
      </w:r>
    </w:p>
    <w:p w14:paraId="7FFCBE5C" w14:textId="5ED1A5D3" w:rsidR="00D422B1" w:rsidRPr="00D6259F" w:rsidRDefault="00D422B1" w:rsidP="00C034D8">
      <w:pPr>
        <w:rPr>
          <w:color w:val="000000" w:themeColor="text1"/>
          <w:lang w:eastAsia="en-GB"/>
        </w:rPr>
      </w:pPr>
      <w:r w:rsidRPr="00D6259F">
        <w:rPr>
          <w:color w:val="000000" w:themeColor="text1"/>
          <w:lang w:eastAsia="en-GB"/>
        </w:rPr>
        <w:t xml:space="preserve">After initial recognition, certain classes of property, plant and equipment are revalued to fair value. Where there is no active market for an asset, fair value is determined by </w:t>
      </w:r>
      <w:r w:rsidR="00C66927" w:rsidRPr="00D6259F">
        <w:rPr>
          <w:color w:val="000000" w:themeColor="text1"/>
          <w:lang w:eastAsia="en-GB"/>
        </w:rPr>
        <w:t xml:space="preserve">using the </w:t>
      </w:r>
      <w:r w:rsidRPr="00D6259F">
        <w:rPr>
          <w:color w:val="000000" w:themeColor="text1"/>
          <w:lang w:eastAsia="en-GB"/>
        </w:rPr>
        <w:t>optimised depreciated replacement cost</w:t>
      </w:r>
      <w:r w:rsidR="00C66927" w:rsidRPr="00D6259F">
        <w:rPr>
          <w:color w:val="000000" w:themeColor="text1"/>
          <w:lang w:eastAsia="en-GB"/>
        </w:rPr>
        <w:t xml:space="preserve"> methodology.</w:t>
      </w:r>
    </w:p>
    <w:p w14:paraId="1E1FC596" w14:textId="65906A45" w:rsidR="00D422B1" w:rsidRPr="00D6259F" w:rsidRDefault="00D422B1" w:rsidP="00C034D8">
      <w:pPr>
        <w:rPr>
          <w:color w:val="000000" w:themeColor="text1"/>
          <w:lang w:eastAsia="en-GB"/>
        </w:rPr>
      </w:pPr>
      <w:r w:rsidRPr="00D6259F">
        <w:rPr>
          <w:color w:val="000000" w:themeColor="text1"/>
          <w:lang w:eastAsia="en-GB"/>
        </w:rPr>
        <w:t xml:space="preserve">Optimised depreciated replacement cost is a valuation methodology where the value of an asset is based on the cost of replacement with an efficient modern equivalent making allowance for obsolesce or surplus capacity. The remaining life of the asset is </w:t>
      </w:r>
      <w:r w:rsidR="007A5378" w:rsidRPr="00D6259F">
        <w:rPr>
          <w:color w:val="000000" w:themeColor="text1"/>
          <w:lang w:eastAsia="en-GB"/>
        </w:rPr>
        <w:t>estimated,</w:t>
      </w:r>
      <w:r w:rsidRPr="00D6259F">
        <w:rPr>
          <w:color w:val="000000" w:themeColor="text1"/>
          <w:lang w:eastAsia="en-GB"/>
        </w:rPr>
        <w:t xml:space="preserve"> and straight-line depreciation applied to bring the replacement cost to a fair value.</w:t>
      </w:r>
    </w:p>
    <w:p w14:paraId="43EBD034" w14:textId="77777777" w:rsidR="00D422B1" w:rsidRPr="00D6259F" w:rsidRDefault="00D422B1" w:rsidP="00C034D8">
      <w:pPr>
        <w:rPr>
          <w:color w:val="000000" w:themeColor="text1"/>
          <w:lang w:eastAsia="en-GB"/>
        </w:rPr>
      </w:pPr>
      <w:r w:rsidRPr="00D6259F">
        <w:rPr>
          <w:color w:val="000000" w:themeColor="text1"/>
          <w:lang w:eastAsia="en-GB"/>
        </w:rPr>
        <w:t>Specific measurement policies for categories of property, plant and equipment are shown below:</w:t>
      </w:r>
    </w:p>
    <w:p w14:paraId="699A7B5F" w14:textId="77F92505" w:rsidR="00026640" w:rsidRPr="00D6259F" w:rsidRDefault="00305125" w:rsidP="00026640">
      <w:pPr>
        <w:pStyle w:val="Heading4"/>
      </w:pPr>
      <w:r w:rsidRPr="00D6259F">
        <w:t xml:space="preserve">Operational </w:t>
      </w:r>
      <w:r w:rsidR="00026640" w:rsidRPr="00D6259F">
        <w:t>assets</w:t>
      </w:r>
    </w:p>
    <w:p w14:paraId="5069AAE1" w14:textId="369690A0" w:rsidR="00305125" w:rsidRPr="00D6259F" w:rsidRDefault="00026640" w:rsidP="00305125">
      <w:pPr>
        <w:pStyle w:val="Heading4"/>
        <w:rPr>
          <w:sz w:val="22"/>
          <w:szCs w:val="22"/>
        </w:rPr>
      </w:pPr>
      <w:r w:rsidRPr="00D6259F">
        <w:rPr>
          <w:sz w:val="22"/>
          <w:szCs w:val="22"/>
        </w:rPr>
        <w:t>L</w:t>
      </w:r>
      <w:r w:rsidR="00305125" w:rsidRPr="00D6259F">
        <w:rPr>
          <w:sz w:val="22"/>
          <w:szCs w:val="22"/>
        </w:rPr>
        <w:t xml:space="preserve">and and </w:t>
      </w:r>
      <w:proofErr w:type="gramStart"/>
      <w:r w:rsidR="004F4CEA" w:rsidRPr="00D6259F">
        <w:rPr>
          <w:sz w:val="22"/>
          <w:szCs w:val="22"/>
        </w:rPr>
        <w:t>b</w:t>
      </w:r>
      <w:r w:rsidR="00305125" w:rsidRPr="00D6259F">
        <w:rPr>
          <w:sz w:val="22"/>
          <w:szCs w:val="22"/>
        </w:rPr>
        <w:t>uildings</w:t>
      </w:r>
      <w:proofErr w:type="gramEnd"/>
    </w:p>
    <w:p w14:paraId="00CD6830" w14:textId="02B22A45" w:rsidR="00305125" w:rsidRPr="00D6259F" w:rsidRDefault="00305125" w:rsidP="00305125">
      <w:pPr>
        <w:rPr>
          <w:color w:val="000000" w:themeColor="text1"/>
          <w:lang w:eastAsia="en-GB"/>
        </w:rPr>
      </w:pPr>
      <w:r w:rsidRPr="00D6259F">
        <w:rPr>
          <w:color w:val="000000" w:themeColor="text1"/>
          <w:lang w:eastAsia="en-GB"/>
        </w:rPr>
        <w:t xml:space="preserve">Operational land and buildings are valued at fair value </w:t>
      </w:r>
      <w:r w:rsidR="00D751C3" w:rsidRPr="00D6259F">
        <w:rPr>
          <w:color w:val="000000" w:themeColor="text1"/>
          <w:lang w:eastAsia="en-GB"/>
        </w:rPr>
        <w:t xml:space="preserve">every </w:t>
      </w:r>
      <w:r w:rsidR="00C26612" w:rsidRPr="00D6259F">
        <w:rPr>
          <w:color w:val="000000" w:themeColor="text1"/>
          <w:lang w:eastAsia="en-GB"/>
        </w:rPr>
        <w:t>3</w:t>
      </w:r>
      <w:r w:rsidR="00D751C3" w:rsidRPr="00D6259F">
        <w:rPr>
          <w:color w:val="000000" w:themeColor="text1"/>
          <w:lang w:eastAsia="en-GB"/>
        </w:rPr>
        <w:t xml:space="preserve"> years</w:t>
      </w:r>
      <w:r w:rsidR="002A7D0F" w:rsidRPr="00D6259F">
        <w:rPr>
          <w:color w:val="000000" w:themeColor="text1"/>
          <w:lang w:eastAsia="en-GB"/>
        </w:rPr>
        <w:t>,</w:t>
      </w:r>
      <w:r w:rsidRPr="00D6259F">
        <w:rPr>
          <w:color w:val="000000" w:themeColor="text1"/>
          <w:lang w:eastAsia="en-GB"/>
        </w:rPr>
        <w:t xml:space="preserve"> or whenever the carrying amount differs materially to fair value, by independent registered valuers. Where the information is available, land and buildings are valued based on market evidence. Most of the Council’s land and buildings are of a ‘non-tradeable’ or specialist nature and the value is based on the fair value of the land plus the optimised depreciated replacement cost of the buildings.</w:t>
      </w:r>
    </w:p>
    <w:p w14:paraId="6322A2DF" w14:textId="77777777" w:rsidR="00305125" w:rsidRPr="00D6259F" w:rsidRDefault="00305125" w:rsidP="00305125">
      <w:pPr>
        <w:rPr>
          <w:color w:val="000000" w:themeColor="text1"/>
          <w:lang w:eastAsia="en-GB"/>
        </w:rPr>
      </w:pPr>
      <w:r w:rsidRPr="00D6259F">
        <w:rPr>
          <w:color w:val="000000" w:themeColor="text1"/>
          <w:lang w:eastAsia="en-GB"/>
        </w:rPr>
        <w:lastRenderedPageBreak/>
        <w:t>For earthquake prone buildings that are expected to be strengthened, the estimated cost to strengthen the building has been deducted from the optimised depreciated replacement cost.</w:t>
      </w:r>
    </w:p>
    <w:p w14:paraId="42CF3003" w14:textId="77777777" w:rsidR="00305125" w:rsidRPr="00D6259F" w:rsidRDefault="00305125" w:rsidP="00305125">
      <w:pPr>
        <w:rPr>
          <w:color w:val="000000" w:themeColor="text1"/>
          <w:lang w:eastAsia="en-GB"/>
        </w:rPr>
      </w:pPr>
      <w:r w:rsidRPr="00D6259F">
        <w:rPr>
          <w:color w:val="000000" w:themeColor="text1"/>
          <w:lang w:eastAsia="en-GB"/>
        </w:rPr>
        <w:t>Non-specialised properties that comprise the City Housing portfolio have been valued on a market-based approach with the associated land value being established through analysis of sales and market evidence.</w:t>
      </w:r>
    </w:p>
    <w:p w14:paraId="206679E1" w14:textId="2F9A2D8D" w:rsidR="00FC59C6" w:rsidRPr="00D6259F" w:rsidRDefault="00FC59C6" w:rsidP="00FC59C6">
      <w:pPr>
        <w:pStyle w:val="Heading4"/>
        <w:rPr>
          <w:sz w:val="22"/>
          <w:szCs w:val="22"/>
        </w:rPr>
      </w:pPr>
      <w:r w:rsidRPr="00D6259F">
        <w:rPr>
          <w:sz w:val="22"/>
          <w:szCs w:val="22"/>
        </w:rPr>
        <w:t>Land</w:t>
      </w:r>
      <w:r w:rsidR="009C5660" w:rsidRPr="00D6259F">
        <w:rPr>
          <w:sz w:val="22"/>
          <w:szCs w:val="22"/>
        </w:rPr>
        <w:t>f</w:t>
      </w:r>
      <w:r w:rsidRPr="00D6259F">
        <w:rPr>
          <w:sz w:val="22"/>
          <w:szCs w:val="22"/>
        </w:rPr>
        <w:t xml:space="preserve">ill </w:t>
      </w:r>
      <w:r w:rsidR="004F4CEA" w:rsidRPr="00D6259F">
        <w:rPr>
          <w:sz w:val="22"/>
          <w:szCs w:val="22"/>
        </w:rPr>
        <w:t>p</w:t>
      </w:r>
      <w:r w:rsidRPr="00D6259F">
        <w:rPr>
          <w:sz w:val="22"/>
          <w:szCs w:val="22"/>
        </w:rPr>
        <w:t>ost-</w:t>
      </w:r>
      <w:r w:rsidR="004F4CEA" w:rsidRPr="00D6259F">
        <w:rPr>
          <w:sz w:val="22"/>
          <w:szCs w:val="22"/>
        </w:rPr>
        <w:t>c</w:t>
      </w:r>
      <w:r w:rsidRPr="00D6259F">
        <w:rPr>
          <w:sz w:val="22"/>
          <w:szCs w:val="22"/>
        </w:rPr>
        <w:t xml:space="preserve">losure </w:t>
      </w:r>
      <w:proofErr w:type="gramStart"/>
      <w:r w:rsidR="004F4CEA" w:rsidRPr="00D6259F">
        <w:rPr>
          <w:sz w:val="22"/>
          <w:szCs w:val="22"/>
        </w:rPr>
        <w:t>c</w:t>
      </w:r>
      <w:r w:rsidRPr="00D6259F">
        <w:rPr>
          <w:sz w:val="22"/>
          <w:szCs w:val="22"/>
        </w:rPr>
        <w:t>osts</w:t>
      </w:r>
      <w:proofErr w:type="gramEnd"/>
    </w:p>
    <w:p w14:paraId="0D7D710B" w14:textId="7D34D5C3" w:rsidR="00FC59C6" w:rsidRPr="00D6259F" w:rsidRDefault="00192E16" w:rsidP="00305125">
      <w:pPr>
        <w:rPr>
          <w:color w:val="000000" w:themeColor="text1"/>
          <w:lang w:eastAsia="en-GB"/>
        </w:rPr>
      </w:pPr>
      <w:r w:rsidRPr="00D6259F">
        <w:rPr>
          <w:color w:val="000000" w:themeColor="text1"/>
        </w:rPr>
        <w:t xml:space="preserve">Amounts capitalised for landfill post-closure costs are based on the present value of future cash flows expected to be incurred, </w:t>
      </w:r>
      <w:proofErr w:type="gramStart"/>
      <w:r w:rsidRPr="00D6259F">
        <w:rPr>
          <w:color w:val="000000" w:themeColor="text1"/>
        </w:rPr>
        <w:t>taking into account</w:t>
      </w:r>
      <w:proofErr w:type="gramEnd"/>
      <w:r w:rsidRPr="00D6259F">
        <w:rPr>
          <w:color w:val="000000" w:themeColor="text1"/>
        </w:rPr>
        <w:t xml:space="preserve"> future events including known changes to legal requirements and known </w:t>
      </w:r>
      <w:r w:rsidR="005E7DA4" w:rsidRPr="00D6259F">
        <w:rPr>
          <w:color w:val="000000" w:themeColor="text1"/>
        </w:rPr>
        <w:t xml:space="preserve">technological </w:t>
      </w:r>
      <w:r w:rsidRPr="00D6259F">
        <w:rPr>
          <w:color w:val="000000" w:themeColor="text1"/>
        </w:rPr>
        <w:t xml:space="preserve">improvements. The capitalised landfill asset is then depreciated over the life of the landfill based on the capacity used. </w:t>
      </w:r>
    </w:p>
    <w:p w14:paraId="74427C48" w14:textId="2C0E26FB" w:rsidR="00305125" w:rsidRPr="00D6259F" w:rsidRDefault="00305125" w:rsidP="00305125">
      <w:pPr>
        <w:pStyle w:val="Heading4"/>
        <w:rPr>
          <w:sz w:val="22"/>
          <w:szCs w:val="22"/>
        </w:rPr>
      </w:pPr>
      <w:r w:rsidRPr="00D6259F">
        <w:rPr>
          <w:sz w:val="22"/>
          <w:szCs w:val="22"/>
        </w:rPr>
        <w:t>Civic Precin</w:t>
      </w:r>
      <w:r w:rsidR="00887485" w:rsidRPr="00D6259F">
        <w:rPr>
          <w:sz w:val="22"/>
          <w:szCs w:val="22"/>
        </w:rPr>
        <w:t>c</w:t>
      </w:r>
      <w:r w:rsidRPr="00D6259F">
        <w:rPr>
          <w:sz w:val="22"/>
          <w:szCs w:val="22"/>
        </w:rPr>
        <w:t xml:space="preserve">t and </w:t>
      </w:r>
      <w:r w:rsidR="004F4CEA" w:rsidRPr="00D6259F">
        <w:rPr>
          <w:sz w:val="22"/>
          <w:szCs w:val="22"/>
        </w:rPr>
        <w:t>p</w:t>
      </w:r>
      <w:r w:rsidRPr="00D6259F">
        <w:rPr>
          <w:sz w:val="22"/>
          <w:szCs w:val="22"/>
        </w:rPr>
        <w:t xml:space="preserve">lant and </w:t>
      </w:r>
      <w:r w:rsidR="004F4CEA" w:rsidRPr="00D6259F">
        <w:rPr>
          <w:sz w:val="22"/>
          <w:szCs w:val="22"/>
        </w:rPr>
        <w:t>e</w:t>
      </w:r>
      <w:r w:rsidRPr="00D6259F">
        <w:rPr>
          <w:sz w:val="22"/>
          <w:szCs w:val="22"/>
        </w:rPr>
        <w:t>quipment</w:t>
      </w:r>
    </w:p>
    <w:p w14:paraId="35A6B94A" w14:textId="2AB3906D" w:rsidR="00305125" w:rsidRPr="00D6259F" w:rsidRDefault="00E01E45" w:rsidP="00305125">
      <w:pPr>
        <w:rPr>
          <w:color w:val="000000" w:themeColor="text1"/>
          <w:lang w:eastAsia="en-GB"/>
        </w:rPr>
      </w:pPr>
      <w:r w:rsidRPr="00D6259F">
        <w:rPr>
          <w:color w:val="000000" w:themeColor="text1"/>
          <w:lang w:eastAsia="en-GB"/>
        </w:rPr>
        <w:t>The</w:t>
      </w:r>
      <w:r w:rsidR="00305125" w:rsidRPr="00D6259F">
        <w:rPr>
          <w:color w:val="000000" w:themeColor="text1"/>
          <w:lang w:eastAsia="en-GB"/>
        </w:rPr>
        <w:t xml:space="preserve"> Civic Precinct </w:t>
      </w:r>
      <w:r w:rsidRPr="00D6259F">
        <w:rPr>
          <w:color w:val="000000" w:themeColor="text1"/>
          <w:lang w:eastAsia="en-GB"/>
        </w:rPr>
        <w:t xml:space="preserve">and plant and equipment </w:t>
      </w:r>
      <w:r w:rsidR="00305125" w:rsidRPr="00D6259F">
        <w:rPr>
          <w:color w:val="000000" w:themeColor="text1"/>
          <w:lang w:eastAsia="en-GB"/>
        </w:rPr>
        <w:t>are measured at historical cost and not revalued.</w:t>
      </w:r>
    </w:p>
    <w:p w14:paraId="489F2405" w14:textId="2033876C" w:rsidR="00D422B1" w:rsidRPr="00D6259F" w:rsidRDefault="00026640" w:rsidP="00BE1B26">
      <w:pPr>
        <w:pStyle w:val="Heading4"/>
        <w:rPr>
          <w:sz w:val="22"/>
          <w:szCs w:val="22"/>
        </w:rPr>
      </w:pPr>
      <w:r w:rsidRPr="00D6259F">
        <w:rPr>
          <w:sz w:val="22"/>
          <w:szCs w:val="22"/>
        </w:rPr>
        <w:t>L</w:t>
      </w:r>
      <w:r w:rsidR="00D422B1" w:rsidRPr="00D6259F">
        <w:rPr>
          <w:sz w:val="22"/>
          <w:szCs w:val="22"/>
        </w:rPr>
        <w:t xml:space="preserve">ibrary </w:t>
      </w:r>
      <w:r w:rsidR="004F4CEA" w:rsidRPr="00D6259F">
        <w:rPr>
          <w:sz w:val="22"/>
          <w:szCs w:val="22"/>
        </w:rPr>
        <w:t>c</w:t>
      </w:r>
      <w:r w:rsidR="00D422B1" w:rsidRPr="00D6259F">
        <w:rPr>
          <w:sz w:val="22"/>
          <w:szCs w:val="22"/>
        </w:rPr>
        <w:t>ollections</w:t>
      </w:r>
    </w:p>
    <w:p w14:paraId="1C35B873" w14:textId="748CC91E" w:rsidR="00D422B1" w:rsidRPr="00D6259F" w:rsidRDefault="00D422B1" w:rsidP="00C034D8">
      <w:pPr>
        <w:rPr>
          <w:color w:val="000000" w:themeColor="text1"/>
          <w:lang w:eastAsia="en-GB"/>
        </w:rPr>
      </w:pPr>
      <w:r w:rsidRPr="00D6259F">
        <w:rPr>
          <w:color w:val="000000" w:themeColor="text1"/>
          <w:lang w:eastAsia="en-GB"/>
        </w:rPr>
        <w:t xml:space="preserve">Library collections are valued at depreciated replacement cost on a </w:t>
      </w:r>
      <w:r w:rsidR="00C26612" w:rsidRPr="00D6259F">
        <w:rPr>
          <w:color w:val="000000" w:themeColor="text1"/>
          <w:lang w:eastAsia="en-GB"/>
        </w:rPr>
        <w:t>3</w:t>
      </w:r>
      <w:r w:rsidRPr="00D6259F">
        <w:rPr>
          <w:color w:val="000000" w:themeColor="text1"/>
          <w:lang w:eastAsia="en-GB"/>
        </w:rPr>
        <w:t xml:space="preserve">-year cycle by the Council’s library staff in accordance with guidelines outlined in Valuation Guidance for Cultural and Heritage Assets, published by </w:t>
      </w:r>
      <w:r w:rsidR="005D4A7D" w:rsidRPr="00D6259F">
        <w:rPr>
          <w:color w:val="000000" w:themeColor="text1"/>
          <w:lang w:eastAsia="en-GB"/>
        </w:rPr>
        <w:t>T</w:t>
      </w:r>
      <w:r w:rsidRPr="00D6259F">
        <w:rPr>
          <w:color w:val="000000" w:themeColor="text1"/>
          <w:lang w:eastAsia="en-GB"/>
        </w:rPr>
        <w:t>he Treasury Accounting Team, November 2002.</w:t>
      </w:r>
    </w:p>
    <w:p w14:paraId="5B774A3F" w14:textId="77777777" w:rsidR="00305125" w:rsidRPr="00D6259F" w:rsidRDefault="00305125" w:rsidP="00026640">
      <w:pPr>
        <w:pStyle w:val="Heading4"/>
      </w:pPr>
      <w:r w:rsidRPr="00D6259F">
        <w:t>Infrastructure assets</w:t>
      </w:r>
    </w:p>
    <w:p w14:paraId="0A6832A6" w14:textId="02D53374" w:rsidR="00305125" w:rsidRPr="00D6259F" w:rsidRDefault="00305125" w:rsidP="00305125">
      <w:pPr>
        <w:rPr>
          <w:color w:val="000000" w:themeColor="text1"/>
          <w:lang w:eastAsia="en-GB"/>
        </w:rPr>
      </w:pPr>
      <w:r w:rsidRPr="00D6259F">
        <w:rPr>
          <w:color w:val="000000" w:themeColor="text1"/>
          <w:lang w:eastAsia="en-GB"/>
        </w:rPr>
        <w:t xml:space="preserve">Infrastructure assets (the roading network, drainage, </w:t>
      </w:r>
      <w:proofErr w:type="gramStart"/>
      <w:r w:rsidRPr="00D6259F">
        <w:rPr>
          <w:color w:val="000000" w:themeColor="text1"/>
          <w:lang w:eastAsia="en-GB"/>
        </w:rPr>
        <w:t>water</w:t>
      </w:r>
      <w:proofErr w:type="gramEnd"/>
      <w:r w:rsidRPr="00D6259F">
        <w:rPr>
          <w:color w:val="000000" w:themeColor="text1"/>
          <w:lang w:eastAsia="en-GB"/>
        </w:rPr>
        <w:t xml:space="preserve"> and waste reticulation networks including service concession arrangement assets (wastewater treatment plants)) are valued at optimised depreciated replacement cost </w:t>
      </w:r>
      <w:r w:rsidR="00D751C3" w:rsidRPr="00D6259F">
        <w:rPr>
          <w:color w:val="000000" w:themeColor="text1"/>
          <w:lang w:eastAsia="en-GB"/>
        </w:rPr>
        <w:t xml:space="preserve">every </w:t>
      </w:r>
      <w:r w:rsidR="00C26612" w:rsidRPr="00D6259F">
        <w:rPr>
          <w:color w:val="000000" w:themeColor="text1"/>
          <w:lang w:eastAsia="en-GB"/>
        </w:rPr>
        <w:t>3</w:t>
      </w:r>
      <w:r w:rsidR="00D751C3" w:rsidRPr="00D6259F">
        <w:rPr>
          <w:color w:val="000000" w:themeColor="text1"/>
          <w:lang w:eastAsia="en-GB"/>
        </w:rPr>
        <w:t xml:space="preserve"> </w:t>
      </w:r>
      <w:r w:rsidR="002A7D0F" w:rsidRPr="00D6259F">
        <w:rPr>
          <w:color w:val="000000" w:themeColor="text1"/>
          <w:lang w:eastAsia="en-GB"/>
        </w:rPr>
        <w:t xml:space="preserve">years, or whenever </w:t>
      </w:r>
      <w:r w:rsidRPr="00D6259F">
        <w:rPr>
          <w:color w:val="000000" w:themeColor="text1"/>
          <w:lang w:eastAsia="en-GB"/>
        </w:rPr>
        <w:t>the carrying amount differs materially to fair value, by an independent registered valuer. Infrastructure valuations are based on the physical attributes of the assets, their condition and their remaining lives based on the Council’s best information reflected in its asset management plans. The costs are based on current quotes from actual suppliers. As such, they include ancillary costs such as breaking through seal, traffic control and rehabilitation. Between valuations, expenditure on asset improvements is capitalised at cost.</w:t>
      </w:r>
    </w:p>
    <w:p w14:paraId="5A6BC306" w14:textId="2ACACD9D" w:rsidR="00305125" w:rsidRPr="00D6259F" w:rsidRDefault="00305125" w:rsidP="00305125">
      <w:pPr>
        <w:rPr>
          <w:color w:val="000000" w:themeColor="text1"/>
          <w:lang w:eastAsia="en-GB"/>
        </w:rPr>
      </w:pPr>
      <w:r w:rsidRPr="00D6259F">
        <w:rPr>
          <w:color w:val="000000" w:themeColor="text1"/>
          <w:lang w:eastAsia="en-GB"/>
        </w:rPr>
        <w:t xml:space="preserve">Infrastructure land (excluding land under roads) is valued </w:t>
      </w:r>
      <w:r w:rsidR="00D751C3" w:rsidRPr="00D6259F">
        <w:rPr>
          <w:color w:val="000000" w:themeColor="text1"/>
          <w:lang w:eastAsia="en-GB"/>
        </w:rPr>
        <w:t xml:space="preserve">every </w:t>
      </w:r>
      <w:r w:rsidR="00C26612" w:rsidRPr="00D6259F">
        <w:rPr>
          <w:color w:val="000000" w:themeColor="text1"/>
          <w:lang w:eastAsia="en-GB"/>
        </w:rPr>
        <w:t>3</w:t>
      </w:r>
      <w:r w:rsidR="00D751C3" w:rsidRPr="00D6259F">
        <w:rPr>
          <w:color w:val="000000" w:themeColor="text1"/>
          <w:lang w:eastAsia="en-GB"/>
        </w:rPr>
        <w:t xml:space="preserve"> </w:t>
      </w:r>
      <w:r w:rsidR="002A7D0F" w:rsidRPr="00D6259F">
        <w:rPr>
          <w:color w:val="000000" w:themeColor="text1"/>
          <w:lang w:eastAsia="en-GB"/>
        </w:rPr>
        <w:t xml:space="preserve">years, or whenever </w:t>
      </w:r>
      <w:r w:rsidRPr="00D6259F">
        <w:rPr>
          <w:color w:val="000000" w:themeColor="text1"/>
          <w:lang w:eastAsia="en-GB"/>
        </w:rPr>
        <w:t xml:space="preserve">the carrying amount differs materially to fair value, by an independent registered valuer. </w:t>
      </w:r>
    </w:p>
    <w:p w14:paraId="7325AA46" w14:textId="163A86BB" w:rsidR="00305125" w:rsidRPr="00D6259F" w:rsidRDefault="00305125" w:rsidP="00305125">
      <w:pPr>
        <w:rPr>
          <w:color w:val="000000" w:themeColor="text1"/>
          <w:lang w:eastAsia="en-GB"/>
        </w:rPr>
      </w:pPr>
      <w:r w:rsidRPr="00D6259F">
        <w:rPr>
          <w:color w:val="000000" w:themeColor="text1"/>
          <w:lang w:eastAsia="en-GB"/>
        </w:rPr>
        <w:t xml:space="preserve">Land under roads, which represents the corridor of land directly under and adjacent to the Council’s roading network, was valued as </w:t>
      </w:r>
      <w:proofErr w:type="gramStart"/>
      <w:r w:rsidRPr="00D6259F">
        <w:rPr>
          <w:color w:val="000000" w:themeColor="text1"/>
          <w:lang w:eastAsia="en-GB"/>
        </w:rPr>
        <w:t>at</w:t>
      </w:r>
      <w:proofErr w:type="gramEnd"/>
      <w:r w:rsidRPr="00D6259F">
        <w:rPr>
          <w:color w:val="000000" w:themeColor="text1"/>
          <w:lang w:eastAsia="en-GB"/>
        </w:rPr>
        <w:t xml:space="preserve"> 30 June 2005 at the average value of surrounding adjacent land discounted by 50 percent to reflect its restricted nature. The Council elected to use the fair value of land under roads </w:t>
      </w:r>
      <w:proofErr w:type="gramStart"/>
      <w:r w:rsidRPr="00D6259F">
        <w:rPr>
          <w:color w:val="000000" w:themeColor="text1"/>
          <w:lang w:eastAsia="en-GB"/>
        </w:rPr>
        <w:t>at</w:t>
      </w:r>
      <w:proofErr w:type="gramEnd"/>
      <w:r w:rsidRPr="00D6259F">
        <w:rPr>
          <w:color w:val="000000" w:themeColor="text1"/>
          <w:lang w:eastAsia="en-GB"/>
        </w:rPr>
        <w:t xml:space="preserve"> 30 June 2005 as the deemed cost of the asset. Land under roads is no longer revalued. Subsequent additions have been recorded at cost.</w:t>
      </w:r>
    </w:p>
    <w:p w14:paraId="07022B41" w14:textId="77777777" w:rsidR="00305125" w:rsidRPr="00D6259F" w:rsidRDefault="00305125" w:rsidP="00305125">
      <w:pPr>
        <w:rPr>
          <w:color w:val="000000" w:themeColor="text1"/>
          <w:lang w:eastAsia="en-GB"/>
        </w:rPr>
      </w:pPr>
      <w:r w:rsidRPr="00D6259F">
        <w:rPr>
          <w:color w:val="000000" w:themeColor="text1"/>
          <w:lang w:eastAsia="en-GB"/>
        </w:rPr>
        <w:t>The carrying values of revalued property, plant and equipment are reviewed at the end of each reporting period to ensure that those values are not materially different to fair value.</w:t>
      </w:r>
    </w:p>
    <w:p w14:paraId="504ABC10" w14:textId="77777777" w:rsidR="00D422B1" w:rsidRPr="00D6259F" w:rsidRDefault="00D422B1" w:rsidP="00026640">
      <w:pPr>
        <w:pStyle w:val="Heading4"/>
      </w:pPr>
      <w:r w:rsidRPr="00D6259F">
        <w:t>Restricted assets</w:t>
      </w:r>
    </w:p>
    <w:p w14:paraId="5E1D93E4" w14:textId="0634C827" w:rsidR="00D422B1" w:rsidRPr="00D6259F" w:rsidRDefault="00D422B1" w:rsidP="00C034D8">
      <w:pPr>
        <w:rPr>
          <w:color w:val="000000" w:themeColor="text1"/>
          <w:lang w:eastAsia="en-GB"/>
        </w:rPr>
      </w:pPr>
      <w:r w:rsidRPr="00D6259F">
        <w:rPr>
          <w:color w:val="000000" w:themeColor="text1"/>
          <w:lang w:eastAsia="en-GB"/>
        </w:rPr>
        <w:t xml:space="preserve">Art and cultural assets (artworks, </w:t>
      </w:r>
      <w:proofErr w:type="gramStart"/>
      <w:r w:rsidRPr="00D6259F">
        <w:rPr>
          <w:color w:val="000000" w:themeColor="text1"/>
          <w:lang w:eastAsia="en-GB"/>
        </w:rPr>
        <w:t>sculptures</w:t>
      </w:r>
      <w:proofErr w:type="gramEnd"/>
      <w:r w:rsidRPr="00D6259F">
        <w:rPr>
          <w:color w:val="000000" w:themeColor="text1"/>
          <w:lang w:eastAsia="en-GB"/>
        </w:rPr>
        <w:t xml:space="preserve"> and statues) are valued at historical cost. All other restricted assets (buildings, parks and reserves and the Town Belt) were valued at fair value as </w:t>
      </w:r>
      <w:proofErr w:type="gramStart"/>
      <w:r w:rsidRPr="00D6259F">
        <w:rPr>
          <w:color w:val="000000" w:themeColor="text1"/>
          <w:lang w:eastAsia="en-GB"/>
        </w:rPr>
        <w:t>at</w:t>
      </w:r>
      <w:proofErr w:type="gramEnd"/>
      <w:r w:rsidRPr="00D6259F">
        <w:rPr>
          <w:color w:val="000000" w:themeColor="text1"/>
          <w:lang w:eastAsia="en-GB"/>
        </w:rPr>
        <w:t xml:space="preserve"> 30 June 2005 by an independent registered valuer. The Council has elected to use the fair value of other restricted assets </w:t>
      </w:r>
      <w:proofErr w:type="gramStart"/>
      <w:r w:rsidRPr="00D6259F">
        <w:rPr>
          <w:color w:val="000000" w:themeColor="text1"/>
          <w:lang w:eastAsia="en-GB"/>
        </w:rPr>
        <w:t>at</w:t>
      </w:r>
      <w:proofErr w:type="gramEnd"/>
      <w:r w:rsidRPr="00D6259F">
        <w:rPr>
          <w:color w:val="000000" w:themeColor="text1"/>
          <w:lang w:eastAsia="en-GB"/>
        </w:rPr>
        <w:t xml:space="preserve"> 30 June 2005 as</w:t>
      </w:r>
      <w:r w:rsidRPr="00D6259F">
        <w:rPr>
          <w:rFonts w:cs="Arial"/>
          <w:color w:val="000000" w:themeColor="text1"/>
        </w:rPr>
        <w:t xml:space="preserve"> </w:t>
      </w:r>
      <w:r w:rsidRPr="00D6259F">
        <w:rPr>
          <w:color w:val="000000" w:themeColor="text1"/>
          <w:lang w:eastAsia="en-GB"/>
        </w:rPr>
        <w:t>the deemed cost of the assets. These assets are no longer revalued. Subsequent additions have been recorded at cost.</w:t>
      </w:r>
      <w:r w:rsidR="00D03AB0" w:rsidRPr="00D6259F">
        <w:rPr>
          <w:color w:val="000000" w:themeColor="text1"/>
          <w:lang w:eastAsia="en-GB"/>
        </w:rPr>
        <w:t xml:space="preserve"> </w:t>
      </w:r>
    </w:p>
    <w:p w14:paraId="4A6E3E36" w14:textId="77777777" w:rsidR="00D422B1" w:rsidRPr="00D6259F" w:rsidRDefault="00D422B1" w:rsidP="003D2D53">
      <w:pPr>
        <w:pStyle w:val="Heading5"/>
        <w:rPr>
          <w:color w:val="000000" w:themeColor="text1"/>
        </w:rPr>
      </w:pPr>
      <w:r w:rsidRPr="00D6259F">
        <w:rPr>
          <w:color w:val="000000" w:themeColor="text1"/>
        </w:rPr>
        <w:lastRenderedPageBreak/>
        <w:t>Impairment</w:t>
      </w:r>
    </w:p>
    <w:p w14:paraId="02558985" w14:textId="77777777" w:rsidR="00D422B1" w:rsidRPr="00D6259F" w:rsidRDefault="00D422B1" w:rsidP="00C034D8">
      <w:pPr>
        <w:rPr>
          <w:color w:val="000000" w:themeColor="text1"/>
          <w:lang w:eastAsia="en-GB"/>
        </w:rPr>
      </w:pPr>
      <w:r w:rsidRPr="00D6259F">
        <w:rPr>
          <w:color w:val="000000" w:themeColor="text1"/>
          <w:lang w:eastAsia="en-GB"/>
        </w:rPr>
        <w:t xml:space="preserve">The Council’s assets are defined as cash generating if the primary purpose of the asset is to provide a commercial return. Non-cash generating assets are assets other than cash generating assets. Property, </w:t>
      </w:r>
      <w:proofErr w:type="gramStart"/>
      <w:r w:rsidRPr="00D6259F">
        <w:rPr>
          <w:color w:val="000000" w:themeColor="text1"/>
          <w:lang w:eastAsia="en-GB"/>
        </w:rPr>
        <w:t>plant</w:t>
      </w:r>
      <w:proofErr w:type="gramEnd"/>
      <w:r w:rsidRPr="00D6259F">
        <w:rPr>
          <w:color w:val="000000" w:themeColor="text1"/>
          <w:lang w:eastAsia="en-GB"/>
        </w:rPr>
        <w:t xml:space="preserve"> and equipment assets, measured at fair value, are not required to be reviewed and tested for impairment.</w:t>
      </w:r>
    </w:p>
    <w:p w14:paraId="26895603" w14:textId="1F1B6BC8" w:rsidR="00D422B1" w:rsidRPr="00D6259F" w:rsidRDefault="00D422B1" w:rsidP="00C034D8">
      <w:pPr>
        <w:rPr>
          <w:color w:val="000000" w:themeColor="text1"/>
          <w:lang w:eastAsia="en-GB"/>
        </w:rPr>
      </w:pPr>
      <w:r w:rsidRPr="00D6259F">
        <w:rPr>
          <w:color w:val="000000" w:themeColor="text1"/>
          <w:lang w:eastAsia="en-GB"/>
        </w:rPr>
        <w:t xml:space="preserve">The carrying amounts of cash generating property, plant and equipment assets are reviewed at least annually to determine if there is any indication of impairment. Where an </w:t>
      </w:r>
      <w:proofErr w:type="gramStart"/>
      <w:r w:rsidRPr="00D6259F">
        <w:rPr>
          <w:color w:val="000000" w:themeColor="text1"/>
          <w:lang w:eastAsia="en-GB"/>
        </w:rPr>
        <w:t>asset’s</w:t>
      </w:r>
      <w:proofErr w:type="gramEnd"/>
      <w:r w:rsidRPr="00D6259F">
        <w:rPr>
          <w:color w:val="000000" w:themeColor="text1"/>
          <w:lang w:eastAsia="en-GB"/>
        </w:rPr>
        <w:t xml:space="preserve">, or class of assets’, recoverable amount is less than its carrying amount it will be reported at its recoverable amount and an impairment loss will be recognised. The recoverable amount is the higher of an item’s fair value less costs to sell and value in use. Losses resulting from impairment are reported within </w:t>
      </w:r>
      <w:r w:rsidR="00B13635" w:rsidRPr="00D6259F">
        <w:rPr>
          <w:color w:val="000000" w:themeColor="text1"/>
          <w:lang w:eastAsia="en-GB"/>
        </w:rPr>
        <w:t xml:space="preserve">the </w:t>
      </w:r>
      <w:r w:rsidRPr="00D6259F">
        <w:rPr>
          <w:color w:val="000000" w:themeColor="text1"/>
          <w:lang w:eastAsia="en-GB"/>
        </w:rPr>
        <w:t xml:space="preserve">surplus or </w:t>
      </w:r>
      <w:r w:rsidR="008401E4" w:rsidRPr="00D6259F">
        <w:rPr>
          <w:color w:val="000000" w:themeColor="text1"/>
          <w:lang w:eastAsia="en-GB"/>
        </w:rPr>
        <w:t>deficit unless</w:t>
      </w:r>
      <w:r w:rsidRPr="00D6259F">
        <w:rPr>
          <w:color w:val="000000" w:themeColor="text1"/>
          <w:lang w:eastAsia="en-GB"/>
        </w:rPr>
        <w:t xml:space="preserve"> the asset is carried at a revalued amount in which case any impairment loss is treated as a revaluation decrease and recorded within other comprehensive revenue and expense. </w:t>
      </w:r>
    </w:p>
    <w:p w14:paraId="7DB56863" w14:textId="71052A69" w:rsidR="004039F9" w:rsidRPr="00D6259F" w:rsidRDefault="00D422B1" w:rsidP="00C034D8">
      <w:pPr>
        <w:rPr>
          <w:color w:val="000000" w:themeColor="text1"/>
          <w:lang w:eastAsia="en-GB"/>
        </w:rPr>
      </w:pPr>
      <w:r w:rsidRPr="00D6259F">
        <w:rPr>
          <w:color w:val="000000" w:themeColor="text1"/>
          <w:lang w:eastAsia="en-GB"/>
        </w:rPr>
        <w:t>The carrying amounts of non-cash generating property, plant and equipment assets</w:t>
      </w:r>
      <w:r w:rsidR="008401E4" w:rsidRPr="00D6259F">
        <w:rPr>
          <w:color w:val="000000" w:themeColor="text1"/>
          <w:lang w:eastAsia="en-GB"/>
        </w:rPr>
        <w:t xml:space="preserve">, and intangible assets </w:t>
      </w:r>
      <w:r w:rsidRPr="00D6259F">
        <w:rPr>
          <w:color w:val="000000" w:themeColor="text1"/>
          <w:lang w:eastAsia="en-GB"/>
        </w:rPr>
        <w:t xml:space="preserve">are reviewed at least annually to determine if there is any indication of impairment. Where an </w:t>
      </w:r>
      <w:proofErr w:type="gramStart"/>
      <w:r w:rsidRPr="00D6259F">
        <w:rPr>
          <w:color w:val="000000" w:themeColor="text1"/>
          <w:lang w:eastAsia="en-GB"/>
        </w:rPr>
        <w:t>asset’s</w:t>
      </w:r>
      <w:proofErr w:type="gramEnd"/>
      <w:r w:rsidRPr="00D6259F">
        <w:rPr>
          <w:color w:val="000000" w:themeColor="text1"/>
          <w:lang w:eastAsia="en-GB"/>
        </w:rPr>
        <w:t xml:space="preserve">, or class of assets’, recoverable service amount is </w:t>
      </w:r>
      <w:r w:rsidR="009F0027" w:rsidRPr="00D6259F">
        <w:rPr>
          <w:color w:val="000000" w:themeColor="text1"/>
          <w:lang w:eastAsia="en-GB"/>
        </w:rPr>
        <w:t xml:space="preserve">materially </w:t>
      </w:r>
      <w:r w:rsidRPr="00D6259F">
        <w:rPr>
          <w:color w:val="000000" w:themeColor="text1"/>
          <w:lang w:eastAsia="en-GB"/>
        </w:rPr>
        <w:t>less than its carrying amount it will be reported at its recoverable service amount and an impairment loss will be recognised.</w:t>
      </w:r>
    </w:p>
    <w:p w14:paraId="337290C2" w14:textId="61F59BE9" w:rsidR="00D422B1" w:rsidRPr="00D6259F" w:rsidRDefault="00D422B1" w:rsidP="00C034D8">
      <w:pPr>
        <w:rPr>
          <w:color w:val="000000" w:themeColor="text1"/>
          <w:lang w:eastAsia="en-GB"/>
        </w:rPr>
      </w:pPr>
      <w:r w:rsidRPr="00D6259F">
        <w:rPr>
          <w:color w:val="000000" w:themeColor="text1"/>
          <w:lang w:eastAsia="en-GB"/>
        </w:rPr>
        <w:t xml:space="preserve">The recoverable service amount is the higher of an item’s fair value less costs to sell and value in use. A non-cash generating asset’s value in use is the present value of the asset’s remaining service potential. Losses resulting from impairment are reported within </w:t>
      </w:r>
      <w:r w:rsidR="00B13635" w:rsidRPr="00D6259F">
        <w:rPr>
          <w:color w:val="000000" w:themeColor="text1"/>
          <w:lang w:eastAsia="en-GB"/>
        </w:rPr>
        <w:t xml:space="preserve">the </w:t>
      </w:r>
      <w:r w:rsidRPr="00D6259F">
        <w:rPr>
          <w:color w:val="000000" w:themeColor="text1"/>
          <w:lang w:eastAsia="en-GB"/>
        </w:rPr>
        <w:t xml:space="preserve">surplus or </w:t>
      </w:r>
      <w:r w:rsidR="008401E4" w:rsidRPr="00D6259F">
        <w:rPr>
          <w:color w:val="000000" w:themeColor="text1"/>
          <w:lang w:eastAsia="en-GB"/>
        </w:rPr>
        <w:t>deficit unless</w:t>
      </w:r>
      <w:r w:rsidRPr="00D6259F">
        <w:rPr>
          <w:color w:val="000000" w:themeColor="text1"/>
          <w:lang w:eastAsia="en-GB"/>
        </w:rPr>
        <w:t xml:space="preserve"> the asset is carried at a revalued amount in which case any impairment loss is treated as a revaluation decrease and recorded within other comprehensive revenue and expense. </w:t>
      </w:r>
    </w:p>
    <w:p w14:paraId="4D282071" w14:textId="77777777" w:rsidR="00D422B1" w:rsidRPr="00D6259F" w:rsidRDefault="00D422B1" w:rsidP="003D2D53">
      <w:pPr>
        <w:pStyle w:val="Heading5"/>
        <w:rPr>
          <w:color w:val="000000" w:themeColor="text1"/>
        </w:rPr>
      </w:pPr>
      <w:r w:rsidRPr="00D6259F">
        <w:rPr>
          <w:color w:val="000000" w:themeColor="text1"/>
        </w:rPr>
        <w:t>Disposal</w:t>
      </w:r>
    </w:p>
    <w:p w14:paraId="17717136" w14:textId="4DFC822C" w:rsidR="00D422B1" w:rsidRPr="00D6259F" w:rsidRDefault="00D422B1" w:rsidP="00C034D8">
      <w:pPr>
        <w:rPr>
          <w:color w:val="000000" w:themeColor="text1"/>
          <w:lang w:eastAsia="en-GB"/>
        </w:rPr>
      </w:pPr>
      <w:r w:rsidRPr="00D6259F">
        <w:rPr>
          <w:color w:val="000000" w:themeColor="text1"/>
          <w:lang w:eastAsia="en-GB"/>
        </w:rPr>
        <w:t xml:space="preserve">Gains and losses </w:t>
      </w:r>
      <w:r w:rsidR="008401E4" w:rsidRPr="00D6259F">
        <w:rPr>
          <w:color w:val="000000" w:themeColor="text1"/>
          <w:lang w:eastAsia="en-GB"/>
        </w:rPr>
        <w:t xml:space="preserve">on disposals are determined by comparing the proceeds from sale with the carrying amount of the asset. Gains and losses on disposal are reported net in </w:t>
      </w:r>
      <w:r w:rsidR="00B13635" w:rsidRPr="00D6259F">
        <w:rPr>
          <w:color w:val="000000" w:themeColor="text1"/>
          <w:lang w:eastAsia="en-GB"/>
        </w:rPr>
        <w:t xml:space="preserve">the </w:t>
      </w:r>
      <w:r w:rsidR="008401E4" w:rsidRPr="00D6259F">
        <w:rPr>
          <w:color w:val="000000" w:themeColor="text1"/>
          <w:lang w:eastAsia="en-GB"/>
        </w:rPr>
        <w:t xml:space="preserve">surplus or deficit. </w:t>
      </w:r>
      <w:r w:rsidR="00D04509" w:rsidRPr="00D6259F">
        <w:rPr>
          <w:color w:val="000000" w:themeColor="text1"/>
          <w:lang w:eastAsia="en-GB"/>
        </w:rPr>
        <w:t>When revalued assets are sold, the amounts included in asset revaluation reserves in respect of those assets are transferred to retained earnings.</w:t>
      </w:r>
    </w:p>
    <w:p w14:paraId="7610D624" w14:textId="77777777" w:rsidR="00D422B1" w:rsidRPr="00D6259F" w:rsidRDefault="00D422B1" w:rsidP="003D2D53">
      <w:pPr>
        <w:pStyle w:val="Heading5"/>
        <w:rPr>
          <w:color w:val="000000" w:themeColor="text1"/>
        </w:rPr>
      </w:pPr>
      <w:r w:rsidRPr="00D6259F">
        <w:rPr>
          <w:color w:val="000000" w:themeColor="text1"/>
        </w:rPr>
        <w:t xml:space="preserve">Work in </w:t>
      </w:r>
      <w:proofErr w:type="gramStart"/>
      <w:r w:rsidRPr="00D6259F">
        <w:rPr>
          <w:color w:val="000000" w:themeColor="text1"/>
        </w:rPr>
        <w:t>progress</w:t>
      </w:r>
      <w:proofErr w:type="gramEnd"/>
    </w:p>
    <w:p w14:paraId="7EF425C0" w14:textId="70E7AD34" w:rsidR="00D422B1" w:rsidRPr="00D6259F" w:rsidRDefault="00D422B1" w:rsidP="00C034D8">
      <w:pPr>
        <w:rPr>
          <w:color w:val="000000" w:themeColor="text1"/>
          <w:lang w:eastAsia="en-GB"/>
        </w:rPr>
      </w:pPr>
      <w:r w:rsidRPr="00D6259F">
        <w:rPr>
          <w:color w:val="000000" w:themeColor="text1"/>
          <w:lang w:eastAsia="en-GB"/>
        </w:rPr>
        <w:t xml:space="preserve">Work in progress represents the cost of capital expenditure projects that are not </w:t>
      </w:r>
      <w:r w:rsidR="00D04509" w:rsidRPr="00D6259F">
        <w:rPr>
          <w:color w:val="000000" w:themeColor="text1"/>
          <w:lang w:eastAsia="en-GB"/>
        </w:rPr>
        <w:t xml:space="preserve">yet capable for use in the manner intended by management. </w:t>
      </w:r>
      <w:r w:rsidRPr="00D6259F">
        <w:rPr>
          <w:color w:val="000000" w:themeColor="text1"/>
          <w:lang w:eastAsia="en-GB"/>
        </w:rPr>
        <w:t>The cost of projects within work in progress is transferred to the relevant asset class when the project is completed and is then subject to depreciation</w:t>
      </w:r>
      <w:r w:rsidR="00D04509" w:rsidRPr="00D6259F">
        <w:rPr>
          <w:color w:val="000000" w:themeColor="text1"/>
          <w:lang w:eastAsia="en-GB"/>
        </w:rPr>
        <w:t>/amortisation.</w:t>
      </w:r>
    </w:p>
    <w:p w14:paraId="335C0EDF" w14:textId="3C18F1C8" w:rsidR="00D422B1" w:rsidRPr="00D6259F" w:rsidRDefault="00626E44" w:rsidP="00C034D8">
      <w:pPr>
        <w:rPr>
          <w:color w:val="000000" w:themeColor="text1"/>
          <w:lang w:eastAsia="en-GB"/>
        </w:rPr>
      </w:pPr>
      <w:r w:rsidRPr="00D6259F">
        <w:rPr>
          <w:color w:val="000000" w:themeColor="text1"/>
          <w:lang w:eastAsia="en-GB"/>
        </w:rPr>
        <w:t>T</w:t>
      </w:r>
      <w:r w:rsidR="00D422B1" w:rsidRPr="00D6259F">
        <w:rPr>
          <w:color w:val="000000" w:themeColor="text1"/>
          <w:lang w:eastAsia="en-GB"/>
        </w:rPr>
        <w:t xml:space="preserve">he movements according to the individual classes of assets are as </w:t>
      </w:r>
      <w:r w:rsidR="004F1655" w:rsidRPr="00D6259F">
        <w:rPr>
          <w:color w:val="000000" w:themeColor="text1"/>
          <w:lang w:eastAsia="en-GB"/>
        </w:rPr>
        <w:t>shown</w:t>
      </w:r>
      <w:r w:rsidR="00D422B1" w:rsidRPr="00D6259F">
        <w:rPr>
          <w:color w:val="000000" w:themeColor="text1"/>
          <w:lang w:eastAsia="en-GB"/>
        </w:rPr>
        <w:t xml:space="preserve"> in </w:t>
      </w:r>
      <w:r w:rsidR="00D422B1" w:rsidRPr="00D6259F">
        <w:rPr>
          <w:i/>
          <w:iCs/>
          <w:color w:val="000000" w:themeColor="text1"/>
          <w:lang w:eastAsia="en-GB"/>
        </w:rPr>
        <w:t>Table</w:t>
      </w:r>
      <w:r w:rsidR="00D422B1" w:rsidRPr="00D6259F">
        <w:rPr>
          <w:color w:val="000000" w:themeColor="text1"/>
          <w:lang w:eastAsia="en-GB"/>
        </w:rPr>
        <w:t xml:space="preserve"> </w:t>
      </w:r>
      <w:r w:rsidR="00921C9A" w:rsidRPr="00D6259F">
        <w:rPr>
          <w:color w:val="000000" w:themeColor="text1"/>
          <w:lang w:eastAsia="en-GB"/>
        </w:rPr>
        <w:t>33.</w:t>
      </w:r>
    </w:p>
    <w:p w14:paraId="6DB362A4" w14:textId="7E21D351" w:rsidR="00D422B1" w:rsidRPr="00D6259F" w:rsidRDefault="000F20D8" w:rsidP="00C034D8">
      <w:pPr>
        <w:rPr>
          <w:noProof/>
          <w:color w:val="000000" w:themeColor="text1"/>
        </w:rPr>
      </w:pPr>
      <w:r w:rsidRPr="00D6259F">
        <w:rPr>
          <w:b/>
          <w:bCs/>
          <w:noProof/>
          <w:color w:val="000000" w:themeColor="text1"/>
          <w:lang w:val="en-US"/>
        </w:rPr>
        <w:object w:dxaOrig="10275" w:dyaOrig="12420" w14:anchorId="7AB96C75">
          <v:shape id="_x0000_i1060" type="#_x0000_t75" style="width:487pt;height:562pt" o:ole="">
            <v:imagedata r:id="rId81" o:title=""/>
          </v:shape>
          <o:OLEObject Type="Link" ProgID="Excel.Sheet.12" ShapeID="_x0000_i1060" DrawAspect="Content" r:id="rId82" UpdateMode="Always">
            <o:LinkType>EnhancedMetaFile</o:LinkType>
            <o:LockedField>false</o:LockedField>
          </o:OLEObject>
        </w:object>
      </w:r>
    </w:p>
    <w:p w14:paraId="3656C2E1" w14:textId="77777777" w:rsidR="00BF4FE0" w:rsidRPr="00D6259F" w:rsidRDefault="00BF4FE0" w:rsidP="00C034D8">
      <w:pPr>
        <w:pStyle w:val="ListParagraph"/>
        <w:rPr>
          <w:color w:val="000000" w:themeColor="text1"/>
        </w:rPr>
      </w:pPr>
    </w:p>
    <w:p w14:paraId="6B6B74E8" w14:textId="77777777" w:rsidR="00A92158" w:rsidRPr="00D6259F" w:rsidRDefault="00A92158" w:rsidP="00A81BA9">
      <w:pPr>
        <w:rPr>
          <w:color w:val="000000" w:themeColor="text1"/>
          <w:lang w:eastAsia="en-GB"/>
        </w:rPr>
      </w:pPr>
    </w:p>
    <w:p w14:paraId="6A2CF609" w14:textId="77777777" w:rsidR="00A92158" w:rsidRPr="00D6259F" w:rsidRDefault="00A92158" w:rsidP="00A81BA9">
      <w:pPr>
        <w:rPr>
          <w:color w:val="000000" w:themeColor="text1"/>
          <w:lang w:eastAsia="en-GB"/>
        </w:rPr>
      </w:pPr>
    </w:p>
    <w:p w14:paraId="3CEE4591" w14:textId="77777777" w:rsidR="00A92158" w:rsidRPr="00D6259F" w:rsidRDefault="00A92158" w:rsidP="00A81BA9">
      <w:pPr>
        <w:rPr>
          <w:color w:val="000000" w:themeColor="text1"/>
          <w:lang w:eastAsia="en-GB"/>
        </w:rPr>
      </w:pPr>
    </w:p>
    <w:p w14:paraId="791DA72C" w14:textId="77777777" w:rsidR="00A92158" w:rsidRPr="00D6259F" w:rsidRDefault="00A92158">
      <w:pPr>
        <w:rPr>
          <w:color w:val="000000" w:themeColor="text1"/>
          <w:lang w:eastAsia="en-GB"/>
        </w:rPr>
      </w:pPr>
    </w:p>
    <w:p w14:paraId="5646C4AC" w14:textId="75D14A55" w:rsidR="00821F32" w:rsidRPr="00D6259F" w:rsidRDefault="00D422B1">
      <w:pPr>
        <w:rPr>
          <w:color w:val="000000" w:themeColor="text1"/>
          <w:lang w:eastAsia="en-GB"/>
        </w:rPr>
      </w:pPr>
      <w:r w:rsidRPr="00D6259F">
        <w:rPr>
          <w:color w:val="000000" w:themeColor="text1"/>
          <w:lang w:eastAsia="en-GB"/>
        </w:rPr>
        <w:t>Disposals and transfers are reported net of accumulated depreciation.</w:t>
      </w:r>
      <w:r w:rsidR="00821F32" w:rsidRPr="00D6259F">
        <w:rPr>
          <w:color w:val="000000" w:themeColor="text1"/>
          <w:sz w:val="18"/>
          <w:szCs w:val="18"/>
        </w:rPr>
        <w:br w:type="page"/>
      </w:r>
    </w:p>
    <w:p w14:paraId="08CFBC34" w14:textId="2BE388C4" w:rsidR="002007B9" w:rsidRPr="00D6259F" w:rsidRDefault="000F20D8" w:rsidP="00DE0E8A">
      <w:pPr>
        <w:rPr>
          <w:color w:val="000000" w:themeColor="text1"/>
        </w:rPr>
      </w:pPr>
      <w:r w:rsidRPr="00D6259F">
        <w:rPr>
          <w:color w:val="000000" w:themeColor="text1"/>
          <w:sz w:val="18"/>
          <w:szCs w:val="18"/>
        </w:rPr>
        <w:object w:dxaOrig="10275" w:dyaOrig="915" w14:anchorId="478B0236">
          <v:shape id="_x0000_i1061" type="#_x0000_t75" style="width:457pt;height:44pt" o:ole="">
            <v:imagedata r:id="rId83" o:title=""/>
          </v:shape>
          <o:OLEObject Type="Link" ProgID="Excel.Sheet.12" ShapeID="_x0000_i1061" DrawAspect="Content" r:id="rId84" UpdateMode="Always">
            <o:LinkType>EnhancedMetaFile</o:LinkType>
            <o:LockedField>false</o:LockedField>
          </o:OLEObject>
        </w:object>
      </w:r>
      <w:r w:rsidRPr="00D6259F">
        <w:rPr>
          <w:b/>
          <w:bCs/>
          <w:color w:val="000000" w:themeColor="text1"/>
          <w:sz w:val="18"/>
          <w:szCs w:val="18"/>
          <w:lang w:val="en-US"/>
        </w:rPr>
        <w:object w:dxaOrig="10275" w:dyaOrig="12330" w14:anchorId="698C4B01">
          <v:shape id="_x0000_i1062" type="#_x0000_t75" style="width:457pt;height:605pt" o:ole="">
            <v:imagedata r:id="rId85" o:title=""/>
          </v:shape>
          <o:OLEObject Type="Link" ProgID="Excel.Sheet.12" ShapeID="_x0000_i1062" DrawAspect="Content" r:id="rId86" UpdateMode="Always">
            <o:LinkType>EnhancedMetaFile</o:LinkType>
            <o:LockedField>false</o:LockedField>
          </o:OLEObject>
        </w:object>
      </w:r>
    </w:p>
    <w:p w14:paraId="568FEE05" w14:textId="106A3826" w:rsidR="009F0027" w:rsidRPr="00D6259F" w:rsidRDefault="009F0027" w:rsidP="003D792C">
      <w:pPr>
        <w:pStyle w:val="ListParagraph"/>
        <w:numPr>
          <w:ilvl w:val="0"/>
          <w:numId w:val="10"/>
        </w:numPr>
        <w:rPr>
          <w:color w:val="000000" w:themeColor="text1"/>
          <w:sz w:val="14"/>
          <w:szCs w:val="14"/>
        </w:rPr>
      </w:pPr>
      <w:r w:rsidRPr="00D6259F">
        <w:rPr>
          <w:color w:val="000000" w:themeColor="text1"/>
          <w:sz w:val="16"/>
          <w:szCs w:val="16"/>
        </w:rPr>
        <w:t xml:space="preserve">The Council’s share of the joint </w:t>
      </w:r>
      <w:r w:rsidR="00DE68C3" w:rsidRPr="00D6259F">
        <w:rPr>
          <w:color w:val="000000" w:themeColor="text1"/>
          <w:sz w:val="16"/>
          <w:szCs w:val="16"/>
        </w:rPr>
        <w:t>operation</w:t>
      </w:r>
      <w:r w:rsidRPr="00D6259F">
        <w:rPr>
          <w:color w:val="000000" w:themeColor="text1"/>
          <w:sz w:val="16"/>
          <w:szCs w:val="16"/>
        </w:rPr>
        <w:t xml:space="preserve"> with Porirua City Council relating to the Spicer Valley landfill is included in this asset class.</w:t>
      </w:r>
    </w:p>
    <w:p w14:paraId="4E37C662" w14:textId="7A9867EE" w:rsidR="004831B4" w:rsidRPr="00D6259F" w:rsidRDefault="004831B4" w:rsidP="004831B4">
      <w:pPr>
        <w:pStyle w:val="ListParagraph"/>
        <w:rPr>
          <w:color w:val="000000" w:themeColor="text1"/>
        </w:rPr>
      </w:pPr>
    </w:p>
    <w:p w14:paraId="7BCD1D35" w14:textId="77777777" w:rsidR="004831B4" w:rsidRPr="00D6259F" w:rsidRDefault="004831B4" w:rsidP="009F0027">
      <w:pPr>
        <w:rPr>
          <w:color w:val="000000" w:themeColor="text1"/>
        </w:rPr>
      </w:pPr>
      <w:r w:rsidRPr="00D6259F">
        <w:rPr>
          <w:color w:val="000000" w:themeColor="text1"/>
        </w:rPr>
        <w:t>Disposals and transfers are reported net of accumulated depreciation.</w:t>
      </w:r>
    </w:p>
    <w:p w14:paraId="7C8BFF6F" w14:textId="6D7F86FA" w:rsidR="00D04509" w:rsidRPr="00D6259F" w:rsidRDefault="00821F32" w:rsidP="00216331">
      <w:pPr>
        <w:rPr>
          <w:noProof/>
          <w:color w:val="000000" w:themeColor="text1"/>
        </w:rPr>
      </w:pPr>
      <w:r w:rsidRPr="00D6259F">
        <w:rPr>
          <w:noProof/>
          <w:color w:val="000000" w:themeColor="text1"/>
        </w:rPr>
        <w:br w:type="page"/>
      </w:r>
      <w:r w:rsidR="000F20D8" w:rsidRPr="00D6259F">
        <w:rPr>
          <w:noProof/>
          <w:color w:val="000000" w:themeColor="text1"/>
        </w:rPr>
        <w:object w:dxaOrig="10275" w:dyaOrig="915" w14:anchorId="2545C76A">
          <v:shape id="_x0000_i1063" type="#_x0000_t75" style="width:493pt;height:44pt" o:ole="">
            <v:imagedata r:id="rId83" o:title=""/>
          </v:shape>
          <o:OLEObject Type="Link" ProgID="Excel.Sheet.12" ShapeID="_x0000_i1063" DrawAspect="Content" r:id="rId87" UpdateMode="Always">
            <o:LinkType>EnhancedMetaFile</o:LinkType>
            <o:LockedField>false</o:LockedField>
          </o:OLEObject>
        </w:object>
      </w:r>
      <w:r w:rsidR="000F20D8" w:rsidRPr="00D6259F">
        <w:rPr>
          <w:noProof/>
          <w:color w:val="000000" w:themeColor="text1"/>
        </w:rPr>
        <w:object w:dxaOrig="10275" w:dyaOrig="12045" w14:anchorId="7388AFBC">
          <v:shape id="_x0000_i1064" type="#_x0000_t75" style="width:490pt;height:573pt" o:ole="">
            <v:imagedata r:id="rId88" o:title=""/>
          </v:shape>
          <o:OLEObject Type="Link" ProgID="Excel.Sheet.12" ShapeID="_x0000_i1064" DrawAspect="Content" r:id="rId89" UpdateMode="Always">
            <o:LinkType>EnhancedMetaFile</o:LinkType>
            <o:LockedField>false</o:LockedField>
          </o:OLEObject>
        </w:object>
      </w:r>
    </w:p>
    <w:p w14:paraId="57511C71" w14:textId="77777777" w:rsidR="00BF4FE0" w:rsidRPr="00D6259F" w:rsidRDefault="00BF4FE0" w:rsidP="00B75D59">
      <w:pPr>
        <w:ind w:firstLine="720"/>
        <w:rPr>
          <w:color w:val="000000" w:themeColor="text1"/>
        </w:rPr>
      </w:pPr>
    </w:p>
    <w:p w14:paraId="1A30037C" w14:textId="77777777" w:rsidR="00A92158" w:rsidRPr="00D6259F" w:rsidRDefault="00A92158" w:rsidP="00A81BA9">
      <w:pPr>
        <w:rPr>
          <w:color w:val="000000" w:themeColor="text1"/>
        </w:rPr>
      </w:pPr>
    </w:p>
    <w:p w14:paraId="0471C884" w14:textId="77777777" w:rsidR="00A92158" w:rsidRPr="00D6259F" w:rsidRDefault="00A92158">
      <w:pPr>
        <w:rPr>
          <w:color w:val="000000" w:themeColor="text1"/>
        </w:rPr>
      </w:pPr>
    </w:p>
    <w:p w14:paraId="6C5CE030" w14:textId="5E97E67A" w:rsidR="00821F32" w:rsidRPr="00D6259F" w:rsidRDefault="00D422B1">
      <w:pPr>
        <w:rPr>
          <w:color w:val="000000" w:themeColor="text1"/>
        </w:rPr>
      </w:pPr>
      <w:r w:rsidRPr="00D6259F">
        <w:rPr>
          <w:color w:val="000000" w:themeColor="text1"/>
        </w:rPr>
        <w:t>Disposals and transfers are reported net of accumulated depreciation.</w:t>
      </w:r>
      <w:r w:rsidR="00821F32" w:rsidRPr="00D6259F">
        <w:rPr>
          <w:color w:val="000000" w:themeColor="text1"/>
        </w:rPr>
        <w:br w:type="page"/>
      </w:r>
    </w:p>
    <w:p w14:paraId="7F76707B" w14:textId="4C1F3E12" w:rsidR="00EA2450" w:rsidRPr="00D6259F" w:rsidRDefault="000F20D8" w:rsidP="003C0900">
      <w:pPr>
        <w:rPr>
          <w:color w:val="000000" w:themeColor="text1"/>
        </w:rPr>
      </w:pPr>
      <w:r w:rsidRPr="00D6259F">
        <w:rPr>
          <w:b/>
          <w:bCs/>
          <w:color w:val="000000" w:themeColor="text1"/>
          <w:lang w:val="en-US"/>
        </w:rPr>
        <w:object w:dxaOrig="10275" w:dyaOrig="915" w14:anchorId="23ADD115">
          <v:shape id="_x0000_i1065" type="#_x0000_t75" style="width:451pt;height:44pt" o:ole="">
            <v:imagedata r:id="rId90" o:title=""/>
          </v:shape>
          <o:OLEObject Type="Link" ProgID="Excel.Sheet.12" ShapeID="_x0000_i1065" DrawAspect="Content" r:id="rId91" UpdateMode="Always">
            <o:LinkType>EnhancedMetaFile</o:LinkType>
            <o:LockedField>false</o:LockedField>
          </o:OLEObject>
        </w:object>
      </w:r>
    </w:p>
    <w:p w14:paraId="57014F99" w14:textId="72171595" w:rsidR="00B3400E" w:rsidRPr="00D6259F" w:rsidRDefault="000F20D8" w:rsidP="003670BA">
      <w:pPr>
        <w:rPr>
          <w:color w:val="000000" w:themeColor="text1"/>
        </w:rPr>
      </w:pPr>
      <w:r w:rsidRPr="00D6259F">
        <w:rPr>
          <w:color w:val="000000" w:themeColor="text1"/>
        </w:rPr>
        <w:object w:dxaOrig="10275" w:dyaOrig="12015" w14:anchorId="472AE1B2">
          <v:shape id="_x0000_i1066" type="#_x0000_t75" style="width:451pt;height:616pt" o:ole="">
            <v:imagedata r:id="rId92" o:title=""/>
          </v:shape>
          <o:OLEObject Type="Link" ProgID="Excel.Sheet.12" ShapeID="_x0000_i1066" DrawAspect="Content" r:id="rId93" UpdateMode="Always">
            <o:LinkType>EnhancedMetaFile</o:LinkType>
            <o:LockedField>false</o:LockedField>
          </o:OLEObject>
        </w:object>
      </w:r>
    </w:p>
    <w:p w14:paraId="7274789F" w14:textId="77777777" w:rsidR="00A92158" w:rsidRPr="00D6259F" w:rsidRDefault="00A92158" w:rsidP="003670BA">
      <w:pPr>
        <w:rPr>
          <w:color w:val="000000" w:themeColor="text1"/>
        </w:rPr>
      </w:pPr>
    </w:p>
    <w:p w14:paraId="0F34C21C" w14:textId="1060F3C5" w:rsidR="00AD1040" w:rsidRPr="00D6259F" w:rsidRDefault="00D422B1" w:rsidP="003670BA">
      <w:pPr>
        <w:rPr>
          <w:color w:val="000000" w:themeColor="text1"/>
        </w:rPr>
      </w:pPr>
      <w:r w:rsidRPr="00D6259F">
        <w:rPr>
          <w:color w:val="000000" w:themeColor="text1"/>
        </w:rPr>
        <w:t>Disposals and transfers are reported net of accumulated depreciation</w:t>
      </w:r>
      <w:r w:rsidR="00AD1040" w:rsidRPr="00D6259F">
        <w:rPr>
          <w:color w:val="000000" w:themeColor="text1"/>
        </w:rPr>
        <w:t>.</w:t>
      </w:r>
    </w:p>
    <w:p w14:paraId="67594333" w14:textId="4B65149F" w:rsidR="00A13A7C" w:rsidRPr="00D6259F" w:rsidRDefault="000F20D8" w:rsidP="00356C92">
      <w:pPr>
        <w:pStyle w:val="ListParagraph"/>
        <w:ind w:left="0"/>
        <w:rPr>
          <w:color w:val="000000" w:themeColor="text1"/>
        </w:rPr>
      </w:pPr>
      <w:r w:rsidRPr="00D6259F">
        <w:rPr>
          <w:color w:val="000000" w:themeColor="text1"/>
        </w:rPr>
        <w:object w:dxaOrig="10275" w:dyaOrig="915" w14:anchorId="64CD35BF">
          <v:shape id="_x0000_i1067" type="#_x0000_t75" style="width:482pt;height:44pt" o:ole="">
            <v:imagedata r:id="rId83" o:title=""/>
          </v:shape>
          <o:OLEObject Type="Link" ProgID="Excel.Sheet.12" ShapeID="_x0000_i1067" DrawAspect="Content" r:id="rId94" UpdateMode="Always">
            <o:LinkType>EnhancedMetaFile</o:LinkType>
            <o:LockedField>false</o:LockedField>
          </o:OLEObject>
        </w:object>
      </w:r>
    </w:p>
    <w:p w14:paraId="0A8A26BD" w14:textId="71BCED05" w:rsidR="00A13A7C" w:rsidRPr="00D6259F" w:rsidRDefault="000F20D8" w:rsidP="00356C92">
      <w:pPr>
        <w:pStyle w:val="ListParagraph"/>
        <w:ind w:left="0"/>
        <w:rPr>
          <w:color w:val="000000" w:themeColor="text1"/>
        </w:rPr>
      </w:pPr>
      <w:r w:rsidRPr="00D6259F">
        <w:rPr>
          <w:color w:val="000000" w:themeColor="text1"/>
        </w:rPr>
        <w:object w:dxaOrig="10275" w:dyaOrig="9465" w14:anchorId="590393CC">
          <v:shape id="_x0000_i1068" type="#_x0000_t75" style="width:479pt;height:477pt" o:ole="">
            <v:imagedata r:id="rId95" o:title=""/>
          </v:shape>
          <o:OLEObject Type="Link" ProgID="Excel.Sheet.12" ShapeID="_x0000_i1068" DrawAspect="Content" r:id="rId96" UpdateMode="Always">
            <o:LinkType>EnhancedMetaFile</o:LinkType>
            <o:LockedField>false</o:LockedField>
          </o:OLEObject>
        </w:object>
      </w:r>
    </w:p>
    <w:p w14:paraId="14DF2C07" w14:textId="77777777" w:rsidR="00A13A7C" w:rsidRPr="00D6259F" w:rsidRDefault="00A13A7C" w:rsidP="00356C92">
      <w:pPr>
        <w:pStyle w:val="ListParagraph"/>
        <w:ind w:left="0"/>
        <w:rPr>
          <w:color w:val="000000" w:themeColor="text1"/>
        </w:rPr>
      </w:pPr>
    </w:p>
    <w:p w14:paraId="44E4BC27" w14:textId="0E350A23" w:rsidR="004653A7" w:rsidRPr="00D6259F" w:rsidRDefault="004653A7" w:rsidP="00356C92">
      <w:pPr>
        <w:pStyle w:val="ListParagraph"/>
        <w:ind w:left="0"/>
        <w:rPr>
          <w:color w:val="000000" w:themeColor="text1"/>
        </w:rPr>
      </w:pPr>
    </w:p>
    <w:p w14:paraId="1BA641B1" w14:textId="77777777" w:rsidR="00356C92" w:rsidRPr="00D6259F" w:rsidRDefault="00356C92" w:rsidP="00356C92">
      <w:pPr>
        <w:pStyle w:val="ListParagraph"/>
        <w:ind w:left="0"/>
        <w:rPr>
          <w:color w:val="000000" w:themeColor="text1"/>
        </w:rPr>
      </w:pPr>
    </w:p>
    <w:p w14:paraId="19D3D5DA" w14:textId="39495FEF" w:rsidR="00356C92" w:rsidRPr="00D6259F" w:rsidRDefault="00356C92" w:rsidP="00356C92">
      <w:pPr>
        <w:pStyle w:val="ListParagraph"/>
        <w:numPr>
          <w:ilvl w:val="0"/>
          <w:numId w:val="10"/>
        </w:numPr>
        <w:rPr>
          <w:color w:val="000000" w:themeColor="text1"/>
          <w:sz w:val="16"/>
          <w:szCs w:val="16"/>
        </w:rPr>
      </w:pPr>
      <w:r w:rsidRPr="00D6259F">
        <w:rPr>
          <w:color w:val="000000" w:themeColor="text1"/>
          <w:sz w:val="16"/>
          <w:szCs w:val="16"/>
        </w:rPr>
        <w:t>For restricted assets, valuation at cost means they are not subject to revaluation. Please refer to the relevant significant accounting policies above for a more detailed explanation.</w:t>
      </w:r>
    </w:p>
    <w:p w14:paraId="4EF2298B" w14:textId="3B308B8B" w:rsidR="00356C92" w:rsidRPr="00D6259F" w:rsidRDefault="00356C92" w:rsidP="00356C92">
      <w:pPr>
        <w:pStyle w:val="ListParagraph"/>
        <w:rPr>
          <w:color w:val="000000" w:themeColor="text1"/>
          <w:sz w:val="20"/>
          <w:szCs w:val="20"/>
        </w:rPr>
      </w:pPr>
    </w:p>
    <w:p w14:paraId="7C12B19B" w14:textId="77777777" w:rsidR="00A92158" w:rsidRPr="00D6259F" w:rsidRDefault="00A92158" w:rsidP="00A92158">
      <w:pPr>
        <w:rPr>
          <w:color w:val="000000" w:themeColor="text1"/>
        </w:rPr>
      </w:pPr>
    </w:p>
    <w:p w14:paraId="18BE3A0D" w14:textId="77777777" w:rsidR="00A92158" w:rsidRPr="00D6259F" w:rsidRDefault="00A92158" w:rsidP="00A92158">
      <w:pPr>
        <w:rPr>
          <w:color w:val="000000" w:themeColor="text1"/>
        </w:rPr>
      </w:pPr>
    </w:p>
    <w:p w14:paraId="5A4A6EF4" w14:textId="77777777" w:rsidR="00A92158" w:rsidRPr="00D6259F" w:rsidRDefault="00A92158" w:rsidP="00A92158">
      <w:pPr>
        <w:rPr>
          <w:color w:val="000000" w:themeColor="text1"/>
        </w:rPr>
      </w:pPr>
    </w:p>
    <w:p w14:paraId="3C121DD0" w14:textId="77777777" w:rsidR="00A92158" w:rsidRPr="00D6259F" w:rsidRDefault="00A92158">
      <w:pPr>
        <w:rPr>
          <w:color w:val="000000" w:themeColor="text1"/>
        </w:rPr>
      </w:pPr>
    </w:p>
    <w:p w14:paraId="52078E59" w14:textId="7F60B524" w:rsidR="00821F32" w:rsidRPr="00D6259F" w:rsidRDefault="00356C92">
      <w:pPr>
        <w:rPr>
          <w:color w:val="000000" w:themeColor="text1"/>
        </w:rPr>
      </w:pPr>
      <w:r w:rsidRPr="00D6259F">
        <w:rPr>
          <w:color w:val="000000" w:themeColor="text1"/>
        </w:rPr>
        <w:t>Disposals and transfers are reported net of accumulated depreciation</w:t>
      </w:r>
      <w:r w:rsidR="00AD1040" w:rsidRPr="00D6259F">
        <w:rPr>
          <w:color w:val="000000" w:themeColor="text1"/>
        </w:rPr>
        <w:t>.</w:t>
      </w:r>
      <w:r w:rsidR="00821F32" w:rsidRPr="00D6259F">
        <w:rPr>
          <w:color w:val="000000" w:themeColor="text1"/>
        </w:rPr>
        <w:br w:type="page"/>
      </w:r>
    </w:p>
    <w:p w14:paraId="3581B1DE" w14:textId="5F4ADFF3" w:rsidR="003A6079" w:rsidRPr="00D6259F" w:rsidRDefault="000F20D8" w:rsidP="009A024C">
      <w:pPr>
        <w:pStyle w:val="ListParagraph"/>
        <w:ind w:left="0"/>
        <w:rPr>
          <w:color w:val="000000" w:themeColor="text1"/>
        </w:rPr>
      </w:pPr>
      <w:r w:rsidRPr="00D6259F">
        <w:rPr>
          <w:color w:val="000000" w:themeColor="text1"/>
        </w:rPr>
        <w:object w:dxaOrig="10275" w:dyaOrig="915" w14:anchorId="284B92D2">
          <v:shape id="_x0000_i1069" type="#_x0000_t75" style="width:485pt;height:44pt" o:ole="">
            <v:imagedata r:id="rId83" o:title=""/>
          </v:shape>
          <o:OLEObject Type="Link" ProgID="Excel.Sheet.12" ShapeID="_x0000_i1069" DrawAspect="Content" r:id="rId97" UpdateMode="Always">
            <o:LinkType>EnhancedMetaFile</o:LinkType>
            <o:LockedField>false</o:LockedField>
          </o:OLEObject>
        </w:object>
      </w:r>
    </w:p>
    <w:p w14:paraId="0468C523" w14:textId="46AD5554" w:rsidR="004653A7" w:rsidRPr="00D6259F" w:rsidRDefault="000F20D8" w:rsidP="009A024C">
      <w:pPr>
        <w:pStyle w:val="ListParagraph"/>
        <w:ind w:left="0"/>
        <w:rPr>
          <w:color w:val="000000" w:themeColor="text1"/>
        </w:rPr>
      </w:pPr>
      <w:r w:rsidRPr="00D6259F">
        <w:rPr>
          <w:color w:val="000000" w:themeColor="text1"/>
        </w:rPr>
        <w:object w:dxaOrig="10275" w:dyaOrig="3795" w14:anchorId="40B39100">
          <v:shape id="_x0000_i1070" type="#_x0000_t75" style="width:482pt;height:188pt" o:ole="">
            <v:imagedata r:id="rId98" o:title=""/>
          </v:shape>
          <o:OLEObject Type="Link" ProgID="Excel.Sheet.12" ShapeID="_x0000_i1070" DrawAspect="Content" r:id="rId99" UpdateMode="Always">
            <o:LinkType>EnhancedMetaFile</o:LinkType>
            <o:LockedField>false</o:LockedField>
          </o:OLEObject>
        </w:object>
      </w:r>
    </w:p>
    <w:p w14:paraId="667F2955" w14:textId="000A880F" w:rsidR="00540BFD" w:rsidRPr="00D6259F" w:rsidRDefault="00540BFD" w:rsidP="00540BFD">
      <w:pPr>
        <w:rPr>
          <w:rFonts w:ascii="Calibri" w:hAnsi="Calibri"/>
          <w:color w:val="000000" w:themeColor="text1"/>
        </w:rPr>
      </w:pPr>
      <w:r w:rsidRPr="00D6259F">
        <w:rPr>
          <w:color w:val="000000" w:themeColor="text1"/>
        </w:rPr>
        <w:t xml:space="preserve">Work in progress has increased substantially due to the costs incurred in building the </w:t>
      </w:r>
      <w:r w:rsidR="002A7D0F" w:rsidRPr="00D6259F">
        <w:rPr>
          <w:color w:val="000000" w:themeColor="text1"/>
        </w:rPr>
        <w:t>S</w:t>
      </w:r>
      <w:r w:rsidRPr="00D6259F">
        <w:rPr>
          <w:color w:val="000000" w:themeColor="text1"/>
        </w:rPr>
        <w:t>MF at Moa Point</w:t>
      </w:r>
      <w:r w:rsidR="00B80BF6" w:rsidRPr="00D6259F">
        <w:rPr>
          <w:color w:val="000000" w:themeColor="text1"/>
        </w:rPr>
        <w:t xml:space="preserve"> and the Te Ngākau Civic Precinct upgrade</w:t>
      </w:r>
      <w:r w:rsidRPr="00D6259F">
        <w:rPr>
          <w:color w:val="000000" w:themeColor="text1"/>
        </w:rPr>
        <w:t>.</w:t>
      </w:r>
    </w:p>
    <w:p w14:paraId="17A1513F" w14:textId="77777777" w:rsidR="00D422B1" w:rsidRPr="00D6259F" w:rsidRDefault="00D422B1" w:rsidP="00C034D8">
      <w:pPr>
        <w:pStyle w:val="Heading3"/>
      </w:pPr>
      <w:bookmarkStart w:id="113" w:name="_Toc121217116"/>
      <w:bookmarkStart w:id="114" w:name="_Hlk163594110"/>
      <w:r w:rsidRPr="00D6259F">
        <w:t xml:space="preserve">Revaluation of property, </w:t>
      </w:r>
      <w:proofErr w:type="gramStart"/>
      <w:r w:rsidRPr="00D6259F">
        <w:t>plant</w:t>
      </w:r>
      <w:proofErr w:type="gramEnd"/>
      <w:r w:rsidRPr="00D6259F">
        <w:t xml:space="preserve"> and equipment</w:t>
      </w:r>
      <w:bookmarkEnd w:id="113"/>
    </w:p>
    <w:p w14:paraId="1F1F8B6C" w14:textId="685144B7" w:rsidR="00337B19" w:rsidRPr="00D6259F" w:rsidRDefault="00337B19" w:rsidP="00337B19">
      <w:pPr>
        <w:rPr>
          <w:color w:val="000000" w:themeColor="text1"/>
        </w:rPr>
      </w:pPr>
      <w:r w:rsidRPr="00D6259F">
        <w:rPr>
          <w:color w:val="000000" w:themeColor="text1"/>
        </w:rPr>
        <w:t xml:space="preserve">Assets are valued at regular intervals by an independent registered valuer or whenever the carrying amount differs materially to fair value. In the years which an asset class is not revalued, </w:t>
      </w:r>
      <w:r w:rsidR="009314BD" w:rsidRPr="00D6259F">
        <w:rPr>
          <w:color w:val="000000" w:themeColor="text1"/>
        </w:rPr>
        <w:t xml:space="preserve">an assessment is made as to </w:t>
      </w:r>
      <w:r w:rsidRPr="00D6259F">
        <w:rPr>
          <w:color w:val="000000" w:themeColor="text1"/>
        </w:rPr>
        <w:t>whether there has been any material change in the value of that asset class.  </w:t>
      </w:r>
    </w:p>
    <w:p w14:paraId="1A43F1B6" w14:textId="568C609F" w:rsidR="00353C1C" w:rsidRPr="00D6259F" w:rsidRDefault="00566FCD" w:rsidP="000E1241">
      <w:pPr>
        <w:pStyle w:val="Heading4"/>
      </w:pPr>
      <w:r w:rsidRPr="00D6259F">
        <w:t>Operational land and bui</w:t>
      </w:r>
      <w:r w:rsidR="00D33348" w:rsidRPr="00D6259F">
        <w:t>ldings</w:t>
      </w:r>
    </w:p>
    <w:p w14:paraId="69454F68" w14:textId="7B820F29" w:rsidR="00D33348" w:rsidRPr="00D6259F" w:rsidRDefault="00AA31F1" w:rsidP="00D33348">
      <w:pPr>
        <w:rPr>
          <w:color w:val="000000" w:themeColor="text1"/>
        </w:rPr>
      </w:pPr>
      <w:r w:rsidRPr="00D6259F">
        <w:rPr>
          <w:color w:val="000000" w:themeColor="text1"/>
        </w:rPr>
        <w:t>O</w:t>
      </w:r>
      <w:r w:rsidR="00D33348" w:rsidRPr="00D6259F">
        <w:rPr>
          <w:color w:val="000000" w:themeColor="text1"/>
        </w:rPr>
        <w:t>perational land and building asse</w:t>
      </w:r>
      <w:r w:rsidR="00D422B1" w:rsidRPr="00D6259F">
        <w:rPr>
          <w:color w:val="000000" w:themeColor="text1"/>
        </w:rPr>
        <w:t xml:space="preserve">ts were valued </w:t>
      </w:r>
      <w:r w:rsidR="00DF60AE" w:rsidRPr="00D6259F">
        <w:rPr>
          <w:color w:val="000000" w:themeColor="text1"/>
        </w:rPr>
        <w:t xml:space="preserve">as </w:t>
      </w:r>
      <w:proofErr w:type="gramStart"/>
      <w:r w:rsidR="00DF60AE" w:rsidRPr="00D6259F">
        <w:rPr>
          <w:color w:val="000000" w:themeColor="text1"/>
        </w:rPr>
        <w:t>at</w:t>
      </w:r>
      <w:proofErr w:type="gramEnd"/>
      <w:r w:rsidR="00D422B1" w:rsidRPr="00D6259F">
        <w:rPr>
          <w:color w:val="000000" w:themeColor="text1"/>
        </w:rPr>
        <w:t xml:space="preserve"> </w:t>
      </w:r>
      <w:r w:rsidR="005D56AC" w:rsidRPr="00D6259F">
        <w:rPr>
          <w:color w:val="000000" w:themeColor="text1"/>
        </w:rPr>
        <w:t>30 June 202</w:t>
      </w:r>
      <w:r w:rsidR="003C0900" w:rsidRPr="00D6259F">
        <w:rPr>
          <w:color w:val="000000" w:themeColor="text1"/>
        </w:rPr>
        <w:t>3</w:t>
      </w:r>
      <w:r w:rsidR="00D422B1" w:rsidRPr="00D6259F">
        <w:rPr>
          <w:color w:val="000000" w:themeColor="text1"/>
        </w:rPr>
        <w:t xml:space="preserve"> by </w:t>
      </w:r>
      <w:r w:rsidR="00D33348" w:rsidRPr="00D6259F">
        <w:rPr>
          <w:color w:val="000000" w:themeColor="text1"/>
        </w:rPr>
        <w:t>William Bunt (FNZIV, FPINZI), registered valuer and Director of Valuation Services for CBRE Limited.</w:t>
      </w:r>
    </w:p>
    <w:p w14:paraId="783108BA" w14:textId="094081A6" w:rsidR="00DE0E3A" w:rsidRPr="00D6259F" w:rsidRDefault="00DE0E3A" w:rsidP="00DE0E3A">
      <w:pPr>
        <w:pStyle w:val="Heading4"/>
      </w:pPr>
      <w:bookmarkStart w:id="115" w:name="_Hlk129689406"/>
      <w:r w:rsidRPr="00D6259F">
        <w:t>Library collection</w:t>
      </w:r>
      <w:r w:rsidR="00DF60AE" w:rsidRPr="00D6259F">
        <w:t>s</w:t>
      </w:r>
    </w:p>
    <w:p w14:paraId="4704A1D5" w14:textId="3F17F0CF" w:rsidR="00093227" w:rsidRPr="00D6259F" w:rsidRDefault="00093227" w:rsidP="00093227">
      <w:pPr>
        <w:rPr>
          <w:color w:val="000000" w:themeColor="text1"/>
        </w:rPr>
      </w:pPr>
      <w:r w:rsidRPr="00D6259F">
        <w:rPr>
          <w:color w:val="000000" w:themeColor="text1"/>
        </w:rPr>
        <w:t xml:space="preserve">Library collections were valued as </w:t>
      </w:r>
      <w:proofErr w:type="gramStart"/>
      <w:r w:rsidRPr="00D6259F">
        <w:rPr>
          <w:color w:val="000000" w:themeColor="text1"/>
        </w:rPr>
        <w:t>at</w:t>
      </w:r>
      <w:proofErr w:type="gramEnd"/>
      <w:r w:rsidRPr="00D6259F">
        <w:rPr>
          <w:color w:val="000000" w:themeColor="text1"/>
        </w:rPr>
        <w:t xml:space="preserve"> </w:t>
      </w:r>
      <w:r w:rsidR="005D56AC" w:rsidRPr="00D6259F">
        <w:rPr>
          <w:color w:val="000000" w:themeColor="text1"/>
        </w:rPr>
        <w:t>30 June 202</w:t>
      </w:r>
      <w:r w:rsidR="003C0900" w:rsidRPr="00D6259F">
        <w:rPr>
          <w:color w:val="000000" w:themeColor="text1"/>
        </w:rPr>
        <w:t>3</w:t>
      </w:r>
      <w:r w:rsidRPr="00D6259F">
        <w:rPr>
          <w:color w:val="000000" w:themeColor="text1"/>
        </w:rPr>
        <w:t xml:space="preserve"> by the Council’s library staff. The revaluation was carried out in accordance with guidelines outlined in Valuation Guidance for Cultural and Heritage Assets published by the Treasury Accounting Team, November 2002.  </w:t>
      </w:r>
    </w:p>
    <w:p w14:paraId="4A6E3ACE" w14:textId="5165766A" w:rsidR="00DE0E3A" w:rsidRPr="00D6259F" w:rsidRDefault="00DE0E3A" w:rsidP="00DE0E3A">
      <w:pPr>
        <w:pStyle w:val="Heading4"/>
      </w:pPr>
      <w:bookmarkStart w:id="116" w:name="_Hlk164871383"/>
      <w:r w:rsidRPr="00D6259F">
        <w:t xml:space="preserve">Infrastructure </w:t>
      </w:r>
      <w:r w:rsidR="004653A7" w:rsidRPr="00D6259F">
        <w:t>a</w:t>
      </w:r>
      <w:r w:rsidRPr="00D6259F">
        <w:t>ssets</w:t>
      </w:r>
    </w:p>
    <w:bookmarkEnd w:id="115"/>
    <w:p w14:paraId="71DCE01E" w14:textId="77777777" w:rsidR="00E61AC4" w:rsidRPr="00D6259F" w:rsidRDefault="00E61AC4" w:rsidP="00E61AC4">
      <w:pPr>
        <w:spacing w:after="0"/>
        <w:textAlignment w:val="baseline"/>
        <w:rPr>
          <w:b/>
          <w:bCs/>
          <w:color w:val="000000" w:themeColor="text1"/>
        </w:rPr>
      </w:pPr>
      <w:r w:rsidRPr="00D6259F">
        <w:rPr>
          <w:b/>
          <w:bCs/>
          <w:color w:val="000000" w:themeColor="text1"/>
        </w:rPr>
        <w:t xml:space="preserve">Drainage, </w:t>
      </w:r>
      <w:proofErr w:type="gramStart"/>
      <w:r w:rsidRPr="00D6259F">
        <w:rPr>
          <w:b/>
          <w:bCs/>
          <w:color w:val="000000" w:themeColor="text1"/>
        </w:rPr>
        <w:t>water</w:t>
      </w:r>
      <w:proofErr w:type="gramEnd"/>
      <w:r w:rsidRPr="00D6259F">
        <w:rPr>
          <w:b/>
          <w:bCs/>
          <w:color w:val="000000" w:themeColor="text1"/>
        </w:rPr>
        <w:t xml:space="preserve"> and waste </w:t>
      </w:r>
    </w:p>
    <w:bookmarkEnd w:id="116"/>
    <w:p w14:paraId="3306C4F4" w14:textId="77777777" w:rsidR="00BB0BEE" w:rsidRPr="00D6259F" w:rsidRDefault="00BB0BEE" w:rsidP="00BB0BEE">
      <w:pPr>
        <w:pStyle w:val="Default"/>
        <w:spacing w:after="100" w:afterAutospacing="1" w:line="276" w:lineRule="auto"/>
        <w:rPr>
          <w:rFonts w:cs="Times New Roman"/>
          <w:color w:val="000000" w:themeColor="text1"/>
          <w:szCs w:val="22"/>
          <w:lang w:eastAsia="en-US"/>
        </w:rPr>
      </w:pPr>
      <w:r w:rsidRPr="00D6259F">
        <w:rPr>
          <w:rFonts w:cs="Times New Roman"/>
          <w:color w:val="000000" w:themeColor="text1"/>
          <w:szCs w:val="22"/>
          <w:lang w:eastAsia="en-US"/>
        </w:rPr>
        <w:t xml:space="preserve">The drainage, water and waste infrastructure assets, including the service concession arrangements assets, were valued as </w:t>
      </w:r>
      <w:proofErr w:type="gramStart"/>
      <w:r w:rsidRPr="00D6259F">
        <w:rPr>
          <w:rFonts w:cs="Times New Roman"/>
          <w:color w:val="000000" w:themeColor="text1"/>
          <w:szCs w:val="22"/>
          <w:lang w:eastAsia="en-US"/>
        </w:rPr>
        <w:t>at</w:t>
      </w:r>
      <w:proofErr w:type="gramEnd"/>
      <w:r w:rsidRPr="00D6259F">
        <w:rPr>
          <w:rFonts w:cs="Times New Roman"/>
          <w:color w:val="000000" w:themeColor="text1"/>
          <w:szCs w:val="22"/>
          <w:lang w:eastAsia="en-US"/>
        </w:rPr>
        <w:t xml:space="preserve"> 30 June 2024 by Toby Marsh, Senior Asset Management Consultant at WSP New Zealand Limited (WSP). This revaluation would normally be performed in 2024/25 in line with the 3-year cycle. In late 2023 (during year 2 of the 3-year cycle) an initial assessment was performed and the predicted increase in fair values indicated the need to perform a full revaluation for the 2023/24 year. </w:t>
      </w:r>
    </w:p>
    <w:p w14:paraId="25BE9A96" w14:textId="77777777" w:rsidR="00BB0BEE" w:rsidRPr="00D6259F" w:rsidRDefault="00BB0BEE" w:rsidP="00BB0BEE">
      <w:pPr>
        <w:pStyle w:val="Default"/>
        <w:spacing w:after="100" w:afterAutospacing="1" w:line="276" w:lineRule="auto"/>
        <w:rPr>
          <w:rFonts w:cs="Times New Roman"/>
          <w:color w:val="000000" w:themeColor="text1"/>
          <w:szCs w:val="22"/>
          <w:lang w:eastAsia="en-US"/>
        </w:rPr>
      </w:pPr>
      <w:r w:rsidRPr="00D6259F">
        <w:rPr>
          <w:rFonts w:cs="Times New Roman"/>
          <w:color w:val="000000" w:themeColor="text1"/>
          <w:szCs w:val="22"/>
          <w:lang w:eastAsia="en-US"/>
        </w:rPr>
        <w:t xml:space="preserve">The increase in fair value is due to various factors including: </w:t>
      </w:r>
    </w:p>
    <w:p w14:paraId="1C3D2D15" w14:textId="48CED9C3" w:rsidR="00BB0BEE" w:rsidRPr="00D6259F" w:rsidRDefault="006452D7" w:rsidP="00BB0BEE">
      <w:pPr>
        <w:pStyle w:val="ListParagraph"/>
        <w:numPr>
          <w:ilvl w:val="0"/>
          <w:numId w:val="53"/>
        </w:numPr>
        <w:autoSpaceDE w:val="0"/>
        <w:autoSpaceDN w:val="0"/>
        <w:spacing w:after="100" w:afterAutospacing="1"/>
        <w:contextualSpacing w:val="0"/>
        <w:rPr>
          <w:color w:val="000000" w:themeColor="text1"/>
        </w:rPr>
      </w:pPr>
      <w:r w:rsidRPr="00D6259F">
        <w:rPr>
          <w:rFonts w:cs="Arial"/>
          <w:color w:val="000000" w:themeColor="text1"/>
        </w:rPr>
        <w:t>Increase in indexed construction costs between 2021/22 and 2023/24 which has largely been driven by the increase in construction activity related to the post-storm rebuild and the high construction demand for new healthcare facilities and office buildings</w:t>
      </w:r>
      <w:r w:rsidR="00BB0BEE" w:rsidRPr="00D6259F">
        <w:rPr>
          <w:color w:val="000000" w:themeColor="text1"/>
        </w:rPr>
        <w:t xml:space="preserve">. </w:t>
      </w:r>
    </w:p>
    <w:p w14:paraId="71F74821" w14:textId="77777777" w:rsidR="00BB0BEE" w:rsidRPr="00D6259F" w:rsidRDefault="00BB0BEE" w:rsidP="00BB0BEE">
      <w:pPr>
        <w:pStyle w:val="ListParagraph"/>
        <w:numPr>
          <w:ilvl w:val="0"/>
          <w:numId w:val="53"/>
        </w:numPr>
        <w:autoSpaceDE w:val="0"/>
        <w:autoSpaceDN w:val="0"/>
        <w:spacing w:after="100" w:afterAutospacing="1"/>
        <w:contextualSpacing w:val="0"/>
        <w:rPr>
          <w:color w:val="000000" w:themeColor="text1"/>
        </w:rPr>
      </w:pPr>
      <w:r w:rsidRPr="00D6259F">
        <w:rPr>
          <w:color w:val="000000" w:themeColor="text1"/>
        </w:rPr>
        <w:t xml:space="preserve">Increase in indexed pipe valuation unit rates for stormwater and wastewater. </w:t>
      </w:r>
    </w:p>
    <w:p w14:paraId="36972176" w14:textId="3183CA03" w:rsidR="00BB0BEE" w:rsidRPr="00D6259F" w:rsidRDefault="00BB0BEE" w:rsidP="00BB0BEE">
      <w:pPr>
        <w:pStyle w:val="ListParagraph"/>
        <w:numPr>
          <w:ilvl w:val="0"/>
          <w:numId w:val="53"/>
        </w:numPr>
        <w:autoSpaceDE w:val="0"/>
        <w:autoSpaceDN w:val="0"/>
        <w:spacing w:after="100" w:afterAutospacing="1"/>
        <w:contextualSpacing w:val="0"/>
        <w:rPr>
          <w:color w:val="000000" w:themeColor="text1"/>
        </w:rPr>
      </w:pPr>
      <w:r w:rsidRPr="00D6259F">
        <w:rPr>
          <w:color w:val="000000" w:themeColor="text1"/>
        </w:rPr>
        <w:lastRenderedPageBreak/>
        <w:t xml:space="preserve">Additional cost </w:t>
      </w:r>
      <w:r w:rsidR="006452D7" w:rsidRPr="00D6259F">
        <w:rPr>
          <w:color w:val="000000" w:themeColor="text1"/>
        </w:rPr>
        <w:t xml:space="preserve">movements for </w:t>
      </w:r>
      <w:r w:rsidRPr="00D6259F">
        <w:rPr>
          <w:color w:val="000000" w:themeColor="text1"/>
        </w:rPr>
        <w:t>certain potable water pipe rates where indexed unit rates were deemed not reflective of current market costs. This included:</w:t>
      </w:r>
    </w:p>
    <w:p w14:paraId="5EEB6EED" w14:textId="77777777" w:rsidR="00BB0BEE" w:rsidRPr="00D6259F" w:rsidRDefault="00BB0BEE" w:rsidP="00BB0BEE">
      <w:pPr>
        <w:pStyle w:val="ListParagraph"/>
        <w:numPr>
          <w:ilvl w:val="1"/>
          <w:numId w:val="53"/>
        </w:numPr>
        <w:autoSpaceDE w:val="0"/>
        <w:autoSpaceDN w:val="0"/>
        <w:spacing w:after="100" w:afterAutospacing="1"/>
        <w:contextualSpacing w:val="0"/>
        <w:rPr>
          <w:color w:val="000000" w:themeColor="text1"/>
        </w:rPr>
      </w:pPr>
      <w:r w:rsidRPr="00D6259F">
        <w:rPr>
          <w:color w:val="000000" w:themeColor="text1"/>
        </w:rPr>
        <w:t>Small potable water pipes (diameter less or equal to 100mm) – 35% increase</w:t>
      </w:r>
    </w:p>
    <w:p w14:paraId="090B69BF" w14:textId="77777777" w:rsidR="00BB0BEE" w:rsidRPr="00D6259F" w:rsidRDefault="00BB0BEE" w:rsidP="00BB0BEE">
      <w:pPr>
        <w:pStyle w:val="Default"/>
        <w:numPr>
          <w:ilvl w:val="1"/>
          <w:numId w:val="53"/>
        </w:numPr>
        <w:spacing w:after="100" w:afterAutospacing="1" w:line="276" w:lineRule="auto"/>
        <w:rPr>
          <w:rFonts w:cs="Times New Roman"/>
          <w:color w:val="000000" w:themeColor="text1"/>
          <w:szCs w:val="22"/>
          <w:lang w:eastAsia="en-US"/>
        </w:rPr>
      </w:pPr>
      <w:r w:rsidRPr="00D6259F">
        <w:rPr>
          <w:rFonts w:cs="Times New Roman"/>
          <w:color w:val="000000" w:themeColor="text1"/>
          <w:szCs w:val="22"/>
          <w:lang w:eastAsia="en-US"/>
        </w:rPr>
        <w:t>Medium potable water pipes (diameter greater than 100mm and less than 450mm) – 15% increase</w:t>
      </w:r>
    </w:p>
    <w:p w14:paraId="15E46A3A" w14:textId="77777777" w:rsidR="00BB0BEE" w:rsidRPr="00D6259F" w:rsidRDefault="00BB0BEE" w:rsidP="00BB0BEE">
      <w:pPr>
        <w:pStyle w:val="Default"/>
        <w:numPr>
          <w:ilvl w:val="0"/>
          <w:numId w:val="54"/>
        </w:numPr>
        <w:spacing w:after="100" w:afterAutospacing="1" w:line="276" w:lineRule="auto"/>
        <w:rPr>
          <w:rFonts w:cs="Times New Roman"/>
          <w:color w:val="000000" w:themeColor="text1"/>
          <w:szCs w:val="22"/>
          <w:lang w:eastAsia="en-US"/>
        </w:rPr>
      </w:pPr>
      <w:r w:rsidRPr="00D6259F">
        <w:rPr>
          <w:rFonts w:cs="Times New Roman"/>
          <w:color w:val="000000" w:themeColor="text1"/>
          <w:szCs w:val="22"/>
          <w:lang w:eastAsia="en-US"/>
        </w:rPr>
        <w:t>Potable non-pipe reticulation asset costs rates (excluding tanks and reservoirs) experienced an increase of 15% to reflect market movements.</w:t>
      </w:r>
    </w:p>
    <w:p w14:paraId="76CC027E" w14:textId="77777777" w:rsidR="00BB0BEE" w:rsidRPr="00D6259F" w:rsidRDefault="00BB0BEE" w:rsidP="00BB0BEE">
      <w:pPr>
        <w:pStyle w:val="Default"/>
        <w:numPr>
          <w:ilvl w:val="0"/>
          <w:numId w:val="54"/>
        </w:numPr>
        <w:spacing w:after="100" w:afterAutospacing="1" w:line="276" w:lineRule="auto"/>
        <w:rPr>
          <w:rFonts w:cs="Times New Roman"/>
          <w:color w:val="000000" w:themeColor="text1"/>
          <w:szCs w:val="22"/>
          <w:lang w:eastAsia="en-US"/>
        </w:rPr>
      </w:pPr>
      <w:r w:rsidRPr="00D6259F">
        <w:rPr>
          <w:rFonts w:cs="Times New Roman"/>
          <w:color w:val="000000" w:themeColor="text1"/>
          <w:szCs w:val="22"/>
          <w:lang w:eastAsia="en-US"/>
        </w:rPr>
        <w:t>The scarcity of disposal sites within the Wellington area has resulted in substantial increases in disposal and transportation costs.</w:t>
      </w:r>
    </w:p>
    <w:p w14:paraId="3C1CBFC0" w14:textId="24BA63F2" w:rsidR="006452D7" w:rsidRPr="00D6259F" w:rsidRDefault="006452D7" w:rsidP="006452D7">
      <w:pPr>
        <w:pStyle w:val="Default"/>
        <w:numPr>
          <w:ilvl w:val="0"/>
          <w:numId w:val="54"/>
        </w:numPr>
        <w:spacing w:after="100" w:afterAutospacing="1"/>
        <w:rPr>
          <w:color w:val="000000" w:themeColor="text1"/>
          <w:lang w:eastAsia="en-US"/>
        </w:rPr>
      </w:pPr>
      <w:r w:rsidRPr="00D6259F">
        <w:rPr>
          <w:color w:val="000000" w:themeColor="text1"/>
          <w:lang w:eastAsia="en-US"/>
        </w:rPr>
        <w:t>Inclusion of on-cost adjustments (e.g. professional fees) for above-ground water assets which were previously not included.</w:t>
      </w:r>
    </w:p>
    <w:p w14:paraId="4753BB63" w14:textId="60EF0E55" w:rsidR="006452D7" w:rsidRPr="00D6259F" w:rsidRDefault="006452D7" w:rsidP="006452D7">
      <w:pPr>
        <w:pStyle w:val="Default"/>
        <w:numPr>
          <w:ilvl w:val="0"/>
          <w:numId w:val="54"/>
        </w:numPr>
        <w:spacing w:after="100" w:afterAutospacing="1" w:line="276" w:lineRule="auto"/>
        <w:rPr>
          <w:rFonts w:cs="Times New Roman"/>
          <w:color w:val="000000" w:themeColor="text1"/>
          <w:szCs w:val="22"/>
          <w:lang w:eastAsia="en-US"/>
        </w:rPr>
      </w:pPr>
      <w:r w:rsidRPr="00D6259F">
        <w:rPr>
          <w:color w:val="000000" w:themeColor="text1"/>
        </w:rPr>
        <w:t>Increase in the valuation of pump and pump stations aided by improvements to the completeness of the dataset.</w:t>
      </w:r>
    </w:p>
    <w:p w14:paraId="138D4F7F" w14:textId="722410FF" w:rsidR="006452D7" w:rsidRPr="00D6259F" w:rsidRDefault="006452D7" w:rsidP="006452D7">
      <w:pPr>
        <w:pStyle w:val="Default"/>
        <w:spacing w:after="100" w:afterAutospacing="1" w:line="276" w:lineRule="auto"/>
        <w:rPr>
          <w:color w:val="000000" w:themeColor="text1"/>
        </w:rPr>
      </w:pPr>
      <w:r w:rsidRPr="00D6259F">
        <w:rPr>
          <w:color w:val="000000" w:themeColor="text1"/>
        </w:rPr>
        <w:t xml:space="preserve">The unit rates used in the revaluation are a fair reflection of the optimised </w:t>
      </w:r>
      <w:r w:rsidR="002A7D0F" w:rsidRPr="00D6259F">
        <w:rPr>
          <w:color w:val="000000" w:themeColor="text1"/>
        </w:rPr>
        <w:t>depreciated</w:t>
      </w:r>
      <w:r w:rsidRPr="00D6259F">
        <w:rPr>
          <w:color w:val="000000" w:themeColor="text1"/>
        </w:rPr>
        <w:t xml:space="preserve"> replacement cost of the three water assets based on current contract pricing from actual suppliers.</w:t>
      </w:r>
    </w:p>
    <w:p w14:paraId="787A5890" w14:textId="77777777" w:rsidR="00D55444" w:rsidRPr="00D6259F" w:rsidRDefault="00D55444" w:rsidP="00D55444">
      <w:pPr>
        <w:rPr>
          <w:rFonts w:ascii="Calibri" w:hAnsi="Calibri"/>
          <w:b/>
          <w:bCs/>
          <w:i/>
          <w:iCs/>
          <w:color w:val="000000" w:themeColor="text1"/>
        </w:rPr>
      </w:pPr>
      <w:r w:rsidRPr="00D6259F">
        <w:rPr>
          <w:b/>
          <w:bCs/>
          <w:i/>
          <w:iCs/>
          <w:color w:val="000000" w:themeColor="text1"/>
        </w:rPr>
        <w:t xml:space="preserve">Sustainability of unit rates </w:t>
      </w:r>
    </w:p>
    <w:p w14:paraId="2800A01F" w14:textId="02EBAD07" w:rsidR="00D55444" w:rsidRPr="00D6259F" w:rsidRDefault="00D55444" w:rsidP="00D55444">
      <w:pPr>
        <w:rPr>
          <w:color w:val="000000" w:themeColor="text1"/>
        </w:rPr>
      </w:pPr>
      <w:r w:rsidRPr="00D6259F">
        <w:rPr>
          <w:color w:val="000000" w:themeColor="text1"/>
        </w:rPr>
        <w:t>Over the last few years Council’s across the Wellington region have requested Wellington Water Ltd (WWL) to significantly step up the capital investment programme to address the backlog in the work needed to upgrade ageing infrastructure, deliver growth related infrastructure as well as improve responsiveness to issues such as water leaks. The economic context during this period has seen a range of cost pressure impacts, with high inflation and high construction and resourcing costs.  </w:t>
      </w:r>
    </w:p>
    <w:p w14:paraId="1A83785E" w14:textId="071CE584" w:rsidR="000E78E3" w:rsidRPr="00D6259F" w:rsidRDefault="000E78E3" w:rsidP="000E78E3">
      <w:pPr>
        <w:rPr>
          <w:color w:val="000000" w:themeColor="text1"/>
        </w:rPr>
      </w:pPr>
      <w:r w:rsidRPr="00D6259F">
        <w:rPr>
          <w:color w:val="000000" w:themeColor="text1"/>
        </w:rPr>
        <w:t>The fair value of the Council’s three waters assets is estimated with reference to recent contract costs incurred in this economic context. There are risks that contract costs may significantly change for the reasons outlined below. This increases the uncertainty over the estimated fair value of these assets.</w:t>
      </w:r>
    </w:p>
    <w:p w14:paraId="4476C190" w14:textId="77777777" w:rsidR="00D55444" w:rsidRPr="00D6259F" w:rsidRDefault="00D55444" w:rsidP="00D55444">
      <w:pPr>
        <w:rPr>
          <w:color w:val="000000" w:themeColor="text1"/>
          <w14:ligatures w14:val="standardContextual"/>
        </w:rPr>
      </w:pPr>
      <w:r w:rsidRPr="00D6259F">
        <w:rPr>
          <w:color w:val="000000" w:themeColor="text1"/>
        </w:rPr>
        <w:t xml:space="preserve">WWL is responsible for the procurement aspects of the three waters investment programme and have procurement panels in place to support the delivery. WWL has recently advised that review work is to be undertaken in 2024/25 of the procurement arrangements for their contractor and consultancy panels to determine if they are providing councils and communities with value for money. It is uncertain at this stage what the outcome of this review will be and whether it will result in better value for money in the future, such as lower pricing of works. </w:t>
      </w:r>
    </w:p>
    <w:p w14:paraId="7E361943" w14:textId="549F7F7F" w:rsidR="00D55444" w:rsidRPr="00D6259F" w:rsidRDefault="00D55444" w:rsidP="00D55444">
      <w:pPr>
        <w:rPr>
          <w:color w:val="000000" w:themeColor="text1"/>
        </w:rPr>
      </w:pPr>
      <w:r w:rsidRPr="00D6259F">
        <w:rPr>
          <w:color w:val="000000" w:themeColor="text1"/>
        </w:rPr>
        <w:t xml:space="preserve">There is significant work underway in the Greater Wellington region in response to the </w:t>
      </w:r>
      <w:r w:rsidR="00613A7C" w:rsidRPr="00D6259F">
        <w:rPr>
          <w:color w:val="000000" w:themeColor="text1"/>
        </w:rPr>
        <w:t>G</w:t>
      </w:r>
      <w:r w:rsidRPr="00D6259F">
        <w:rPr>
          <w:color w:val="000000" w:themeColor="text1"/>
        </w:rPr>
        <w:t>overnment</w:t>
      </w:r>
      <w:r w:rsidR="00613A7C" w:rsidRPr="00D6259F">
        <w:rPr>
          <w:color w:val="000000" w:themeColor="text1"/>
        </w:rPr>
        <w:t>’</w:t>
      </w:r>
      <w:r w:rsidRPr="00D6259F">
        <w:rPr>
          <w:color w:val="000000" w:themeColor="text1"/>
        </w:rPr>
        <w:t xml:space="preserve">s “Local Water Done Well” policy to develop a regional approach for a joint Water Services Delivery Plan and delivery model. It is envisaged that a new Water Services Council Controlled Organisation would be established </w:t>
      </w:r>
      <w:r w:rsidR="00613A7C" w:rsidRPr="00D6259F">
        <w:rPr>
          <w:color w:val="000000" w:themeColor="text1"/>
        </w:rPr>
        <w:t>to</w:t>
      </w:r>
      <w:r w:rsidRPr="00D6259F">
        <w:rPr>
          <w:color w:val="000000" w:themeColor="text1"/>
        </w:rPr>
        <w:t xml:space="preserve"> achieve a range of benefits, such as better compliance and network performance through more investment, together with scale to enable efficiency and continuous improvement. It is uncertain at this stage, but over the medium to long</w:t>
      </w:r>
      <w:r w:rsidR="00443A2C" w:rsidRPr="00D6259F">
        <w:rPr>
          <w:color w:val="000000" w:themeColor="text1"/>
        </w:rPr>
        <w:t>-</w:t>
      </w:r>
      <w:r w:rsidRPr="00D6259F">
        <w:rPr>
          <w:color w:val="000000" w:themeColor="text1"/>
        </w:rPr>
        <w:t>term there may be better value for money achieved through a new approach to water services delivery in the Wellington region, with differing costs which may potentially bring down asset values in the future.</w:t>
      </w:r>
    </w:p>
    <w:p w14:paraId="62A2DB75" w14:textId="77777777" w:rsidR="000E78E3" w:rsidRPr="00D6259F" w:rsidRDefault="000E78E3" w:rsidP="00D55444">
      <w:pPr>
        <w:rPr>
          <w:color w:val="000000" w:themeColor="text1"/>
        </w:rPr>
      </w:pPr>
    </w:p>
    <w:p w14:paraId="0EABFB8F" w14:textId="77777777" w:rsidR="000E78E3" w:rsidRPr="00D6259F" w:rsidRDefault="000E78E3" w:rsidP="00D55444">
      <w:pPr>
        <w:rPr>
          <w:color w:val="000000" w:themeColor="text1"/>
        </w:rPr>
      </w:pPr>
    </w:p>
    <w:p w14:paraId="4CF37269" w14:textId="77777777" w:rsidR="000E78E3" w:rsidRPr="00D6259F" w:rsidRDefault="000E78E3" w:rsidP="00D55444">
      <w:pPr>
        <w:rPr>
          <w:color w:val="000000" w:themeColor="text1"/>
        </w:rPr>
      </w:pPr>
    </w:p>
    <w:p w14:paraId="69E1543B" w14:textId="77777777" w:rsidR="00E61AC4" w:rsidRPr="00D6259F" w:rsidRDefault="00E61AC4" w:rsidP="00E61AC4">
      <w:pPr>
        <w:spacing w:after="0"/>
        <w:textAlignment w:val="baseline"/>
        <w:rPr>
          <w:b/>
          <w:bCs/>
          <w:color w:val="000000" w:themeColor="text1"/>
        </w:rPr>
      </w:pPr>
      <w:r w:rsidRPr="00D6259F">
        <w:rPr>
          <w:b/>
          <w:bCs/>
          <w:color w:val="000000" w:themeColor="text1"/>
        </w:rPr>
        <w:lastRenderedPageBreak/>
        <w:t>Roading  </w:t>
      </w:r>
    </w:p>
    <w:p w14:paraId="7831F337" w14:textId="77777777" w:rsidR="00BB0BEE" w:rsidRPr="00D6259F" w:rsidRDefault="00BB0BEE" w:rsidP="00BB0BEE">
      <w:pPr>
        <w:pStyle w:val="ListParagraph"/>
        <w:spacing w:after="100" w:afterAutospacing="1"/>
        <w:ind w:left="0"/>
        <w:rPr>
          <w:rFonts w:ascii="Calibri" w:hAnsi="Calibri"/>
          <w:color w:val="000000" w:themeColor="text1"/>
        </w:rPr>
      </w:pPr>
      <w:r w:rsidRPr="00D6259F">
        <w:rPr>
          <w:color w:val="000000" w:themeColor="text1"/>
        </w:rPr>
        <w:t xml:space="preserve">The roading networks were last revalued as </w:t>
      </w:r>
      <w:proofErr w:type="gramStart"/>
      <w:r w:rsidRPr="00D6259F">
        <w:rPr>
          <w:color w:val="000000" w:themeColor="text1"/>
        </w:rPr>
        <w:t>at</w:t>
      </w:r>
      <w:proofErr w:type="gramEnd"/>
      <w:r w:rsidRPr="00D6259F">
        <w:rPr>
          <w:color w:val="000000" w:themeColor="text1"/>
        </w:rPr>
        <w:t xml:space="preserve"> 30 June 2022 by John </w:t>
      </w:r>
      <w:proofErr w:type="spellStart"/>
      <w:r w:rsidRPr="00D6259F">
        <w:rPr>
          <w:color w:val="000000" w:themeColor="text1"/>
        </w:rPr>
        <w:t>Vessey</w:t>
      </w:r>
      <w:proofErr w:type="spellEnd"/>
      <w:r w:rsidRPr="00D6259F">
        <w:rPr>
          <w:color w:val="000000" w:themeColor="text1"/>
        </w:rPr>
        <w:t xml:space="preserve"> (MIPENZ), Partner of WSP. In early 2024, the movement in the fair value of infrastructure assets between 30 June 2022 and 30 June 2024 was assessed by independent valuer WSP and the increase in fair value was considered material by management. Accordingly, a fair value indexation uplift, as assessed by WSP, has been applied to the roading network asset values as </w:t>
      </w:r>
      <w:proofErr w:type="gramStart"/>
      <w:r w:rsidRPr="00D6259F">
        <w:rPr>
          <w:color w:val="000000" w:themeColor="text1"/>
        </w:rPr>
        <w:t>at</w:t>
      </w:r>
      <w:proofErr w:type="gramEnd"/>
      <w:r w:rsidRPr="00D6259F">
        <w:rPr>
          <w:color w:val="000000" w:themeColor="text1"/>
        </w:rPr>
        <w:t xml:space="preserve"> 30 June 2024. The increase in fair value is mainly due to increases in the unit rate costs for construction and increases in on-cost adjustments. On-costs are applied to allow for all expenses incidental to the asset acquisition and all costs directly attributable to bringing the asset into working condition and location. These additional costs include professional fees, administration costs and contingencies. </w:t>
      </w:r>
    </w:p>
    <w:p w14:paraId="236AC72C" w14:textId="77777777" w:rsidR="00BB0BEE" w:rsidRPr="00D6259F" w:rsidRDefault="00BB0BEE" w:rsidP="00BB0BEE">
      <w:pPr>
        <w:spacing w:after="100" w:afterAutospacing="1"/>
        <w:rPr>
          <w:color w:val="000000" w:themeColor="text1"/>
        </w:rPr>
      </w:pPr>
      <w:r w:rsidRPr="00D6259F">
        <w:rPr>
          <w:color w:val="000000" w:themeColor="text1"/>
        </w:rPr>
        <w:t xml:space="preserve">Next year, a full revaluation will be completed as </w:t>
      </w:r>
      <w:proofErr w:type="gramStart"/>
      <w:r w:rsidRPr="00D6259F">
        <w:rPr>
          <w:color w:val="000000" w:themeColor="text1"/>
        </w:rPr>
        <w:t>at</w:t>
      </w:r>
      <w:proofErr w:type="gramEnd"/>
      <w:r w:rsidRPr="00D6259F">
        <w:rPr>
          <w:color w:val="000000" w:themeColor="text1"/>
        </w:rPr>
        <w:t xml:space="preserve"> 30 June 2025, in line with the 3-year cycle. </w:t>
      </w:r>
    </w:p>
    <w:p w14:paraId="48A85B90" w14:textId="075FD496" w:rsidR="00E61AC4" w:rsidRPr="00D6259F" w:rsidRDefault="00E61AC4" w:rsidP="00E61AC4">
      <w:pPr>
        <w:spacing w:after="0"/>
        <w:textAlignment w:val="baseline"/>
        <w:rPr>
          <w:b/>
          <w:bCs/>
          <w:color w:val="000000" w:themeColor="text1"/>
        </w:rPr>
      </w:pPr>
      <w:r w:rsidRPr="00D6259F">
        <w:rPr>
          <w:b/>
          <w:bCs/>
          <w:color w:val="000000" w:themeColor="text1"/>
        </w:rPr>
        <w:t>Infrastructure land </w:t>
      </w:r>
    </w:p>
    <w:p w14:paraId="7DCD8FF4" w14:textId="4A3438C6" w:rsidR="00E61AC4" w:rsidRPr="00D6259F" w:rsidRDefault="00AA31F1" w:rsidP="00E61AC4">
      <w:pPr>
        <w:spacing w:after="0"/>
        <w:jc w:val="both"/>
        <w:textAlignment w:val="baseline"/>
        <w:rPr>
          <w:color w:val="000000" w:themeColor="text1"/>
        </w:rPr>
      </w:pPr>
      <w:r w:rsidRPr="00D6259F">
        <w:rPr>
          <w:color w:val="000000" w:themeColor="text1"/>
        </w:rPr>
        <w:t>I</w:t>
      </w:r>
      <w:r w:rsidR="00E61AC4" w:rsidRPr="00D6259F">
        <w:rPr>
          <w:color w:val="000000" w:themeColor="text1"/>
        </w:rPr>
        <w:t xml:space="preserve">nfrastructure land assets were last </w:t>
      </w:r>
      <w:r w:rsidR="007A610E" w:rsidRPr="00D6259F">
        <w:rPr>
          <w:color w:val="000000" w:themeColor="text1"/>
        </w:rPr>
        <w:t>re</w:t>
      </w:r>
      <w:r w:rsidR="00E61AC4" w:rsidRPr="00D6259F">
        <w:rPr>
          <w:color w:val="000000" w:themeColor="text1"/>
        </w:rPr>
        <w:t xml:space="preserve">valued as </w:t>
      </w:r>
      <w:proofErr w:type="gramStart"/>
      <w:r w:rsidR="00E61AC4" w:rsidRPr="00D6259F">
        <w:rPr>
          <w:color w:val="000000" w:themeColor="text1"/>
        </w:rPr>
        <w:t>at</w:t>
      </w:r>
      <w:proofErr w:type="gramEnd"/>
      <w:r w:rsidR="00E61AC4" w:rsidRPr="00D6259F">
        <w:rPr>
          <w:color w:val="000000" w:themeColor="text1"/>
        </w:rPr>
        <w:t xml:space="preserve"> 30 June 2022 by William Bunt (FNZIV, FPINZI), registered valuer and Director of Valuation Services for CBRE Limited.</w:t>
      </w:r>
      <w:r w:rsidR="00C4341A" w:rsidRPr="00D6259F">
        <w:rPr>
          <w:color w:val="000000" w:themeColor="text1"/>
        </w:rPr>
        <w:t xml:space="preserve"> </w:t>
      </w:r>
      <w:r w:rsidR="007A610E" w:rsidRPr="00D6259F">
        <w:rPr>
          <w:color w:val="000000" w:themeColor="text1"/>
        </w:rPr>
        <w:t xml:space="preserve">The next </w:t>
      </w:r>
      <w:r w:rsidR="00C4341A" w:rsidRPr="00D6259F">
        <w:rPr>
          <w:color w:val="000000" w:themeColor="text1"/>
        </w:rPr>
        <w:t xml:space="preserve">full valuation is due to be completed </w:t>
      </w:r>
      <w:r w:rsidR="00655B5D" w:rsidRPr="00D6259F">
        <w:rPr>
          <w:color w:val="000000" w:themeColor="text1"/>
        </w:rPr>
        <w:t xml:space="preserve">as </w:t>
      </w:r>
      <w:proofErr w:type="gramStart"/>
      <w:r w:rsidR="00655B5D" w:rsidRPr="00D6259F">
        <w:rPr>
          <w:color w:val="000000" w:themeColor="text1"/>
        </w:rPr>
        <w:t>at</w:t>
      </w:r>
      <w:proofErr w:type="gramEnd"/>
      <w:r w:rsidR="00655B5D" w:rsidRPr="00D6259F">
        <w:rPr>
          <w:color w:val="000000" w:themeColor="text1"/>
        </w:rPr>
        <w:t xml:space="preserve"> </w:t>
      </w:r>
      <w:r w:rsidR="00C4341A" w:rsidRPr="00D6259F">
        <w:rPr>
          <w:color w:val="000000" w:themeColor="text1"/>
        </w:rPr>
        <w:t>30 June 2025.</w:t>
      </w:r>
      <w:r w:rsidR="00E61AC4" w:rsidRPr="00D6259F">
        <w:rPr>
          <w:color w:val="000000" w:themeColor="text1"/>
        </w:rPr>
        <w:t>  </w:t>
      </w:r>
    </w:p>
    <w:p w14:paraId="283EF29B" w14:textId="77777777" w:rsidR="00E61AC4" w:rsidRPr="00D6259F" w:rsidRDefault="00E61AC4" w:rsidP="00E61AC4">
      <w:pPr>
        <w:spacing w:after="0" w:line="240" w:lineRule="auto"/>
        <w:jc w:val="both"/>
        <w:textAlignment w:val="baseline"/>
        <w:rPr>
          <w:rFonts w:ascii="Segoe UI" w:eastAsia="Times New Roman" w:hAnsi="Segoe UI" w:cs="Segoe UI"/>
          <w:color w:val="000000" w:themeColor="text1"/>
          <w:sz w:val="18"/>
          <w:szCs w:val="18"/>
          <w:lang w:eastAsia="en-NZ"/>
        </w:rPr>
      </w:pPr>
    </w:p>
    <w:p w14:paraId="0E0BF8DE" w14:textId="428321D4" w:rsidR="00D422B1" w:rsidRPr="00D6259F" w:rsidRDefault="00D422B1" w:rsidP="00C034D8">
      <w:pPr>
        <w:rPr>
          <w:color w:val="000000" w:themeColor="text1"/>
        </w:rPr>
      </w:pPr>
      <w:r w:rsidRPr="00D6259F">
        <w:rPr>
          <w:color w:val="000000" w:themeColor="text1"/>
        </w:rPr>
        <w:t xml:space="preserve">Further information on revaluation reserves and movements is contained in </w:t>
      </w:r>
      <w:r w:rsidRPr="00D6259F">
        <w:rPr>
          <w:i/>
          <w:iCs/>
          <w:color w:val="000000" w:themeColor="text1"/>
        </w:rPr>
        <w:t>Note 2</w:t>
      </w:r>
      <w:r w:rsidR="001E5182" w:rsidRPr="00D6259F">
        <w:rPr>
          <w:i/>
          <w:iCs/>
          <w:color w:val="000000" w:themeColor="text1"/>
        </w:rPr>
        <w:t>8</w:t>
      </w:r>
      <w:r w:rsidRPr="00D6259F">
        <w:rPr>
          <w:i/>
          <w:iCs/>
          <w:color w:val="000000" w:themeColor="text1"/>
        </w:rPr>
        <w:t>: Revaluation reserves</w:t>
      </w:r>
      <w:r w:rsidRPr="00D6259F">
        <w:rPr>
          <w:color w:val="000000" w:themeColor="text1"/>
        </w:rPr>
        <w:t xml:space="preserve"> (</w:t>
      </w:r>
      <w:r w:rsidR="00A568AA" w:rsidRPr="00D6259F">
        <w:rPr>
          <w:color w:val="000000" w:themeColor="text1"/>
        </w:rPr>
        <w:t>page</w:t>
      </w:r>
      <w:r w:rsidR="00E0442C" w:rsidRPr="00D6259F">
        <w:rPr>
          <w:color w:val="000000" w:themeColor="text1"/>
        </w:rPr>
        <w:t xml:space="preserve"> </w:t>
      </w:r>
      <w:r w:rsidR="00921C9A" w:rsidRPr="00D6259F">
        <w:rPr>
          <w:color w:val="000000" w:themeColor="text1"/>
        </w:rPr>
        <w:t>84</w:t>
      </w:r>
      <w:r w:rsidRPr="00D6259F">
        <w:rPr>
          <w:color w:val="000000" w:themeColor="text1"/>
        </w:rPr>
        <w:t>).</w:t>
      </w:r>
    </w:p>
    <w:p w14:paraId="7C57119F" w14:textId="77777777" w:rsidR="00D422B1" w:rsidRPr="00D6259F" w:rsidRDefault="00D422B1" w:rsidP="00C034D8">
      <w:pPr>
        <w:pStyle w:val="Heading3"/>
      </w:pPr>
      <w:bookmarkStart w:id="117" w:name="_Toc121217117"/>
      <w:bookmarkEnd w:id="114"/>
      <w:r w:rsidRPr="00D6259F">
        <w:t>Significant acquisitions and replacements of assets</w:t>
      </w:r>
      <w:bookmarkEnd w:id="117"/>
    </w:p>
    <w:p w14:paraId="44F51087" w14:textId="7D56709C" w:rsidR="009F0027" w:rsidRPr="00D6259F" w:rsidRDefault="00D422B1" w:rsidP="009F0027">
      <w:pPr>
        <w:rPr>
          <w:color w:val="000000" w:themeColor="text1"/>
        </w:rPr>
      </w:pPr>
      <w:r w:rsidRPr="00D6259F">
        <w:rPr>
          <w:color w:val="000000" w:themeColor="text1"/>
        </w:rPr>
        <w:t xml:space="preserve">In accordance with the provisions of Schedule 10 of the </w:t>
      </w:r>
      <w:r w:rsidR="00F2150F" w:rsidRPr="00D6259F">
        <w:rPr>
          <w:color w:val="000000" w:themeColor="text1"/>
        </w:rPr>
        <w:t>LGA</w:t>
      </w:r>
      <w:r w:rsidRPr="00D6259F">
        <w:rPr>
          <w:color w:val="000000" w:themeColor="text1"/>
        </w:rPr>
        <w:t xml:space="preserve"> 2002, information in respect of significant acquisitions and replacements of assets is reported within the Statements of Service P</w:t>
      </w:r>
      <w:r w:rsidR="00EC2956" w:rsidRPr="00D6259F">
        <w:rPr>
          <w:color w:val="000000" w:themeColor="text1"/>
        </w:rPr>
        <w:t>erformance</w:t>
      </w:r>
      <w:r w:rsidR="009F0027" w:rsidRPr="00D6259F">
        <w:rPr>
          <w:color w:val="000000" w:themeColor="text1"/>
        </w:rPr>
        <w:t xml:space="preserve"> (</w:t>
      </w:r>
      <w:r w:rsidR="009F0027" w:rsidRPr="00D6259F">
        <w:rPr>
          <w:color w:val="000000" w:themeColor="text1"/>
          <w:lang w:eastAsia="en-GB"/>
        </w:rPr>
        <w:t xml:space="preserve">refer to Section 4: Our performance in detail (Volume 1, page </w:t>
      </w:r>
      <w:r w:rsidR="00215DF4" w:rsidRPr="00D6259F">
        <w:rPr>
          <w:color w:val="000000" w:themeColor="text1"/>
          <w:lang w:eastAsia="en-GB"/>
        </w:rPr>
        <w:t>36 to 134</w:t>
      </w:r>
      <w:r w:rsidR="009F0027" w:rsidRPr="00D6259F">
        <w:rPr>
          <w:color w:val="000000" w:themeColor="text1"/>
          <w:lang w:eastAsia="en-GB"/>
        </w:rPr>
        <w:t>).</w:t>
      </w:r>
    </w:p>
    <w:p w14:paraId="02781BF7" w14:textId="7E9EC339" w:rsidR="00C31A4A" w:rsidRPr="00D6259F" w:rsidRDefault="00C31A4A" w:rsidP="00C034D8">
      <w:pPr>
        <w:pStyle w:val="Heading3"/>
      </w:pPr>
      <w:bookmarkStart w:id="118" w:name="_Toc121217118"/>
      <w:r w:rsidRPr="00D6259F">
        <w:t xml:space="preserve">Service concession </w:t>
      </w:r>
      <w:proofErr w:type="gramStart"/>
      <w:r w:rsidRPr="00D6259F">
        <w:t>arrangements</w:t>
      </w:r>
      <w:bookmarkEnd w:id="118"/>
      <w:proofErr w:type="gramEnd"/>
    </w:p>
    <w:p w14:paraId="54D59005" w14:textId="78A6BC09" w:rsidR="00C31A4A" w:rsidRPr="00D6259F" w:rsidRDefault="00C31A4A" w:rsidP="00C034D8">
      <w:pPr>
        <w:rPr>
          <w:color w:val="000000" w:themeColor="text1"/>
        </w:rPr>
      </w:pPr>
      <w:r w:rsidRPr="00D6259F">
        <w:rPr>
          <w:color w:val="000000" w:themeColor="text1"/>
        </w:rPr>
        <w:t xml:space="preserve">The Council’s service concession assets consist of the Moa Point treatment plant, including the sludge dewatering plant at Carey’s Gully, and Western (Karori) wastewater treatment plant. These facilities are owned by the Council, and included within infrastructure assets, but operated by Veolia Water under a contract with Wellington Water Limited. The contract also covers the Porirua wastewater treatment plant which is operating under a joint </w:t>
      </w:r>
      <w:r w:rsidR="009B2EB0" w:rsidRPr="00D6259F">
        <w:rPr>
          <w:color w:val="000000" w:themeColor="text1"/>
        </w:rPr>
        <w:t>operation</w:t>
      </w:r>
      <w:r w:rsidRPr="00D6259F">
        <w:rPr>
          <w:color w:val="000000" w:themeColor="text1"/>
        </w:rPr>
        <w:t xml:space="preserve"> with Porirua City Council.</w:t>
      </w:r>
    </w:p>
    <w:p w14:paraId="2002FFFD" w14:textId="77777777" w:rsidR="00C31A4A" w:rsidRPr="00D6259F" w:rsidRDefault="00C31A4A" w:rsidP="00C034D8">
      <w:pPr>
        <w:rPr>
          <w:color w:val="000000" w:themeColor="text1"/>
        </w:rPr>
      </w:pPr>
      <w:r w:rsidRPr="00D6259F">
        <w:rPr>
          <w:color w:val="000000" w:themeColor="text1"/>
        </w:rPr>
        <w:t>The Council incurs all associated operating expenses through the on-charged costs paid to Wellington Water Limited.</w:t>
      </w:r>
    </w:p>
    <w:p w14:paraId="2E23542B" w14:textId="77777777" w:rsidR="00C31A4A" w:rsidRPr="00D6259F" w:rsidRDefault="00C31A4A" w:rsidP="00C034D8">
      <w:pPr>
        <w:rPr>
          <w:color w:val="000000" w:themeColor="text1"/>
        </w:rPr>
      </w:pPr>
      <w:r w:rsidRPr="00D6259F">
        <w:rPr>
          <w:color w:val="000000" w:themeColor="text1"/>
        </w:rPr>
        <w:t xml:space="preserve">The Council has a contract with Veolia Water, which covers the wastewater treatment plants of Wellington, </w:t>
      </w:r>
      <w:proofErr w:type="gramStart"/>
      <w:r w:rsidRPr="00D6259F">
        <w:rPr>
          <w:color w:val="000000" w:themeColor="text1"/>
        </w:rPr>
        <w:t>Porirua</w:t>
      </w:r>
      <w:proofErr w:type="gramEnd"/>
      <w:r w:rsidRPr="00D6259F">
        <w:rPr>
          <w:color w:val="000000" w:themeColor="text1"/>
        </w:rPr>
        <w:t xml:space="preserve"> and Hutt City councils. The contract expires 30 June 2030 with two rights of renewal for further subsequent terms of three and two years respectively. </w:t>
      </w:r>
    </w:p>
    <w:p w14:paraId="1C60C57F" w14:textId="7A837D3C" w:rsidR="00C31A4A" w:rsidRPr="00D6259F" w:rsidRDefault="00C31A4A" w:rsidP="00C034D8">
      <w:pPr>
        <w:rPr>
          <w:color w:val="000000" w:themeColor="text1"/>
        </w:rPr>
      </w:pPr>
      <w:bookmarkStart w:id="119" w:name="_Hlk143793523"/>
      <w:bookmarkStart w:id="120" w:name="_Hlk86733239"/>
      <w:r w:rsidRPr="00D6259F">
        <w:rPr>
          <w:color w:val="000000" w:themeColor="text1"/>
        </w:rPr>
        <w:t>The carrying value of these service concession assets for the Council and</w:t>
      </w:r>
      <w:r w:rsidR="006020F7" w:rsidRPr="00D6259F">
        <w:rPr>
          <w:color w:val="000000" w:themeColor="text1"/>
        </w:rPr>
        <w:t xml:space="preserve"> Group</w:t>
      </w:r>
      <w:r w:rsidRPr="00D6259F">
        <w:rPr>
          <w:color w:val="000000" w:themeColor="text1"/>
        </w:rPr>
        <w:t xml:space="preserve"> is </w:t>
      </w:r>
      <w:r w:rsidR="003C32D4" w:rsidRPr="00D6259F">
        <w:rPr>
          <w:color w:val="000000" w:themeColor="text1"/>
        </w:rPr>
        <w:t>$183.2m</w:t>
      </w:r>
      <w:r w:rsidR="007A5378" w:rsidRPr="00D6259F">
        <w:rPr>
          <w:color w:val="000000" w:themeColor="text1"/>
          <w:lang w:eastAsia="en-GB"/>
        </w:rPr>
        <w:t xml:space="preserve"> </w:t>
      </w:r>
      <w:r w:rsidR="007A5378" w:rsidRPr="00D6259F">
        <w:rPr>
          <w:color w:val="000000" w:themeColor="text1"/>
        </w:rPr>
        <w:t>(</w:t>
      </w:r>
      <w:r w:rsidRPr="00D6259F">
        <w:rPr>
          <w:color w:val="000000" w:themeColor="text1"/>
        </w:rPr>
        <w:t>202</w:t>
      </w:r>
      <w:r w:rsidR="00615577" w:rsidRPr="00D6259F">
        <w:rPr>
          <w:color w:val="000000" w:themeColor="text1"/>
        </w:rPr>
        <w:t>3</w:t>
      </w:r>
      <w:r w:rsidRPr="00D6259F">
        <w:rPr>
          <w:color w:val="000000" w:themeColor="text1"/>
        </w:rPr>
        <w:t>: $</w:t>
      </w:r>
      <w:r w:rsidR="00615577" w:rsidRPr="00D6259F">
        <w:rPr>
          <w:color w:val="000000" w:themeColor="text1"/>
        </w:rPr>
        <w:t>146.</w:t>
      </w:r>
      <w:r w:rsidR="00BE1B26" w:rsidRPr="00D6259F">
        <w:rPr>
          <w:color w:val="000000" w:themeColor="text1"/>
        </w:rPr>
        <w:t>1</w:t>
      </w:r>
      <w:r w:rsidR="00615577" w:rsidRPr="00D6259F">
        <w:rPr>
          <w:color w:val="000000" w:themeColor="text1"/>
        </w:rPr>
        <w:t>m</w:t>
      </w:r>
      <w:r w:rsidRPr="00D6259F">
        <w:rPr>
          <w:color w:val="000000" w:themeColor="text1"/>
        </w:rPr>
        <w:t xml:space="preserve">). </w:t>
      </w:r>
    </w:p>
    <w:p w14:paraId="0B506539" w14:textId="77777777" w:rsidR="00613A7C" w:rsidRPr="00D6259F" w:rsidRDefault="00613A7C" w:rsidP="00C034D8">
      <w:pPr>
        <w:rPr>
          <w:color w:val="000000" w:themeColor="text1"/>
        </w:rPr>
      </w:pPr>
    </w:p>
    <w:p w14:paraId="6D757CA9" w14:textId="77777777" w:rsidR="00613A7C" w:rsidRPr="00D6259F" w:rsidRDefault="00613A7C" w:rsidP="00C034D8">
      <w:pPr>
        <w:rPr>
          <w:color w:val="000000" w:themeColor="text1"/>
        </w:rPr>
      </w:pPr>
    </w:p>
    <w:p w14:paraId="67014F31" w14:textId="77777777" w:rsidR="00613A7C" w:rsidRPr="00D6259F" w:rsidRDefault="00613A7C" w:rsidP="00C034D8">
      <w:pPr>
        <w:rPr>
          <w:color w:val="000000" w:themeColor="text1"/>
        </w:rPr>
      </w:pPr>
    </w:p>
    <w:p w14:paraId="2207A7F3" w14:textId="77777777" w:rsidR="00613A7C" w:rsidRPr="00D6259F" w:rsidRDefault="00613A7C" w:rsidP="00C034D8">
      <w:pPr>
        <w:rPr>
          <w:color w:val="000000" w:themeColor="text1"/>
        </w:rPr>
      </w:pPr>
    </w:p>
    <w:p w14:paraId="478564BD" w14:textId="26FBE7FA" w:rsidR="00D422B1" w:rsidRPr="00D6259F" w:rsidRDefault="00D422B1" w:rsidP="00C034D8">
      <w:pPr>
        <w:pStyle w:val="Heading3"/>
      </w:pPr>
      <w:bookmarkStart w:id="121" w:name="_Toc121217119"/>
      <w:bookmarkEnd w:id="119"/>
      <w:bookmarkEnd w:id="120"/>
      <w:r w:rsidRPr="00D6259F">
        <w:lastRenderedPageBreak/>
        <w:t>Core Assets</w:t>
      </w:r>
      <w:bookmarkEnd w:id="121"/>
    </w:p>
    <w:p w14:paraId="63768B10" w14:textId="6F500DC4" w:rsidR="00D422B1" w:rsidRPr="00D6259F" w:rsidRDefault="00D422B1" w:rsidP="00C034D8">
      <w:pPr>
        <w:rPr>
          <w:color w:val="000000" w:themeColor="text1"/>
        </w:rPr>
      </w:pPr>
      <w:r w:rsidRPr="00D6259F">
        <w:rPr>
          <w:color w:val="000000" w:themeColor="text1"/>
        </w:rPr>
        <w:t>Included within the infrastructure assets (</w:t>
      </w:r>
      <w:r w:rsidRPr="00D6259F">
        <w:rPr>
          <w:i/>
          <w:iCs/>
          <w:color w:val="000000" w:themeColor="text1"/>
        </w:rPr>
        <w:t xml:space="preserve">Table </w:t>
      </w:r>
      <w:r w:rsidR="00921C9A" w:rsidRPr="00D6259F">
        <w:rPr>
          <w:i/>
          <w:iCs/>
          <w:color w:val="000000" w:themeColor="text1"/>
        </w:rPr>
        <w:t>33</w:t>
      </w:r>
      <w:r w:rsidR="005A1429" w:rsidRPr="00D6259F">
        <w:rPr>
          <w:i/>
          <w:iCs/>
          <w:color w:val="000000" w:themeColor="text1"/>
        </w:rPr>
        <w:t>)</w:t>
      </w:r>
      <w:r w:rsidRPr="00D6259F">
        <w:rPr>
          <w:color w:val="000000" w:themeColor="text1"/>
        </w:rPr>
        <w:t xml:space="preserve"> are the </w:t>
      </w:r>
      <w:r w:rsidR="00322BC2" w:rsidRPr="00D6259F">
        <w:rPr>
          <w:color w:val="000000" w:themeColor="text1"/>
        </w:rPr>
        <w:t>Council’s core</w:t>
      </w:r>
      <w:r w:rsidRPr="00D6259F">
        <w:rPr>
          <w:color w:val="000000" w:themeColor="text1"/>
        </w:rPr>
        <w:t xml:space="preserve"> assets </w:t>
      </w:r>
      <w:r w:rsidR="004F1655" w:rsidRPr="00D6259F">
        <w:rPr>
          <w:color w:val="000000" w:themeColor="text1"/>
        </w:rPr>
        <w:t xml:space="preserve">as </w:t>
      </w:r>
      <w:r w:rsidRPr="00D6259F">
        <w:rPr>
          <w:color w:val="000000" w:themeColor="text1"/>
        </w:rPr>
        <w:t xml:space="preserve">shown in </w:t>
      </w:r>
      <w:r w:rsidRPr="00D6259F">
        <w:rPr>
          <w:i/>
          <w:iCs/>
          <w:color w:val="000000" w:themeColor="text1"/>
        </w:rPr>
        <w:t xml:space="preserve">Table </w:t>
      </w:r>
      <w:r w:rsidR="00921C9A" w:rsidRPr="00D6259F">
        <w:rPr>
          <w:i/>
          <w:iCs/>
          <w:color w:val="000000" w:themeColor="text1"/>
        </w:rPr>
        <w:t>34</w:t>
      </w:r>
      <w:r w:rsidR="006534C6" w:rsidRPr="00D6259F">
        <w:rPr>
          <w:i/>
          <w:iCs/>
          <w:color w:val="000000" w:themeColor="text1"/>
        </w:rPr>
        <w:t>.</w:t>
      </w:r>
    </w:p>
    <w:p w14:paraId="55C1CDF0" w14:textId="30321C90" w:rsidR="00D422B1" w:rsidRPr="00D6259F" w:rsidRDefault="000F20D8" w:rsidP="00C034D8">
      <w:pPr>
        <w:rPr>
          <w:color w:val="000000" w:themeColor="text1"/>
        </w:rPr>
      </w:pPr>
      <w:r w:rsidRPr="00D6259F">
        <w:rPr>
          <w:noProof/>
          <w:color w:val="000000" w:themeColor="text1"/>
        </w:rPr>
        <w:object w:dxaOrig="11175" w:dyaOrig="10515" w14:anchorId="55C78FF5">
          <v:shape id="_x0000_i1071" type="#_x0000_t75" style="width:487pt;height:525pt" o:ole="">
            <v:imagedata r:id="rId100" o:title=""/>
          </v:shape>
          <o:OLEObject Type="Link" ProgID="Excel.Sheet.12" ShapeID="_x0000_i1071" DrawAspect="Content" r:id="rId101" UpdateMode="Always">
            <o:LinkType>EnhancedMetaFile</o:LinkType>
            <o:LockedField>false</o:LockedField>
          </o:OLEObject>
        </w:object>
      </w:r>
    </w:p>
    <w:p w14:paraId="1669EAB1" w14:textId="77777777" w:rsidR="00D422B1" w:rsidRPr="00D6259F" w:rsidRDefault="00D422B1" w:rsidP="00C034D8">
      <w:pPr>
        <w:pStyle w:val="Heading3"/>
      </w:pPr>
      <w:bookmarkStart w:id="122" w:name="_Toc121217120"/>
      <w:bookmarkStart w:id="123" w:name="_Hlk144128627"/>
      <w:r w:rsidRPr="00D6259F">
        <w:lastRenderedPageBreak/>
        <w:t>Insurance of assets</w:t>
      </w:r>
      <w:bookmarkEnd w:id="122"/>
    </w:p>
    <w:bookmarkEnd w:id="123"/>
    <w:p w14:paraId="785D5639" w14:textId="57AB199C" w:rsidR="00D422B1" w:rsidRPr="00D6259F" w:rsidRDefault="000F20D8" w:rsidP="00C034D8">
      <w:pPr>
        <w:rPr>
          <w:color w:val="000000" w:themeColor="text1"/>
        </w:rPr>
      </w:pPr>
      <w:r w:rsidRPr="00D6259F">
        <w:rPr>
          <w:color w:val="000000" w:themeColor="text1"/>
        </w:rPr>
        <w:object w:dxaOrig="9720" w:dyaOrig="3645" w14:anchorId="5FA78C93">
          <v:shape id="_x0000_i1072" type="#_x0000_t75" style="width:461pt;height:181pt" o:ole="">
            <v:imagedata r:id="rId102" o:title=""/>
          </v:shape>
          <o:OLEObject Type="Link" ProgID="Excel.Sheet.12" ShapeID="_x0000_i1072" DrawAspect="Content" r:id="rId103" UpdateMode="Always">
            <o:LinkType>EnhancedMetaFile</o:LinkType>
            <o:LockedField>false</o:LockedField>
          </o:OLEObject>
        </w:object>
      </w:r>
    </w:p>
    <w:p w14:paraId="46187194" w14:textId="78809ADA" w:rsidR="00F83A24" w:rsidRPr="00D6259F" w:rsidRDefault="00F83A24" w:rsidP="00F83A24">
      <w:pPr>
        <w:rPr>
          <w:color w:val="000000" w:themeColor="text1"/>
        </w:rPr>
      </w:pPr>
      <w:bookmarkStart w:id="124" w:name="_Hlk81322332"/>
      <w:r w:rsidRPr="00D6259F">
        <w:rPr>
          <w:color w:val="000000" w:themeColor="text1"/>
        </w:rPr>
        <w:t xml:space="preserve">For insurance purposes, the Council takes a “sum insured” approach to managing most risks, including for damage from a significant natural disaster. This approach recognises the wide-ranging location and type of assets </w:t>
      </w:r>
      <w:r w:rsidR="00670797" w:rsidRPr="00D6259F">
        <w:rPr>
          <w:color w:val="000000" w:themeColor="text1"/>
        </w:rPr>
        <w:t xml:space="preserve">held. </w:t>
      </w:r>
      <w:r w:rsidRPr="00D6259F">
        <w:rPr>
          <w:color w:val="000000" w:themeColor="text1"/>
        </w:rPr>
        <w:t xml:space="preserve"> </w:t>
      </w:r>
    </w:p>
    <w:p w14:paraId="32CA1DD2" w14:textId="06AE836E" w:rsidR="00F83A24" w:rsidRPr="00D6259F" w:rsidRDefault="00F83A24" w:rsidP="00F83A24">
      <w:pPr>
        <w:rPr>
          <w:color w:val="000000" w:themeColor="text1"/>
        </w:rPr>
      </w:pPr>
      <w:bookmarkStart w:id="125" w:name="_Hlk144128820"/>
      <w:r w:rsidRPr="00D6259F">
        <w:rPr>
          <w:color w:val="000000" w:themeColor="text1"/>
        </w:rPr>
        <w:t>We have policies in place for our three main asset classes</w:t>
      </w:r>
      <w:r w:rsidR="00670797" w:rsidRPr="00D6259F">
        <w:rPr>
          <w:color w:val="000000" w:themeColor="text1"/>
        </w:rPr>
        <w:t xml:space="preserve"> as follows</w:t>
      </w:r>
      <w:r w:rsidRPr="00D6259F">
        <w:rPr>
          <w:color w:val="000000" w:themeColor="text1"/>
        </w:rPr>
        <w:t xml:space="preserve">: </w:t>
      </w:r>
    </w:p>
    <w:p w14:paraId="0EE6E014" w14:textId="759D85C5" w:rsidR="00F83A24" w:rsidRPr="00D6259F" w:rsidRDefault="00F83A24" w:rsidP="00BB0BEE">
      <w:pPr>
        <w:pStyle w:val="ListParagraph"/>
        <w:numPr>
          <w:ilvl w:val="0"/>
          <w:numId w:val="36"/>
        </w:numPr>
        <w:rPr>
          <w:color w:val="000000" w:themeColor="text1"/>
        </w:rPr>
      </w:pPr>
      <w:r w:rsidRPr="00D6259F">
        <w:rPr>
          <w:color w:val="000000" w:themeColor="text1"/>
        </w:rPr>
        <w:t xml:space="preserve">Below ground infrastructure (declared replacement value of </w:t>
      </w:r>
      <w:r w:rsidR="004D0568" w:rsidRPr="00D6259F">
        <w:rPr>
          <w:color w:val="000000" w:themeColor="text1"/>
        </w:rPr>
        <w:t>$9.0b (2023: $8.9b)</w:t>
      </w:r>
      <w:r w:rsidRPr="00D6259F">
        <w:rPr>
          <w:color w:val="000000" w:themeColor="text1"/>
        </w:rPr>
        <w:t xml:space="preserve"> </w:t>
      </w:r>
    </w:p>
    <w:p w14:paraId="4A2F0A20" w14:textId="27A39C0A" w:rsidR="00F83A24" w:rsidRPr="00D6259F" w:rsidRDefault="00F83A24" w:rsidP="00BB0BEE">
      <w:pPr>
        <w:pStyle w:val="ListParagraph"/>
        <w:numPr>
          <w:ilvl w:val="0"/>
          <w:numId w:val="36"/>
        </w:numPr>
        <w:rPr>
          <w:color w:val="000000" w:themeColor="text1"/>
        </w:rPr>
      </w:pPr>
      <w:r w:rsidRPr="00D6259F">
        <w:rPr>
          <w:color w:val="000000" w:themeColor="text1"/>
        </w:rPr>
        <w:t xml:space="preserve">Above ground infrastructure (declared replacement value of </w:t>
      </w:r>
      <w:r w:rsidR="004D0568" w:rsidRPr="00D6259F">
        <w:rPr>
          <w:color w:val="000000" w:themeColor="text1"/>
        </w:rPr>
        <w:t>$</w:t>
      </w:r>
      <w:r w:rsidR="004D0568" w:rsidRPr="00D6259F">
        <w:rPr>
          <w:color w:val="000000" w:themeColor="text1"/>
          <w:lang w:eastAsia="en-GB"/>
        </w:rPr>
        <w:t xml:space="preserve">3.0b </w:t>
      </w:r>
      <w:r w:rsidR="004D0568" w:rsidRPr="00D6259F">
        <w:rPr>
          <w:color w:val="000000" w:themeColor="text1"/>
        </w:rPr>
        <w:t>(2023: $3.0b)</w:t>
      </w:r>
    </w:p>
    <w:p w14:paraId="09A44392" w14:textId="0B6E75CB" w:rsidR="00F83A24" w:rsidRPr="00D6259F" w:rsidRDefault="00F83A24" w:rsidP="00BB0BEE">
      <w:pPr>
        <w:pStyle w:val="ListParagraph"/>
        <w:numPr>
          <w:ilvl w:val="0"/>
          <w:numId w:val="36"/>
        </w:numPr>
        <w:rPr>
          <w:color w:val="000000" w:themeColor="text1"/>
        </w:rPr>
      </w:pPr>
      <w:r w:rsidRPr="00D6259F">
        <w:rPr>
          <w:color w:val="000000" w:themeColor="text1"/>
        </w:rPr>
        <w:t>Housing declared replacement value of $</w:t>
      </w:r>
      <w:r w:rsidR="00FA5C27" w:rsidRPr="00D6259F">
        <w:rPr>
          <w:color w:val="000000" w:themeColor="text1"/>
          <w:lang w:eastAsia="en-GB"/>
        </w:rPr>
        <w:t>0.9b</w:t>
      </w:r>
      <w:r w:rsidR="00A35AAB" w:rsidRPr="00D6259F">
        <w:rPr>
          <w:color w:val="000000" w:themeColor="text1"/>
          <w:lang w:eastAsia="en-GB"/>
        </w:rPr>
        <w:t xml:space="preserve"> </w:t>
      </w:r>
      <w:r w:rsidRPr="00D6259F">
        <w:rPr>
          <w:color w:val="000000" w:themeColor="text1"/>
        </w:rPr>
        <w:t>(2023: $1.0b)</w:t>
      </w:r>
    </w:p>
    <w:bookmarkEnd w:id="125"/>
    <w:p w14:paraId="1A36A600" w14:textId="77777777" w:rsidR="008A1D88" w:rsidRPr="00D6259F" w:rsidRDefault="008A1D88" w:rsidP="008A1D88">
      <w:pPr>
        <w:rPr>
          <w:color w:val="000000" w:themeColor="text1"/>
        </w:rPr>
      </w:pPr>
      <w:r w:rsidRPr="00D6259F">
        <w:rPr>
          <w:color w:val="000000" w:themeColor="text1"/>
        </w:rPr>
        <w:t xml:space="preserve">The declared values are overlaid with the assessed GNS loss estimate for each asset subclasses for a 1–1000-year loss. The assessment is then used to assess the level of insurance required. </w:t>
      </w:r>
    </w:p>
    <w:p w14:paraId="7774EE07" w14:textId="55F9AF39" w:rsidR="00F83A24" w:rsidRPr="00D6259F" w:rsidRDefault="00F83A24" w:rsidP="00F83A24">
      <w:pPr>
        <w:rPr>
          <w:color w:val="000000" w:themeColor="text1"/>
        </w:rPr>
      </w:pPr>
      <w:r w:rsidRPr="00D6259F">
        <w:rPr>
          <w:color w:val="000000" w:themeColor="text1"/>
        </w:rPr>
        <w:t xml:space="preserve">The required insurance values are met by cover in place from various sources, including purchased material damage insurance, the internal </w:t>
      </w:r>
      <w:r w:rsidR="00670797" w:rsidRPr="00D6259F">
        <w:rPr>
          <w:color w:val="000000" w:themeColor="text1"/>
        </w:rPr>
        <w:t>i</w:t>
      </w:r>
      <w:r w:rsidRPr="00D6259F">
        <w:rPr>
          <w:color w:val="000000" w:themeColor="text1"/>
        </w:rPr>
        <w:t>nsurance reserve</w:t>
      </w:r>
      <w:r w:rsidR="008A1D88" w:rsidRPr="00D6259F">
        <w:rPr>
          <w:color w:val="000000" w:themeColor="text1"/>
        </w:rPr>
        <w:t xml:space="preserve"> (described below), </w:t>
      </w:r>
      <w:r w:rsidRPr="00D6259F">
        <w:rPr>
          <w:color w:val="000000" w:themeColor="text1"/>
        </w:rPr>
        <w:t>balance sheet headroom (approved via the 2024</w:t>
      </w:r>
      <w:r w:rsidR="009D6EBC" w:rsidRPr="00D6259F">
        <w:rPr>
          <w:color w:val="000000" w:themeColor="text1"/>
        </w:rPr>
        <w:t xml:space="preserve"> </w:t>
      </w:r>
      <w:r w:rsidRPr="00D6259F">
        <w:rPr>
          <w:color w:val="000000" w:themeColor="text1"/>
        </w:rPr>
        <w:t xml:space="preserve">LTP) and a conservative level of assumed </w:t>
      </w:r>
      <w:r w:rsidR="00EC2FB3" w:rsidRPr="00D6259F">
        <w:rPr>
          <w:color w:val="000000" w:themeColor="text1"/>
        </w:rPr>
        <w:t>Crown</w:t>
      </w:r>
      <w:r w:rsidR="00CF5F9B" w:rsidRPr="00D6259F">
        <w:rPr>
          <w:color w:val="000000" w:themeColor="text1"/>
        </w:rPr>
        <w:t xml:space="preserve"> funding </w:t>
      </w:r>
      <w:r w:rsidR="008A1D88" w:rsidRPr="00D6259F">
        <w:rPr>
          <w:color w:val="000000" w:themeColor="text1"/>
        </w:rPr>
        <w:t>(described below</w:t>
      </w:r>
      <w:r w:rsidR="00CF5F9B" w:rsidRPr="00D6259F">
        <w:rPr>
          <w:color w:val="000000" w:themeColor="text1"/>
        </w:rPr>
        <w:t>).</w:t>
      </w:r>
    </w:p>
    <w:p w14:paraId="2E9523D7" w14:textId="565AE5E7" w:rsidR="008A1D88" w:rsidRPr="00D6259F" w:rsidRDefault="008A1D88" w:rsidP="008A1D88">
      <w:pPr>
        <w:rPr>
          <w:rFonts w:eastAsia="MS Gothic"/>
          <w:color w:val="000000" w:themeColor="text1"/>
        </w:rPr>
      </w:pPr>
      <w:r w:rsidRPr="00D6259F">
        <w:rPr>
          <w:color w:val="000000" w:themeColor="text1"/>
        </w:rPr>
        <w:t>An insurance reserve of $</w:t>
      </w:r>
      <w:r w:rsidR="00FB3467" w:rsidRPr="00D6259F">
        <w:rPr>
          <w:color w:val="000000" w:themeColor="text1"/>
          <w:lang w:eastAsia="en-GB"/>
        </w:rPr>
        <w:t xml:space="preserve">14.7m </w:t>
      </w:r>
      <w:r w:rsidRPr="00D6259F">
        <w:rPr>
          <w:color w:val="000000" w:themeColor="text1"/>
        </w:rPr>
        <w:t>(2023: $14.3m) exists to meet the cost of claims that fall below deductible limits under the Council insurance policies. The reserve is funded annually through rates. For the year end</w:t>
      </w:r>
      <w:r w:rsidR="00B11432" w:rsidRPr="00D6259F">
        <w:rPr>
          <w:color w:val="000000" w:themeColor="text1"/>
        </w:rPr>
        <w:t>ed</w:t>
      </w:r>
      <w:r w:rsidRPr="00D6259F">
        <w:rPr>
          <w:color w:val="000000" w:themeColor="text1"/>
        </w:rPr>
        <w:t xml:space="preserve"> 30 June 2024 an amount of $</w:t>
      </w:r>
      <w:r w:rsidR="004D0568" w:rsidRPr="00D6259F">
        <w:rPr>
          <w:color w:val="000000" w:themeColor="text1"/>
          <w:lang w:eastAsia="en-GB"/>
        </w:rPr>
        <w:t xml:space="preserve">1.3m </w:t>
      </w:r>
      <w:r w:rsidRPr="00D6259F">
        <w:rPr>
          <w:color w:val="000000" w:themeColor="text1"/>
        </w:rPr>
        <w:t>(2023: $1.5m) was added to the reserve. The net cost of claims applied to the reserve during the year amounted to $</w:t>
      </w:r>
      <w:r w:rsidR="004D0568" w:rsidRPr="00D6259F">
        <w:rPr>
          <w:color w:val="000000" w:themeColor="text1"/>
          <w:lang w:eastAsia="en-GB"/>
        </w:rPr>
        <w:t xml:space="preserve">0.9m </w:t>
      </w:r>
      <w:r w:rsidRPr="00D6259F">
        <w:rPr>
          <w:color w:val="000000" w:themeColor="text1"/>
        </w:rPr>
        <w:t>(2023: $1.1m).</w:t>
      </w:r>
    </w:p>
    <w:p w14:paraId="2FC1C550" w14:textId="4190F621" w:rsidR="00D422B1" w:rsidRPr="00D6259F" w:rsidRDefault="00D422B1" w:rsidP="00C034D8">
      <w:pPr>
        <w:rPr>
          <w:color w:val="000000" w:themeColor="text1"/>
        </w:rPr>
      </w:pPr>
      <w:r w:rsidRPr="00D6259F">
        <w:rPr>
          <w:color w:val="000000" w:themeColor="text1"/>
        </w:rPr>
        <w:t>In addition to Council’s insurance</w:t>
      </w:r>
      <w:r w:rsidR="00EC2FB3" w:rsidRPr="00D6259F">
        <w:rPr>
          <w:color w:val="000000" w:themeColor="text1"/>
        </w:rPr>
        <w:t>,</w:t>
      </w:r>
      <w:r w:rsidRPr="00D6259F">
        <w:rPr>
          <w:color w:val="000000" w:themeColor="text1"/>
        </w:rPr>
        <w:t xml:space="preserve"> in the event of natural disaster</w:t>
      </w:r>
      <w:r w:rsidR="00EC2FB3" w:rsidRPr="00D6259F">
        <w:rPr>
          <w:color w:val="000000" w:themeColor="text1"/>
        </w:rPr>
        <w:t>,</w:t>
      </w:r>
      <w:r w:rsidR="00727C22" w:rsidRPr="00D6259F">
        <w:rPr>
          <w:color w:val="000000" w:themeColor="text1"/>
        </w:rPr>
        <w:t xml:space="preserve"> there is a conservative level of assumed </w:t>
      </w:r>
      <w:r w:rsidR="00EC2FB3" w:rsidRPr="00D6259F">
        <w:rPr>
          <w:color w:val="000000" w:themeColor="text1"/>
        </w:rPr>
        <w:t xml:space="preserve">allocation of </w:t>
      </w:r>
      <w:r w:rsidR="00727C22" w:rsidRPr="00D6259F">
        <w:rPr>
          <w:color w:val="000000" w:themeColor="text1"/>
        </w:rPr>
        <w:t xml:space="preserve">Crown </w:t>
      </w:r>
      <w:r w:rsidR="00EC2FB3" w:rsidRPr="00D6259F">
        <w:rPr>
          <w:color w:val="000000" w:themeColor="text1"/>
        </w:rPr>
        <w:t>funded rebuild capacity;</w:t>
      </w:r>
      <w:r w:rsidRPr="00D6259F">
        <w:rPr>
          <w:color w:val="000000" w:themeColor="text1"/>
        </w:rPr>
        <w:t xml:space="preserve"> </w:t>
      </w:r>
      <w:r w:rsidR="00727C22" w:rsidRPr="00D6259F">
        <w:rPr>
          <w:color w:val="000000" w:themeColor="text1"/>
        </w:rPr>
        <w:t>whereby</w:t>
      </w:r>
      <w:r w:rsidRPr="00D6259F">
        <w:rPr>
          <w:color w:val="000000" w:themeColor="text1"/>
        </w:rPr>
        <w:t xml:space="preserve"> </w:t>
      </w:r>
      <w:r w:rsidR="00EC2FB3" w:rsidRPr="00D6259F">
        <w:rPr>
          <w:color w:val="000000" w:themeColor="text1"/>
        </w:rPr>
        <w:t>c</w:t>
      </w:r>
      <w:r w:rsidRPr="00D6259F">
        <w:rPr>
          <w:color w:val="000000" w:themeColor="text1"/>
        </w:rPr>
        <w:t>entral</w:t>
      </w:r>
      <w:r w:rsidR="00EC2FB3" w:rsidRPr="00D6259F">
        <w:rPr>
          <w:color w:val="000000" w:themeColor="text1"/>
        </w:rPr>
        <w:t xml:space="preserve"> g</w:t>
      </w:r>
      <w:r w:rsidRPr="00D6259F">
        <w:rPr>
          <w:color w:val="000000" w:themeColor="text1"/>
        </w:rPr>
        <w:t xml:space="preserve">overnment </w:t>
      </w:r>
      <w:r w:rsidR="004D0568" w:rsidRPr="00D6259F">
        <w:rPr>
          <w:color w:val="000000" w:themeColor="text1"/>
        </w:rPr>
        <w:t>would</w:t>
      </w:r>
      <w:r w:rsidRPr="00D6259F">
        <w:rPr>
          <w:color w:val="000000" w:themeColor="text1"/>
        </w:rPr>
        <w:t xml:space="preserve"> contribute 60</w:t>
      </w:r>
      <w:r w:rsidR="00FA6D44" w:rsidRPr="00D6259F">
        <w:rPr>
          <w:color w:val="000000" w:themeColor="text1"/>
        </w:rPr>
        <w:t xml:space="preserve"> percent</w:t>
      </w:r>
      <w:r w:rsidRPr="00D6259F">
        <w:rPr>
          <w:color w:val="000000" w:themeColor="text1"/>
        </w:rPr>
        <w:t xml:space="preserve"> towards the rebuild or repair of essential Council owned </w:t>
      </w:r>
      <w:r w:rsidR="007B1B39" w:rsidRPr="00D6259F">
        <w:rPr>
          <w:color w:val="000000" w:themeColor="text1"/>
        </w:rPr>
        <w:t xml:space="preserve">below ground </w:t>
      </w:r>
      <w:r w:rsidRPr="00D6259F">
        <w:rPr>
          <w:color w:val="000000" w:themeColor="text1"/>
        </w:rPr>
        <w:t xml:space="preserve">infrastructure (drainage, </w:t>
      </w:r>
      <w:r w:rsidR="00537468" w:rsidRPr="00D6259F">
        <w:rPr>
          <w:color w:val="000000" w:themeColor="text1"/>
        </w:rPr>
        <w:t xml:space="preserve">water and waste </w:t>
      </w:r>
      <w:r w:rsidRPr="00D6259F">
        <w:rPr>
          <w:color w:val="000000" w:themeColor="text1"/>
        </w:rPr>
        <w:t xml:space="preserve">assets) subject to eligibility considerations. Also, </w:t>
      </w:r>
      <w:r w:rsidR="00910A76" w:rsidRPr="00D6259F">
        <w:rPr>
          <w:color w:val="000000" w:themeColor="text1"/>
        </w:rPr>
        <w:t>NZTA</w:t>
      </w:r>
      <w:r w:rsidR="00F2150F" w:rsidRPr="00D6259F">
        <w:rPr>
          <w:color w:val="000000" w:themeColor="text1"/>
        </w:rPr>
        <w:t xml:space="preserve">, </w:t>
      </w:r>
      <w:r w:rsidRPr="00D6259F">
        <w:rPr>
          <w:color w:val="000000" w:themeColor="text1"/>
        </w:rPr>
        <w:t xml:space="preserve">will </w:t>
      </w:r>
      <w:r w:rsidR="004D0568" w:rsidRPr="00D6259F">
        <w:rPr>
          <w:color w:val="000000" w:themeColor="text1"/>
        </w:rPr>
        <w:t xml:space="preserve">be assumed to </w:t>
      </w:r>
      <w:r w:rsidRPr="00D6259F">
        <w:rPr>
          <w:color w:val="000000" w:themeColor="text1"/>
        </w:rPr>
        <w:t>contribute approximately 55</w:t>
      </w:r>
      <w:r w:rsidR="00FA6D44" w:rsidRPr="00D6259F">
        <w:rPr>
          <w:color w:val="000000" w:themeColor="text1"/>
        </w:rPr>
        <w:t xml:space="preserve"> percent</w:t>
      </w:r>
      <w:r w:rsidRPr="00D6259F">
        <w:rPr>
          <w:color w:val="000000" w:themeColor="text1"/>
        </w:rPr>
        <w:t xml:space="preserve"> towards the restoration of qualifying roading assets.</w:t>
      </w:r>
    </w:p>
    <w:bookmarkEnd w:id="124"/>
    <w:p w14:paraId="37BB6A9A" w14:textId="52D8D91C" w:rsidR="00D422B1" w:rsidRPr="00D6259F" w:rsidRDefault="00D422B1" w:rsidP="00C034D8">
      <w:pPr>
        <w:rPr>
          <w:color w:val="000000" w:themeColor="text1"/>
        </w:rPr>
      </w:pPr>
      <w:commentRangeStart w:id="126"/>
      <w:r w:rsidRPr="00D6259F">
        <w:rPr>
          <w:color w:val="000000" w:themeColor="text1"/>
        </w:rPr>
        <w:t xml:space="preserve">The Council is not covered by any </w:t>
      </w:r>
      <w:r w:rsidR="00F91204" w:rsidRPr="00D6259F">
        <w:rPr>
          <w:color w:val="000000" w:themeColor="text1"/>
        </w:rPr>
        <w:t xml:space="preserve">other </w:t>
      </w:r>
      <w:r w:rsidRPr="00D6259F">
        <w:rPr>
          <w:color w:val="000000" w:themeColor="text1"/>
        </w:rPr>
        <w:t>financial risk sharing arrangements in relation to its assets.</w:t>
      </w:r>
      <w:commentRangeEnd w:id="126"/>
      <w:r w:rsidR="007A7112" w:rsidRPr="00D6259F">
        <w:rPr>
          <w:rStyle w:val="CommentReference"/>
          <w:color w:val="000000" w:themeColor="text1"/>
        </w:rPr>
        <w:commentReference w:id="126"/>
      </w:r>
    </w:p>
    <w:p w14:paraId="0866F996" w14:textId="77777777" w:rsidR="00DE7CAD" w:rsidRPr="00D6259F" w:rsidRDefault="00DE7CAD" w:rsidP="00C034D8">
      <w:pPr>
        <w:rPr>
          <w:rFonts w:ascii="Cambria" w:hAnsi="Cambria" w:cs="Calibri"/>
          <w:color w:val="000000" w:themeColor="text1"/>
          <w:sz w:val="36"/>
          <w:szCs w:val="36"/>
          <w:lang w:eastAsia="en-NZ"/>
        </w:rPr>
      </w:pPr>
      <w:bookmarkStart w:id="127" w:name="_Toc55482663"/>
      <w:r w:rsidRPr="00D6259F">
        <w:rPr>
          <w:color w:val="000000" w:themeColor="text1"/>
        </w:rPr>
        <w:br w:type="page"/>
      </w:r>
    </w:p>
    <w:p w14:paraId="7181B1CD" w14:textId="77777777" w:rsidR="00D422B1" w:rsidRPr="00D6259F" w:rsidRDefault="00D422B1" w:rsidP="00C034D8">
      <w:pPr>
        <w:pStyle w:val="Heading2"/>
      </w:pPr>
      <w:bookmarkStart w:id="128" w:name="_Toc179890306"/>
      <w:r w:rsidRPr="00D6259F">
        <w:lastRenderedPageBreak/>
        <w:t xml:space="preserve">Note </w:t>
      </w:r>
      <w:r w:rsidR="00C65221" w:rsidRPr="00D6259F">
        <w:t>20</w:t>
      </w:r>
      <w:r w:rsidRPr="00D6259F">
        <w:t xml:space="preserve">: Investment in controlled </w:t>
      </w:r>
      <w:proofErr w:type="gramStart"/>
      <w:r w:rsidRPr="00D6259F">
        <w:t>entities</w:t>
      </w:r>
      <w:bookmarkEnd w:id="127"/>
      <w:bookmarkEnd w:id="128"/>
      <w:proofErr w:type="gramEnd"/>
    </w:p>
    <w:p w14:paraId="636C7FF1" w14:textId="1A784326" w:rsidR="00D422B1" w:rsidRPr="00D6259F" w:rsidRDefault="000F20D8" w:rsidP="00C034D8">
      <w:pPr>
        <w:rPr>
          <w:color w:val="000000" w:themeColor="text1"/>
        </w:rPr>
      </w:pPr>
      <w:r w:rsidRPr="00D6259F">
        <w:rPr>
          <w:noProof/>
          <w:color w:val="000000" w:themeColor="text1"/>
        </w:rPr>
        <w:object w:dxaOrig="9510" w:dyaOrig="2415" w14:anchorId="04B18CA4">
          <v:shape id="_x0000_i1073" type="#_x0000_t75" style="width:478pt;height:116pt" o:ole="">
            <v:imagedata r:id="rId108" o:title=""/>
          </v:shape>
          <o:OLEObject Type="Link" ProgID="Excel.Sheet.12" ShapeID="_x0000_i1073" DrawAspect="Content" r:id="rId109" UpdateMode="Always">
            <o:LinkType>EnhancedMetaFile</o:LinkType>
            <o:LockedField>false</o:LockedField>
          </o:OLEObject>
        </w:object>
      </w:r>
    </w:p>
    <w:p w14:paraId="54753297" w14:textId="23609CB2" w:rsidR="00D422B1" w:rsidRPr="00D6259F" w:rsidRDefault="00D422B1" w:rsidP="00C034D8">
      <w:pPr>
        <w:rPr>
          <w:color w:val="000000" w:themeColor="text1"/>
        </w:rPr>
      </w:pPr>
      <w:r w:rsidRPr="00D6259F">
        <w:rPr>
          <w:color w:val="000000" w:themeColor="text1"/>
        </w:rPr>
        <w:t xml:space="preserve">The equity investment represents the cost of the investment to the Council and includes all capital contributions made by the Council to controlled entities. The Council has only made equity investments as shareholders as noted in </w:t>
      </w:r>
      <w:r w:rsidRPr="00D6259F">
        <w:rPr>
          <w:i/>
          <w:iCs/>
          <w:color w:val="000000" w:themeColor="text1"/>
        </w:rPr>
        <w:t xml:space="preserve">Table </w:t>
      </w:r>
      <w:r w:rsidR="00921C9A" w:rsidRPr="00D6259F">
        <w:rPr>
          <w:i/>
          <w:iCs/>
          <w:color w:val="000000" w:themeColor="text1"/>
        </w:rPr>
        <w:t>36</w:t>
      </w:r>
      <w:r w:rsidRPr="00D6259F">
        <w:rPr>
          <w:color w:val="000000" w:themeColor="text1"/>
        </w:rPr>
        <w:t>.</w:t>
      </w:r>
      <w:r w:rsidR="00D213FC" w:rsidRPr="00D6259F">
        <w:rPr>
          <w:color w:val="000000" w:themeColor="text1"/>
        </w:rPr>
        <w:t xml:space="preserve"> </w:t>
      </w:r>
      <w:r w:rsidRPr="00D6259F">
        <w:rPr>
          <w:color w:val="000000" w:themeColor="text1"/>
        </w:rPr>
        <w:t xml:space="preserve">Nominal settlement amounts </w:t>
      </w:r>
      <w:r w:rsidR="000215D4" w:rsidRPr="00D6259F">
        <w:rPr>
          <w:color w:val="000000" w:themeColor="text1"/>
        </w:rPr>
        <w:t>(e.g.</w:t>
      </w:r>
      <w:r w:rsidRPr="00D6259F">
        <w:rPr>
          <w:color w:val="000000" w:themeColor="text1"/>
        </w:rPr>
        <w:t xml:space="preserve"> $100</w:t>
      </w:r>
      <w:r w:rsidR="000215D4" w:rsidRPr="00D6259F">
        <w:rPr>
          <w:color w:val="000000" w:themeColor="text1"/>
        </w:rPr>
        <w:t>)</w:t>
      </w:r>
      <w:r w:rsidRPr="00D6259F">
        <w:rPr>
          <w:color w:val="000000" w:themeColor="text1"/>
        </w:rPr>
        <w:t xml:space="preserve"> made in respect of Trusts, for which Council is the settlor, have not been recognised </w:t>
      </w:r>
      <w:r w:rsidR="00AA31F1" w:rsidRPr="00D6259F">
        <w:rPr>
          <w:color w:val="000000" w:themeColor="text1"/>
        </w:rPr>
        <w:t>as the amount is trivial</w:t>
      </w:r>
      <w:r w:rsidRPr="00D6259F">
        <w:rPr>
          <w:color w:val="000000" w:themeColor="text1"/>
        </w:rPr>
        <w:t>.</w:t>
      </w:r>
    </w:p>
    <w:p w14:paraId="2F22B63B" w14:textId="38E79ECB" w:rsidR="00D422B1" w:rsidRPr="00D6259F" w:rsidRDefault="00D422B1" w:rsidP="00C034D8">
      <w:pPr>
        <w:rPr>
          <w:color w:val="000000" w:themeColor="text1"/>
        </w:rPr>
      </w:pPr>
      <w:r w:rsidRPr="00D6259F">
        <w:rPr>
          <w:color w:val="000000" w:themeColor="text1"/>
        </w:rPr>
        <w:t xml:space="preserve">Information on </w:t>
      </w:r>
      <w:r w:rsidR="004D0568" w:rsidRPr="00D6259F">
        <w:rPr>
          <w:color w:val="000000" w:themeColor="text1"/>
        </w:rPr>
        <w:t>intra-group</w:t>
      </w:r>
      <w:r w:rsidRPr="00D6259F">
        <w:rPr>
          <w:color w:val="000000" w:themeColor="text1"/>
        </w:rPr>
        <w:t xml:space="preserve"> transactions is included in </w:t>
      </w:r>
      <w:r w:rsidRPr="00D6259F">
        <w:rPr>
          <w:i/>
          <w:iCs/>
          <w:color w:val="000000" w:themeColor="text1"/>
        </w:rPr>
        <w:t>Note 3</w:t>
      </w:r>
      <w:r w:rsidR="00C65221" w:rsidRPr="00D6259F">
        <w:rPr>
          <w:i/>
          <w:iCs/>
          <w:color w:val="000000" w:themeColor="text1"/>
        </w:rPr>
        <w:t>7</w:t>
      </w:r>
      <w:r w:rsidRPr="00D6259F">
        <w:rPr>
          <w:i/>
          <w:iCs/>
          <w:color w:val="000000" w:themeColor="text1"/>
        </w:rPr>
        <w:t>: Related party disclosures</w:t>
      </w:r>
      <w:r w:rsidRPr="00D6259F">
        <w:rPr>
          <w:color w:val="000000" w:themeColor="text1"/>
        </w:rPr>
        <w:t xml:space="preserve"> (</w:t>
      </w:r>
      <w:r w:rsidR="006F6060" w:rsidRPr="00D6259F">
        <w:rPr>
          <w:color w:val="000000" w:themeColor="text1"/>
        </w:rPr>
        <w:t>page</w:t>
      </w:r>
      <w:r w:rsidR="00614406" w:rsidRPr="00D6259F">
        <w:rPr>
          <w:color w:val="000000" w:themeColor="text1"/>
        </w:rPr>
        <w:t xml:space="preserve"> </w:t>
      </w:r>
      <w:r w:rsidR="00921C9A" w:rsidRPr="00D6259F">
        <w:rPr>
          <w:color w:val="000000" w:themeColor="text1"/>
        </w:rPr>
        <w:t>113</w:t>
      </w:r>
      <w:r w:rsidRPr="00D6259F">
        <w:rPr>
          <w:color w:val="000000" w:themeColor="text1"/>
        </w:rPr>
        <w:t>).</w:t>
      </w:r>
    </w:p>
    <w:p w14:paraId="0F5176C8" w14:textId="04A4C9FD" w:rsidR="004540A9" w:rsidRPr="00D6259F" w:rsidRDefault="00D422B1" w:rsidP="004540A9">
      <w:pPr>
        <w:rPr>
          <w:color w:val="000000" w:themeColor="text1"/>
          <w:lang w:eastAsia="en-GB"/>
        </w:rPr>
      </w:pPr>
      <w:r w:rsidRPr="00D6259F">
        <w:rPr>
          <w:color w:val="000000" w:themeColor="text1"/>
        </w:rPr>
        <w:t xml:space="preserve">The reporting period end date for all controlled entities is 30 June. Full copies of their financial statements can be obtained directly from their </w:t>
      </w:r>
      <w:r w:rsidR="00A963EF" w:rsidRPr="00D6259F">
        <w:rPr>
          <w:color w:val="000000" w:themeColor="text1"/>
        </w:rPr>
        <w:t xml:space="preserve">respective </w:t>
      </w:r>
      <w:r w:rsidRPr="00D6259F">
        <w:rPr>
          <w:color w:val="000000" w:themeColor="text1"/>
        </w:rPr>
        <w:t xml:space="preserve">offices. Further information on the structure, objectives, the nature and scope of activities, and the performance measures and targets of the entities can be found in the relevant sections of the Statements of Service </w:t>
      </w:r>
      <w:r w:rsidR="00B11432" w:rsidRPr="00D6259F">
        <w:rPr>
          <w:color w:val="000000" w:themeColor="text1"/>
        </w:rPr>
        <w:t>Performance</w:t>
      </w:r>
      <w:r w:rsidRPr="00D6259F">
        <w:rPr>
          <w:color w:val="000000" w:themeColor="text1"/>
        </w:rPr>
        <w:t>.</w:t>
      </w:r>
      <w:r w:rsidR="004039F9" w:rsidRPr="00D6259F">
        <w:rPr>
          <w:rFonts w:cs="Arial"/>
          <w:color w:val="000000" w:themeColor="text1"/>
        </w:rPr>
        <w:t xml:space="preserve"> </w:t>
      </w:r>
      <w:r w:rsidR="004540A9" w:rsidRPr="00D6259F">
        <w:rPr>
          <w:color w:val="000000" w:themeColor="text1"/>
          <w:lang w:eastAsia="en-GB"/>
        </w:rPr>
        <w:t xml:space="preserve">For further information – refer to Section 4: Our performance in detail (Volume 1, pages </w:t>
      </w:r>
      <w:r w:rsidR="004B035D" w:rsidRPr="00D6259F">
        <w:rPr>
          <w:color w:val="000000" w:themeColor="text1"/>
          <w:lang w:eastAsia="en-GB"/>
        </w:rPr>
        <w:t>36</w:t>
      </w:r>
      <w:r w:rsidR="004540A9" w:rsidRPr="00D6259F">
        <w:rPr>
          <w:color w:val="000000" w:themeColor="text1"/>
          <w:lang w:eastAsia="en-GB"/>
        </w:rPr>
        <w:t xml:space="preserve"> to </w:t>
      </w:r>
      <w:r w:rsidR="004B035D" w:rsidRPr="00D6259F">
        <w:rPr>
          <w:color w:val="000000" w:themeColor="text1"/>
          <w:lang w:eastAsia="en-GB"/>
        </w:rPr>
        <w:t>134</w:t>
      </w:r>
      <w:r w:rsidR="004540A9" w:rsidRPr="00D6259F">
        <w:rPr>
          <w:color w:val="000000" w:themeColor="text1"/>
          <w:lang w:eastAsia="en-GB"/>
        </w:rPr>
        <w:t>).</w:t>
      </w:r>
    </w:p>
    <w:tbl>
      <w:tblPr>
        <w:tblW w:w="9906" w:type="dxa"/>
        <w:tblInd w:w="108" w:type="dxa"/>
        <w:tblBorders>
          <w:insideH w:val="single" w:sz="4" w:space="0" w:color="auto"/>
        </w:tblBorders>
        <w:tblLayout w:type="fixed"/>
        <w:tblLook w:val="0000" w:firstRow="0" w:lastRow="0" w:firstColumn="0" w:lastColumn="0" w:noHBand="0" w:noVBand="0"/>
      </w:tblPr>
      <w:tblGrid>
        <w:gridCol w:w="2498"/>
        <w:gridCol w:w="1646"/>
        <w:gridCol w:w="1646"/>
        <w:gridCol w:w="4116"/>
      </w:tblGrid>
      <w:tr w:rsidR="00D6259F" w:rsidRPr="00D6259F" w14:paraId="17BC1681" w14:textId="77777777" w:rsidTr="00BD3F59">
        <w:trPr>
          <w:cantSplit/>
          <w:trHeight w:val="849"/>
        </w:trPr>
        <w:tc>
          <w:tcPr>
            <w:tcW w:w="2498" w:type="dxa"/>
            <w:tcBorders>
              <w:top w:val="single" w:sz="4" w:space="0" w:color="auto"/>
              <w:left w:val="single" w:sz="4" w:space="0" w:color="auto"/>
              <w:right w:val="nil"/>
            </w:tcBorders>
            <w:shd w:val="clear" w:color="auto" w:fill="3E8853" w:themeFill="accent5"/>
          </w:tcPr>
          <w:p w14:paraId="17B8EE31" w14:textId="3D3EBA44" w:rsidR="001D23AE" w:rsidRPr="00D6259F" w:rsidRDefault="001D23AE" w:rsidP="0004786A">
            <w:pPr>
              <w:spacing w:after="0" w:line="240" w:lineRule="auto"/>
              <w:rPr>
                <w:b/>
                <w:bCs/>
                <w:color w:val="000000" w:themeColor="text1"/>
                <w:sz w:val="20"/>
                <w:szCs w:val="20"/>
                <w:lang w:eastAsia="en-GB"/>
              </w:rPr>
            </w:pPr>
            <w:r w:rsidRPr="00D6259F">
              <w:rPr>
                <w:b/>
                <w:bCs/>
                <w:color w:val="000000" w:themeColor="text1"/>
                <w:sz w:val="20"/>
                <w:szCs w:val="20"/>
                <w:lang w:eastAsia="en-GB"/>
              </w:rPr>
              <w:t xml:space="preserve">Table </w:t>
            </w:r>
            <w:r w:rsidR="00BC6BF0" w:rsidRPr="00D6259F">
              <w:rPr>
                <w:b/>
                <w:bCs/>
                <w:color w:val="000000" w:themeColor="text1"/>
                <w:sz w:val="20"/>
                <w:szCs w:val="20"/>
                <w:lang w:eastAsia="en-GB"/>
              </w:rPr>
              <w:t>37</w:t>
            </w:r>
            <w:r w:rsidRPr="00D6259F">
              <w:rPr>
                <w:b/>
                <w:bCs/>
                <w:color w:val="000000" w:themeColor="text1"/>
                <w:sz w:val="20"/>
                <w:szCs w:val="20"/>
                <w:lang w:eastAsia="en-GB"/>
              </w:rPr>
              <w:t>: Controlled entities</w:t>
            </w:r>
          </w:p>
        </w:tc>
        <w:tc>
          <w:tcPr>
            <w:tcW w:w="1646" w:type="dxa"/>
            <w:tcBorders>
              <w:top w:val="single" w:sz="4" w:space="0" w:color="auto"/>
              <w:left w:val="single" w:sz="4" w:space="0" w:color="auto"/>
              <w:right w:val="single" w:sz="4" w:space="0" w:color="auto"/>
            </w:tcBorders>
            <w:shd w:val="clear" w:color="auto" w:fill="3E8853" w:themeFill="accent5"/>
          </w:tcPr>
          <w:p w14:paraId="2C967B0F" w14:textId="77777777" w:rsidR="001D23AE" w:rsidRPr="00D6259F" w:rsidRDefault="001D23AE" w:rsidP="0004786A">
            <w:pPr>
              <w:spacing w:after="0" w:line="240" w:lineRule="auto"/>
              <w:jc w:val="center"/>
              <w:rPr>
                <w:b/>
                <w:bCs/>
                <w:color w:val="000000" w:themeColor="text1"/>
                <w:sz w:val="20"/>
                <w:szCs w:val="20"/>
                <w:lang w:eastAsia="en-GB"/>
              </w:rPr>
            </w:pPr>
            <w:r w:rsidRPr="00D6259F">
              <w:rPr>
                <w:b/>
                <w:bCs/>
                <w:color w:val="000000" w:themeColor="text1"/>
                <w:sz w:val="20"/>
                <w:szCs w:val="20"/>
                <w:lang w:eastAsia="en-GB"/>
              </w:rPr>
              <w:t>Accounting Interest</w:t>
            </w:r>
          </w:p>
          <w:p w14:paraId="23FBBD33" w14:textId="40ABBB10" w:rsidR="001D23AE" w:rsidRPr="00D6259F" w:rsidRDefault="001D23AE" w:rsidP="0004786A">
            <w:pPr>
              <w:spacing w:after="0" w:line="240" w:lineRule="auto"/>
              <w:jc w:val="center"/>
              <w:rPr>
                <w:b/>
                <w:bCs/>
                <w:color w:val="000000" w:themeColor="text1"/>
                <w:sz w:val="20"/>
                <w:szCs w:val="20"/>
                <w:lang w:eastAsia="en-GB"/>
              </w:rPr>
            </w:pPr>
            <w:r w:rsidRPr="00D6259F">
              <w:rPr>
                <w:b/>
                <w:bCs/>
                <w:color w:val="000000" w:themeColor="text1"/>
                <w:sz w:val="20"/>
                <w:szCs w:val="20"/>
                <w:lang w:eastAsia="en-GB"/>
              </w:rPr>
              <w:t>2024</w:t>
            </w:r>
          </w:p>
        </w:tc>
        <w:tc>
          <w:tcPr>
            <w:tcW w:w="1646" w:type="dxa"/>
            <w:tcBorders>
              <w:top w:val="single" w:sz="4" w:space="0" w:color="auto"/>
              <w:left w:val="nil"/>
              <w:right w:val="single" w:sz="4" w:space="0" w:color="auto"/>
            </w:tcBorders>
            <w:shd w:val="clear" w:color="auto" w:fill="3E8853" w:themeFill="accent5"/>
          </w:tcPr>
          <w:p w14:paraId="0B9623B3" w14:textId="77777777" w:rsidR="001D23AE" w:rsidRPr="00D6259F" w:rsidRDefault="001D23AE" w:rsidP="0004786A">
            <w:pPr>
              <w:spacing w:after="0" w:line="240" w:lineRule="auto"/>
              <w:jc w:val="center"/>
              <w:rPr>
                <w:b/>
                <w:bCs/>
                <w:color w:val="000000" w:themeColor="text1"/>
                <w:sz w:val="20"/>
                <w:szCs w:val="20"/>
                <w:lang w:eastAsia="en-GB"/>
              </w:rPr>
            </w:pPr>
            <w:r w:rsidRPr="00D6259F">
              <w:rPr>
                <w:b/>
                <w:bCs/>
                <w:color w:val="000000" w:themeColor="text1"/>
                <w:sz w:val="20"/>
                <w:szCs w:val="20"/>
                <w:lang w:eastAsia="en-GB"/>
              </w:rPr>
              <w:t>Accounting Interest</w:t>
            </w:r>
          </w:p>
          <w:p w14:paraId="19E43929" w14:textId="49AC1A4B" w:rsidR="001D23AE" w:rsidRPr="00D6259F" w:rsidRDefault="001D23AE" w:rsidP="0004786A">
            <w:pPr>
              <w:spacing w:after="0" w:line="240" w:lineRule="auto"/>
              <w:jc w:val="center"/>
              <w:rPr>
                <w:b/>
                <w:bCs/>
                <w:color w:val="000000" w:themeColor="text1"/>
                <w:sz w:val="20"/>
                <w:szCs w:val="20"/>
                <w:lang w:eastAsia="en-GB"/>
              </w:rPr>
            </w:pPr>
            <w:r w:rsidRPr="00D6259F">
              <w:rPr>
                <w:b/>
                <w:bCs/>
                <w:color w:val="000000" w:themeColor="text1"/>
                <w:sz w:val="20"/>
                <w:szCs w:val="20"/>
                <w:lang w:eastAsia="en-GB"/>
              </w:rPr>
              <w:t>2023</w:t>
            </w:r>
          </w:p>
        </w:tc>
        <w:tc>
          <w:tcPr>
            <w:tcW w:w="4116" w:type="dxa"/>
            <w:tcBorders>
              <w:top w:val="single" w:sz="4" w:space="0" w:color="auto"/>
              <w:left w:val="single" w:sz="4" w:space="0" w:color="auto"/>
              <w:right w:val="single" w:sz="4" w:space="0" w:color="auto"/>
            </w:tcBorders>
            <w:shd w:val="clear" w:color="auto" w:fill="3E8853" w:themeFill="accent5"/>
          </w:tcPr>
          <w:p w14:paraId="63719709" w14:textId="77777777" w:rsidR="001D23AE" w:rsidRPr="00D6259F" w:rsidRDefault="001D23AE" w:rsidP="0004786A">
            <w:pPr>
              <w:spacing w:after="0" w:line="240" w:lineRule="auto"/>
              <w:rPr>
                <w:b/>
                <w:bCs/>
                <w:color w:val="000000" w:themeColor="text1"/>
                <w:sz w:val="20"/>
                <w:szCs w:val="20"/>
                <w:lang w:eastAsia="en-GB"/>
              </w:rPr>
            </w:pPr>
            <w:r w:rsidRPr="00D6259F">
              <w:rPr>
                <w:b/>
                <w:bCs/>
                <w:color w:val="000000" w:themeColor="text1"/>
                <w:sz w:val="20"/>
                <w:szCs w:val="20"/>
                <w:lang w:eastAsia="en-GB"/>
              </w:rPr>
              <w:t>Nature of business</w:t>
            </w:r>
          </w:p>
        </w:tc>
      </w:tr>
      <w:tr w:rsidR="00D6259F" w:rsidRPr="00D6259F" w14:paraId="46473A48" w14:textId="77777777" w:rsidTr="00BD3F59">
        <w:trPr>
          <w:cantSplit/>
          <w:trHeight w:val="290"/>
        </w:trPr>
        <w:tc>
          <w:tcPr>
            <w:tcW w:w="2498" w:type="dxa"/>
            <w:tcBorders>
              <w:left w:val="single" w:sz="4" w:space="0" w:color="auto"/>
              <w:right w:val="single" w:sz="4" w:space="0" w:color="auto"/>
            </w:tcBorders>
          </w:tcPr>
          <w:p w14:paraId="25B80B5C" w14:textId="77777777" w:rsidR="001D23AE" w:rsidRPr="00D6259F" w:rsidRDefault="001D23AE" w:rsidP="0004786A">
            <w:pPr>
              <w:spacing w:after="0" w:line="240" w:lineRule="auto"/>
              <w:rPr>
                <w:color w:val="000000" w:themeColor="text1"/>
                <w:sz w:val="20"/>
                <w:szCs w:val="20"/>
                <w:lang w:eastAsia="en-GB"/>
              </w:rPr>
            </w:pPr>
            <w:r w:rsidRPr="00D6259F">
              <w:rPr>
                <w:color w:val="000000" w:themeColor="text1"/>
                <w:sz w:val="20"/>
                <w:szCs w:val="20"/>
                <w:lang w:eastAsia="en-GB"/>
              </w:rPr>
              <w:t xml:space="preserve">Karori Sanctuary Trust </w:t>
            </w:r>
          </w:p>
          <w:p w14:paraId="2098A09D" w14:textId="77777777" w:rsidR="001D23AE" w:rsidRPr="00D6259F" w:rsidRDefault="001D23AE" w:rsidP="0004786A">
            <w:pPr>
              <w:spacing w:after="0" w:line="240" w:lineRule="auto"/>
              <w:rPr>
                <w:color w:val="000000" w:themeColor="text1"/>
                <w:sz w:val="20"/>
                <w:szCs w:val="20"/>
                <w:lang w:eastAsia="en-GB"/>
              </w:rPr>
            </w:pPr>
            <w:r w:rsidRPr="00D6259F">
              <w:rPr>
                <w:color w:val="000000" w:themeColor="text1"/>
                <w:sz w:val="20"/>
                <w:szCs w:val="20"/>
                <w:lang w:eastAsia="en-GB"/>
              </w:rPr>
              <w:t>(Trading as Zealandia)</w:t>
            </w:r>
          </w:p>
        </w:tc>
        <w:tc>
          <w:tcPr>
            <w:tcW w:w="1646" w:type="dxa"/>
            <w:tcBorders>
              <w:left w:val="single" w:sz="4" w:space="0" w:color="auto"/>
              <w:right w:val="single" w:sz="4" w:space="0" w:color="auto"/>
            </w:tcBorders>
          </w:tcPr>
          <w:p w14:paraId="1A5678DC" w14:textId="77777777" w:rsidR="001D23AE" w:rsidRPr="00D6259F" w:rsidRDefault="001D23AE" w:rsidP="0004786A">
            <w:pPr>
              <w:spacing w:after="0" w:line="240" w:lineRule="auto"/>
              <w:jc w:val="center"/>
              <w:rPr>
                <w:color w:val="000000" w:themeColor="text1"/>
                <w:sz w:val="20"/>
                <w:szCs w:val="20"/>
                <w:lang w:eastAsia="en-GB"/>
              </w:rPr>
            </w:pPr>
            <w:r w:rsidRPr="00D6259F">
              <w:rPr>
                <w:color w:val="000000" w:themeColor="text1"/>
                <w:sz w:val="20"/>
                <w:szCs w:val="20"/>
                <w:lang w:eastAsia="en-GB"/>
              </w:rPr>
              <w:t>100%</w:t>
            </w:r>
          </w:p>
        </w:tc>
        <w:tc>
          <w:tcPr>
            <w:tcW w:w="1646" w:type="dxa"/>
            <w:tcBorders>
              <w:left w:val="single" w:sz="4" w:space="0" w:color="auto"/>
              <w:right w:val="single" w:sz="4" w:space="0" w:color="auto"/>
            </w:tcBorders>
          </w:tcPr>
          <w:p w14:paraId="026750E4" w14:textId="77777777" w:rsidR="001D23AE" w:rsidRPr="00D6259F" w:rsidRDefault="001D23AE" w:rsidP="0004786A">
            <w:pPr>
              <w:spacing w:after="0" w:line="240" w:lineRule="auto"/>
              <w:jc w:val="center"/>
              <w:rPr>
                <w:color w:val="000000" w:themeColor="text1"/>
                <w:sz w:val="20"/>
                <w:szCs w:val="20"/>
                <w:lang w:eastAsia="en-GB"/>
              </w:rPr>
            </w:pPr>
            <w:r w:rsidRPr="00D6259F">
              <w:rPr>
                <w:color w:val="000000" w:themeColor="text1"/>
                <w:sz w:val="20"/>
                <w:szCs w:val="20"/>
                <w:lang w:eastAsia="en-GB"/>
              </w:rPr>
              <w:t>100%</w:t>
            </w:r>
          </w:p>
        </w:tc>
        <w:tc>
          <w:tcPr>
            <w:tcW w:w="4116" w:type="dxa"/>
            <w:tcBorders>
              <w:left w:val="single" w:sz="4" w:space="0" w:color="auto"/>
              <w:right w:val="single" w:sz="4" w:space="0" w:color="auto"/>
            </w:tcBorders>
          </w:tcPr>
          <w:p w14:paraId="5096DA72" w14:textId="77777777" w:rsidR="001D23AE" w:rsidRPr="00D6259F" w:rsidRDefault="001D23AE" w:rsidP="0004786A">
            <w:pPr>
              <w:spacing w:after="0" w:line="240" w:lineRule="auto"/>
              <w:rPr>
                <w:color w:val="000000" w:themeColor="text1"/>
                <w:sz w:val="20"/>
                <w:szCs w:val="20"/>
                <w:lang w:eastAsia="en-GB"/>
              </w:rPr>
            </w:pPr>
            <w:r w:rsidRPr="00D6259F">
              <w:rPr>
                <w:color w:val="000000" w:themeColor="text1"/>
                <w:sz w:val="20"/>
                <w:szCs w:val="20"/>
                <w:lang w:eastAsia="en-GB"/>
              </w:rPr>
              <w:t xml:space="preserve">Owns and manages the activities of the urban eco-sanctuary in Karori. </w:t>
            </w:r>
          </w:p>
        </w:tc>
      </w:tr>
      <w:tr w:rsidR="00D6259F" w:rsidRPr="00D6259F" w14:paraId="2D1FEB16" w14:textId="77777777" w:rsidTr="00BD3F59">
        <w:trPr>
          <w:cantSplit/>
          <w:trHeight w:val="290"/>
        </w:trPr>
        <w:tc>
          <w:tcPr>
            <w:tcW w:w="2498" w:type="dxa"/>
            <w:tcBorders>
              <w:left w:val="single" w:sz="4" w:space="0" w:color="auto"/>
              <w:right w:val="single" w:sz="4" w:space="0" w:color="auto"/>
            </w:tcBorders>
          </w:tcPr>
          <w:p w14:paraId="3593B818" w14:textId="77777777" w:rsidR="001D23AE" w:rsidRPr="00D6259F" w:rsidRDefault="001D23AE" w:rsidP="0004786A">
            <w:pPr>
              <w:spacing w:after="0" w:line="240" w:lineRule="auto"/>
              <w:rPr>
                <w:b/>
                <w:color w:val="000000" w:themeColor="text1"/>
                <w:sz w:val="20"/>
                <w:szCs w:val="20"/>
                <w:lang w:eastAsia="en-GB"/>
              </w:rPr>
            </w:pPr>
            <w:r w:rsidRPr="00D6259F">
              <w:rPr>
                <w:color w:val="000000" w:themeColor="text1"/>
                <w:sz w:val="20"/>
                <w:szCs w:val="20"/>
                <w:lang w:eastAsia="en-GB"/>
              </w:rPr>
              <w:t>Wellington Cable Car Limited</w:t>
            </w:r>
          </w:p>
        </w:tc>
        <w:tc>
          <w:tcPr>
            <w:tcW w:w="1646" w:type="dxa"/>
            <w:tcBorders>
              <w:left w:val="single" w:sz="4" w:space="0" w:color="auto"/>
              <w:right w:val="single" w:sz="4" w:space="0" w:color="auto"/>
            </w:tcBorders>
          </w:tcPr>
          <w:p w14:paraId="7F0A45AF" w14:textId="77777777" w:rsidR="001D23AE" w:rsidRPr="00D6259F" w:rsidRDefault="001D23AE" w:rsidP="0004786A">
            <w:pPr>
              <w:spacing w:after="0" w:line="240" w:lineRule="auto"/>
              <w:jc w:val="center"/>
              <w:rPr>
                <w:color w:val="000000" w:themeColor="text1"/>
                <w:sz w:val="20"/>
                <w:szCs w:val="20"/>
                <w:lang w:eastAsia="en-GB"/>
              </w:rPr>
            </w:pPr>
            <w:r w:rsidRPr="00D6259F">
              <w:rPr>
                <w:color w:val="000000" w:themeColor="text1"/>
                <w:sz w:val="20"/>
                <w:szCs w:val="20"/>
                <w:lang w:eastAsia="en-GB"/>
              </w:rPr>
              <w:t>100%</w:t>
            </w:r>
          </w:p>
        </w:tc>
        <w:tc>
          <w:tcPr>
            <w:tcW w:w="1646" w:type="dxa"/>
            <w:tcBorders>
              <w:left w:val="single" w:sz="4" w:space="0" w:color="auto"/>
              <w:right w:val="single" w:sz="4" w:space="0" w:color="auto"/>
            </w:tcBorders>
          </w:tcPr>
          <w:p w14:paraId="48204A07" w14:textId="77777777" w:rsidR="001D23AE" w:rsidRPr="00D6259F" w:rsidRDefault="001D23AE" w:rsidP="0004786A">
            <w:pPr>
              <w:spacing w:after="0" w:line="240" w:lineRule="auto"/>
              <w:jc w:val="center"/>
              <w:rPr>
                <w:color w:val="000000" w:themeColor="text1"/>
                <w:sz w:val="20"/>
                <w:szCs w:val="20"/>
                <w:lang w:eastAsia="en-GB"/>
              </w:rPr>
            </w:pPr>
            <w:r w:rsidRPr="00D6259F">
              <w:rPr>
                <w:color w:val="000000" w:themeColor="text1"/>
                <w:sz w:val="20"/>
                <w:szCs w:val="20"/>
                <w:lang w:eastAsia="en-GB"/>
              </w:rPr>
              <w:t>100%</w:t>
            </w:r>
          </w:p>
        </w:tc>
        <w:tc>
          <w:tcPr>
            <w:tcW w:w="4116" w:type="dxa"/>
            <w:tcBorders>
              <w:left w:val="single" w:sz="4" w:space="0" w:color="auto"/>
              <w:right w:val="single" w:sz="4" w:space="0" w:color="auto"/>
            </w:tcBorders>
          </w:tcPr>
          <w:p w14:paraId="19C4C756" w14:textId="77777777" w:rsidR="001D23AE" w:rsidRPr="00D6259F" w:rsidRDefault="001D23AE" w:rsidP="0004786A">
            <w:pPr>
              <w:spacing w:after="0" w:line="240" w:lineRule="auto"/>
              <w:rPr>
                <w:color w:val="000000" w:themeColor="text1"/>
                <w:sz w:val="20"/>
                <w:szCs w:val="20"/>
                <w:lang w:eastAsia="en-GB"/>
              </w:rPr>
            </w:pPr>
            <w:r w:rsidRPr="00D6259F">
              <w:rPr>
                <w:color w:val="000000" w:themeColor="text1"/>
                <w:sz w:val="20"/>
                <w:szCs w:val="20"/>
                <w:lang w:eastAsia="en-GB"/>
              </w:rPr>
              <w:t>Owns and operates the Cable Car.</w:t>
            </w:r>
          </w:p>
        </w:tc>
      </w:tr>
      <w:tr w:rsidR="00D6259F" w:rsidRPr="00D6259F" w14:paraId="0AA1B7A8" w14:textId="77777777" w:rsidTr="00BD3F59">
        <w:trPr>
          <w:cantSplit/>
          <w:trHeight w:val="742"/>
        </w:trPr>
        <w:tc>
          <w:tcPr>
            <w:tcW w:w="2498" w:type="dxa"/>
            <w:tcBorders>
              <w:left w:val="single" w:sz="4" w:space="0" w:color="auto"/>
              <w:right w:val="single" w:sz="4" w:space="0" w:color="auto"/>
            </w:tcBorders>
          </w:tcPr>
          <w:p w14:paraId="3C8A715A" w14:textId="77777777" w:rsidR="001D23AE" w:rsidRPr="00D6259F" w:rsidRDefault="001D23AE" w:rsidP="0004786A">
            <w:pPr>
              <w:spacing w:after="0" w:line="240" w:lineRule="auto"/>
              <w:rPr>
                <w:color w:val="000000" w:themeColor="text1"/>
                <w:sz w:val="20"/>
                <w:szCs w:val="20"/>
                <w:lang w:eastAsia="en-GB"/>
              </w:rPr>
            </w:pPr>
            <w:r w:rsidRPr="00D6259F">
              <w:rPr>
                <w:color w:val="000000" w:themeColor="text1"/>
                <w:sz w:val="20"/>
                <w:szCs w:val="20"/>
                <w:lang w:eastAsia="en-GB"/>
              </w:rPr>
              <w:t>Wellington Museums Trust (Trading as Experience Wellington)</w:t>
            </w:r>
          </w:p>
        </w:tc>
        <w:tc>
          <w:tcPr>
            <w:tcW w:w="1646" w:type="dxa"/>
            <w:tcBorders>
              <w:left w:val="single" w:sz="4" w:space="0" w:color="auto"/>
              <w:right w:val="single" w:sz="4" w:space="0" w:color="auto"/>
            </w:tcBorders>
          </w:tcPr>
          <w:p w14:paraId="262B52AD" w14:textId="77777777" w:rsidR="001D23AE" w:rsidRPr="00D6259F" w:rsidRDefault="001D23AE" w:rsidP="0004786A">
            <w:pPr>
              <w:spacing w:after="0" w:line="240" w:lineRule="auto"/>
              <w:jc w:val="center"/>
              <w:rPr>
                <w:color w:val="000000" w:themeColor="text1"/>
                <w:sz w:val="20"/>
                <w:szCs w:val="20"/>
                <w:lang w:eastAsia="en-GB"/>
              </w:rPr>
            </w:pPr>
            <w:r w:rsidRPr="00D6259F">
              <w:rPr>
                <w:color w:val="000000" w:themeColor="text1"/>
                <w:sz w:val="20"/>
                <w:szCs w:val="20"/>
                <w:lang w:eastAsia="en-GB"/>
              </w:rPr>
              <w:t>100%</w:t>
            </w:r>
          </w:p>
        </w:tc>
        <w:tc>
          <w:tcPr>
            <w:tcW w:w="1646" w:type="dxa"/>
            <w:tcBorders>
              <w:left w:val="single" w:sz="4" w:space="0" w:color="auto"/>
              <w:right w:val="single" w:sz="4" w:space="0" w:color="auto"/>
            </w:tcBorders>
          </w:tcPr>
          <w:p w14:paraId="670F8D8A" w14:textId="77777777" w:rsidR="001D23AE" w:rsidRPr="00D6259F" w:rsidRDefault="001D23AE" w:rsidP="0004786A">
            <w:pPr>
              <w:spacing w:after="0" w:line="240" w:lineRule="auto"/>
              <w:jc w:val="center"/>
              <w:rPr>
                <w:color w:val="000000" w:themeColor="text1"/>
                <w:sz w:val="20"/>
                <w:szCs w:val="20"/>
                <w:lang w:eastAsia="en-GB"/>
              </w:rPr>
            </w:pPr>
            <w:r w:rsidRPr="00D6259F">
              <w:rPr>
                <w:color w:val="000000" w:themeColor="text1"/>
                <w:sz w:val="20"/>
                <w:szCs w:val="20"/>
                <w:lang w:eastAsia="en-GB"/>
              </w:rPr>
              <w:t>100%</w:t>
            </w:r>
          </w:p>
        </w:tc>
        <w:tc>
          <w:tcPr>
            <w:tcW w:w="4116" w:type="dxa"/>
            <w:tcBorders>
              <w:left w:val="single" w:sz="4" w:space="0" w:color="auto"/>
              <w:right w:val="single" w:sz="4" w:space="0" w:color="auto"/>
            </w:tcBorders>
          </w:tcPr>
          <w:p w14:paraId="5AB5C70A" w14:textId="35CC4735" w:rsidR="001D23AE" w:rsidRPr="00D6259F" w:rsidRDefault="001D23AE" w:rsidP="0004786A">
            <w:pPr>
              <w:spacing w:after="0" w:line="240" w:lineRule="auto"/>
              <w:rPr>
                <w:color w:val="000000" w:themeColor="text1"/>
                <w:sz w:val="20"/>
                <w:szCs w:val="20"/>
                <w:lang w:eastAsia="en-GB"/>
              </w:rPr>
            </w:pPr>
            <w:r w:rsidRPr="00D6259F">
              <w:rPr>
                <w:color w:val="000000" w:themeColor="text1"/>
                <w:sz w:val="20"/>
                <w:szCs w:val="20"/>
                <w:lang w:eastAsia="en-GB"/>
              </w:rPr>
              <w:t>Administers: Cable Car Museum, Capital E, City Gallery, Nairn Street Cottage, Space Place (Carter Observatory), Wellington Museum and the NZ Cricket Museum</w:t>
            </w:r>
            <w:r w:rsidR="003D661E" w:rsidRPr="00D6259F">
              <w:rPr>
                <w:color w:val="000000" w:themeColor="text1"/>
                <w:sz w:val="20"/>
                <w:szCs w:val="20"/>
                <w:lang w:eastAsia="en-GB"/>
              </w:rPr>
              <w:t>.</w:t>
            </w:r>
          </w:p>
        </w:tc>
      </w:tr>
      <w:tr w:rsidR="00D6259F" w:rsidRPr="00D6259F" w14:paraId="0227DFCF" w14:textId="77777777" w:rsidTr="00BD3F59">
        <w:trPr>
          <w:cantSplit/>
          <w:trHeight w:val="742"/>
        </w:trPr>
        <w:tc>
          <w:tcPr>
            <w:tcW w:w="2498" w:type="dxa"/>
            <w:tcBorders>
              <w:left w:val="single" w:sz="4" w:space="0" w:color="auto"/>
              <w:bottom w:val="nil"/>
              <w:right w:val="single" w:sz="4" w:space="0" w:color="auto"/>
            </w:tcBorders>
          </w:tcPr>
          <w:p w14:paraId="790F6685" w14:textId="77777777" w:rsidR="001D23AE" w:rsidRPr="00D6259F" w:rsidRDefault="001D23AE" w:rsidP="0004786A">
            <w:pPr>
              <w:spacing w:after="0" w:line="240" w:lineRule="auto"/>
              <w:rPr>
                <w:color w:val="000000" w:themeColor="text1"/>
                <w:sz w:val="20"/>
                <w:szCs w:val="20"/>
                <w:lang w:eastAsia="en-GB"/>
              </w:rPr>
            </w:pPr>
            <w:r w:rsidRPr="00D6259F">
              <w:rPr>
                <w:color w:val="000000" w:themeColor="text1"/>
                <w:sz w:val="20"/>
                <w:szCs w:val="20"/>
                <w:lang w:eastAsia="en-GB"/>
              </w:rPr>
              <w:t xml:space="preserve">Wellington Regional Economic Development Agency Limited (WREDA) </w:t>
            </w:r>
          </w:p>
          <w:p w14:paraId="5EDCE8E3" w14:textId="77777777" w:rsidR="001D23AE" w:rsidRPr="00D6259F" w:rsidRDefault="001D23AE" w:rsidP="0004786A">
            <w:pPr>
              <w:spacing w:after="0" w:line="240" w:lineRule="auto"/>
              <w:rPr>
                <w:color w:val="000000" w:themeColor="text1"/>
                <w:sz w:val="20"/>
                <w:szCs w:val="20"/>
                <w:lang w:eastAsia="en-GB"/>
              </w:rPr>
            </w:pPr>
            <w:r w:rsidRPr="00D6259F">
              <w:rPr>
                <w:color w:val="000000" w:themeColor="text1"/>
                <w:sz w:val="20"/>
                <w:szCs w:val="20"/>
                <w:lang w:eastAsia="en-GB"/>
              </w:rPr>
              <w:t>(Trading as WellingtonNZ)</w:t>
            </w:r>
          </w:p>
        </w:tc>
        <w:tc>
          <w:tcPr>
            <w:tcW w:w="1646" w:type="dxa"/>
            <w:tcBorders>
              <w:left w:val="single" w:sz="4" w:space="0" w:color="auto"/>
              <w:right w:val="single" w:sz="4" w:space="0" w:color="auto"/>
            </w:tcBorders>
          </w:tcPr>
          <w:p w14:paraId="5BDF2DF2" w14:textId="77777777" w:rsidR="001D23AE" w:rsidRPr="00D6259F" w:rsidRDefault="001D23AE" w:rsidP="0004786A">
            <w:pPr>
              <w:spacing w:after="0" w:line="240" w:lineRule="auto"/>
              <w:jc w:val="center"/>
              <w:rPr>
                <w:color w:val="000000" w:themeColor="text1"/>
                <w:sz w:val="20"/>
                <w:szCs w:val="20"/>
                <w:lang w:eastAsia="en-GB"/>
              </w:rPr>
            </w:pPr>
            <w:r w:rsidRPr="00D6259F">
              <w:rPr>
                <w:color w:val="000000" w:themeColor="text1"/>
                <w:sz w:val="20"/>
                <w:szCs w:val="20"/>
                <w:lang w:eastAsia="en-GB"/>
              </w:rPr>
              <w:t>80%</w:t>
            </w:r>
          </w:p>
        </w:tc>
        <w:tc>
          <w:tcPr>
            <w:tcW w:w="1646" w:type="dxa"/>
            <w:tcBorders>
              <w:left w:val="single" w:sz="4" w:space="0" w:color="auto"/>
              <w:right w:val="single" w:sz="4" w:space="0" w:color="auto"/>
            </w:tcBorders>
          </w:tcPr>
          <w:p w14:paraId="1BF282D2" w14:textId="77777777" w:rsidR="001D23AE" w:rsidRPr="00D6259F" w:rsidRDefault="001D23AE" w:rsidP="0004786A">
            <w:pPr>
              <w:spacing w:after="0" w:line="240" w:lineRule="auto"/>
              <w:jc w:val="center"/>
              <w:rPr>
                <w:color w:val="000000" w:themeColor="text1"/>
                <w:sz w:val="20"/>
                <w:szCs w:val="20"/>
                <w:lang w:eastAsia="en-GB"/>
              </w:rPr>
            </w:pPr>
            <w:r w:rsidRPr="00D6259F">
              <w:rPr>
                <w:color w:val="000000" w:themeColor="text1"/>
                <w:sz w:val="20"/>
                <w:szCs w:val="20"/>
                <w:lang w:eastAsia="en-GB"/>
              </w:rPr>
              <w:t>80%</w:t>
            </w:r>
          </w:p>
        </w:tc>
        <w:tc>
          <w:tcPr>
            <w:tcW w:w="4116" w:type="dxa"/>
            <w:tcBorders>
              <w:left w:val="single" w:sz="4" w:space="0" w:color="auto"/>
              <w:right w:val="single" w:sz="4" w:space="0" w:color="auto"/>
            </w:tcBorders>
          </w:tcPr>
          <w:p w14:paraId="419166F7" w14:textId="77777777" w:rsidR="001D23AE" w:rsidRPr="00D6259F" w:rsidRDefault="001D23AE" w:rsidP="0004786A">
            <w:pPr>
              <w:spacing w:after="0" w:line="240" w:lineRule="auto"/>
              <w:rPr>
                <w:color w:val="000000" w:themeColor="text1"/>
                <w:sz w:val="20"/>
                <w:szCs w:val="20"/>
                <w:lang w:eastAsia="en-GB"/>
              </w:rPr>
            </w:pPr>
            <w:r w:rsidRPr="00D6259F">
              <w:rPr>
                <w:color w:val="000000" w:themeColor="text1"/>
                <w:sz w:val="20"/>
                <w:szCs w:val="20"/>
                <w:lang w:eastAsia="en-GB"/>
              </w:rPr>
              <w:t xml:space="preserve">Manages Wellington Venues Project and creates economic and social benefit by marketing the city with the private sector as a tourism destination. </w:t>
            </w:r>
          </w:p>
        </w:tc>
      </w:tr>
      <w:tr w:rsidR="00D6259F" w:rsidRPr="00D6259F" w14:paraId="344BF709" w14:textId="77777777" w:rsidTr="00BD3F59">
        <w:trPr>
          <w:cantSplit/>
          <w:trHeight w:val="344"/>
        </w:trPr>
        <w:tc>
          <w:tcPr>
            <w:tcW w:w="2498" w:type="dxa"/>
            <w:tcBorders>
              <w:top w:val="nil"/>
              <w:left w:val="single" w:sz="4" w:space="0" w:color="auto"/>
              <w:right w:val="single" w:sz="4" w:space="0" w:color="auto"/>
            </w:tcBorders>
          </w:tcPr>
          <w:p w14:paraId="4EC1C604" w14:textId="77777777" w:rsidR="001D23AE" w:rsidRPr="00D6259F" w:rsidRDefault="001D23AE" w:rsidP="0004786A">
            <w:pPr>
              <w:spacing w:after="0" w:line="240" w:lineRule="auto"/>
              <w:rPr>
                <w:color w:val="000000" w:themeColor="text1"/>
                <w:sz w:val="20"/>
                <w:szCs w:val="20"/>
                <w:lang w:eastAsia="en-GB"/>
              </w:rPr>
            </w:pPr>
            <w:r w:rsidRPr="00D6259F">
              <w:rPr>
                <w:color w:val="000000" w:themeColor="text1"/>
                <w:sz w:val="20"/>
                <w:szCs w:val="20"/>
                <w:lang w:eastAsia="en-GB"/>
              </w:rPr>
              <w:t xml:space="preserve">    - Creative HQ Limited</w:t>
            </w:r>
          </w:p>
        </w:tc>
        <w:tc>
          <w:tcPr>
            <w:tcW w:w="1646" w:type="dxa"/>
            <w:tcBorders>
              <w:left w:val="single" w:sz="4" w:space="0" w:color="auto"/>
              <w:right w:val="single" w:sz="4" w:space="0" w:color="auto"/>
            </w:tcBorders>
          </w:tcPr>
          <w:p w14:paraId="7AD65BAC" w14:textId="77777777" w:rsidR="001D23AE" w:rsidRPr="00D6259F" w:rsidRDefault="001D23AE" w:rsidP="0004786A">
            <w:pPr>
              <w:spacing w:after="0" w:line="240" w:lineRule="auto"/>
              <w:jc w:val="center"/>
              <w:rPr>
                <w:color w:val="000000" w:themeColor="text1"/>
                <w:sz w:val="20"/>
                <w:szCs w:val="20"/>
                <w:lang w:eastAsia="en-GB"/>
              </w:rPr>
            </w:pPr>
            <w:r w:rsidRPr="00D6259F">
              <w:rPr>
                <w:color w:val="000000" w:themeColor="text1"/>
                <w:sz w:val="20"/>
                <w:szCs w:val="20"/>
                <w:lang w:eastAsia="en-GB"/>
              </w:rPr>
              <w:t>80%</w:t>
            </w:r>
          </w:p>
        </w:tc>
        <w:tc>
          <w:tcPr>
            <w:tcW w:w="1646" w:type="dxa"/>
            <w:tcBorders>
              <w:left w:val="single" w:sz="4" w:space="0" w:color="auto"/>
              <w:right w:val="single" w:sz="4" w:space="0" w:color="auto"/>
            </w:tcBorders>
          </w:tcPr>
          <w:p w14:paraId="0C87CCA0" w14:textId="77777777" w:rsidR="001D23AE" w:rsidRPr="00D6259F" w:rsidRDefault="001D23AE" w:rsidP="0004786A">
            <w:pPr>
              <w:spacing w:after="0" w:line="240" w:lineRule="auto"/>
              <w:jc w:val="center"/>
              <w:rPr>
                <w:color w:val="000000" w:themeColor="text1"/>
                <w:sz w:val="20"/>
                <w:szCs w:val="20"/>
                <w:lang w:eastAsia="en-GB"/>
              </w:rPr>
            </w:pPr>
            <w:r w:rsidRPr="00D6259F">
              <w:rPr>
                <w:color w:val="000000" w:themeColor="text1"/>
                <w:sz w:val="20"/>
                <w:szCs w:val="20"/>
                <w:lang w:eastAsia="en-GB"/>
              </w:rPr>
              <w:t>80%</w:t>
            </w:r>
          </w:p>
        </w:tc>
        <w:tc>
          <w:tcPr>
            <w:tcW w:w="4116" w:type="dxa"/>
            <w:tcBorders>
              <w:left w:val="single" w:sz="4" w:space="0" w:color="auto"/>
              <w:right w:val="single" w:sz="4" w:space="0" w:color="auto"/>
            </w:tcBorders>
          </w:tcPr>
          <w:p w14:paraId="50C1C268" w14:textId="77777777" w:rsidR="001D23AE" w:rsidRPr="00D6259F" w:rsidRDefault="001D23AE" w:rsidP="0004786A">
            <w:pPr>
              <w:spacing w:after="0" w:line="240" w:lineRule="auto"/>
              <w:rPr>
                <w:color w:val="000000" w:themeColor="text1"/>
                <w:sz w:val="20"/>
                <w:szCs w:val="20"/>
                <w:lang w:eastAsia="en-GB"/>
              </w:rPr>
            </w:pPr>
            <w:r w:rsidRPr="00D6259F">
              <w:rPr>
                <w:color w:val="000000" w:themeColor="text1"/>
                <w:sz w:val="20"/>
                <w:szCs w:val="20"/>
                <w:lang w:eastAsia="en-GB"/>
              </w:rPr>
              <w:t>Business incubators.</w:t>
            </w:r>
          </w:p>
        </w:tc>
      </w:tr>
      <w:tr w:rsidR="00D6259F" w:rsidRPr="00D6259F" w14:paraId="4FC9A967" w14:textId="77777777" w:rsidTr="00BD3F59">
        <w:trPr>
          <w:cantSplit/>
          <w:trHeight w:val="463"/>
        </w:trPr>
        <w:tc>
          <w:tcPr>
            <w:tcW w:w="2498" w:type="dxa"/>
            <w:tcBorders>
              <w:top w:val="nil"/>
              <w:left w:val="single" w:sz="4" w:space="0" w:color="auto"/>
              <w:right w:val="single" w:sz="4" w:space="0" w:color="auto"/>
            </w:tcBorders>
          </w:tcPr>
          <w:p w14:paraId="6150D348" w14:textId="77777777" w:rsidR="001D23AE" w:rsidRPr="00D6259F" w:rsidRDefault="001D23AE" w:rsidP="0004786A">
            <w:pPr>
              <w:spacing w:after="0" w:line="240" w:lineRule="auto"/>
              <w:rPr>
                <w:color w:val="000000" w:themeColor="text1"/>
                <w:sz w:val="20"/>
                <w:szCs w:val="20"/>
                <w:lang w:eastAsia="en-GB"/>
              </w:rPr>
            </w:pPr>
            <w:r w:rsidRPr="00D6259F">
              <w:rPr>
                <w:color w:val="000000" w:themeColor="text1"/>
                <w:sz w:val="20"/>
                <w:szCs w:val="20"/>
                <w:lang w:eastAsia="en-GB"/>
              </w:rPr>
              <w:t>Wellington Waterfront Limited</w:t>
            </w:r>
          </w:p>
        </w:tc>
        <w:tc>
          <w:tcPr>
            <w:tcW w:w="1646" w:type="dxa"/>
            <w:tcBorders>
              <w:left w:val="single" w:sz="4" w:space="0" w:color="auto"/>
              <w:right w:val="single" w:sz="4" w:space="0" w:color="auto"/>
            </w:tcBorders>
          </w:tcPr>
          <w:p w14:paraId="74C66824" w14:textId="77777777" w:rsidR="001D23AE" w:rsidRPr="00D6259F" w:rsidRDefault="001D23AE" w:rsidP="0004786A">
            <w:pPr>
              <w:spacing w:after="0" w:line="240" w:lineRule="auto"/>
              <w:jc w:val="center"/>
              <w:rPr>
                <w:color w:val="000000" w:themeColor="text1"/>
                <w:sz w:val="20"/>
                <w:szCs w:val="20"/>
                <w:lang w:eastAsia="en-GB"/>
              </w:rPr>
            </w:pPr>
            <w:r w:rsidRPr="00D6259F">
              <w:rPr>
                <w:color w:val="000000" w:themeColor="text1"/>
                <w:sz w:val="20"/>
                <w:szCs w:val="20"/>
                <w:lang w:eastAsia="en-GB"/>
              </w:rPr>
              <w:t>100%</w:t>
            </w:r>
          </w:p>
        </w:tc>
        <w:tc>
          <w:tcPr>
            <w:tcW w:w="1646" w:type="dxa"/>
            <w:tcBorders>
              <w:left w:val="single" w:sz="4" w:space="0" w:color="auto"/>
              <w:right w:val="single" w:sz="4" w:space="0" w:color="auto"/>
            </w:tcBorders>
          </w:tcPr>
          <w:p w14:paraId="7A9617FF" w14:textId="77777777" w:rsidR="001D23AE" w:rsidRPr="00D6259F" w:rsidRDefault="001D23AE" w:rsidP="0004786A">
            <w:pPr>
              <w:spacing w:after="0" w:line="240" w:lineRule="auto"/>
              <w:jc w:val="center"/>
              <w:rPr>
                <w:color w:val="000000" w:themeColor="text1"/>
                <w:sz w:val="20"/>
                <w:szCs w:val="20"/>
                <w:lang w:eastAsia="en-GB"/>
              </w:rPr>
            </w:pPr>
            <w:r w:rsidRPr="00D6259F">
              <w:rPr>
                <w:color w:val="000000" w:themeColor="text1"/>
                <w:sz w:val="20"/>
                <w:szCs w:val="20"/>
                <w:lang w:eastAsia="en-GB"/>
              </w:rPr>
              <w:t>100%</w:t>
            </w:r>
          </w:p>
        </w:tc>
        <w:tc>
          <w:tcPr>
            <w:tcW w:w="4116" w:type="dxa"/>
            <w:tcBorders>
              <w:left w:val="single" w:sz="4" w:space="0" w:color="auto"/>
              <w:right w:val="single" w:sz="4" w:space="0" w:color="auto"/>
            </w:tcBorders>
          </w:tcPr>
          <w:p w14:paraId="6B2399A1" w14:textId="5178811F" w:rsidR="001D23AE" w:rsidRPr="00D6259F" w:rsidRDefault="001D23AE" w:rsidP="0004786A">
            <w:pPr>
              <w:spacing w:after="0" w:line="240" w:lineRule="auto"/>
              <w:rPr>
                <w:color w:val="000000" w:themeColor="text1"/>
                <w:sz w:val="20"/>
                <w:szCs w:val="20"/>
                <w:lang w:eastAsia="en-GB"/>
              </w:rPr>
            </w:pPr>
            <w:r w:rsidRPr="00D6259F">
              <w:rPr>
                <w:color w:val="000000" w:themeColor="text1"/>
                <w:sz w:val="20"/>
                <w:szCs w:val="20"/>
                <w:lang w:eastAsia="en-GB"/>
              </w:rPr>
              <w:t xml:space="preserve">Acts as bare trustee for the </w:t>
            </w:r>
            <w:r w:rsidR="008F0264" w:rsidRPr="00D6259F">
              <w:rPr>
                <w:color w:val="000000" w:themeColor="text1"/>
                <w:sz w:val="20"/>
                <w:szCs w:val="20"/>
                <w:lang w:eastAsia="en-GB"/>
              </w:rPr>
              <w:t xml:space="preserve">Wellington </w:t>
            </w:r>
            <w:r w:rsidRPr="00D6259F">
              <w:rPr>
                <w:color w:val="000000" w:themeColor="text1"/>
                <w:sz w:val="20"/>
                <w:szCs w:val="20"/>
                <w:lang w:eastAsia="en-GB"/>
              </w:rPr>
              <w:t>Waterfront project.</w:t>
            </w:r>
          </w:p>
        </w:tc>
      </w:tr>
      <w:tr w:rsidR="00D6259F" w:rsidRPr="00D6259F" w14:paraId="70F32094" w14:textId="77777777" w:rsidTr="00BD3F59">
        <w:trPr>
          <w:cantSplit/>
          <w:trHeight w:val="612"/>
        </w:trPr>
        <w:tc>
          <w:tcPr>
            <w:tcW w:w="2498" w:type="dxa"/>
            <w:tcBorders>
              <w:left w:val="single" w:sz="4" w:space="0" w:color="auto"/>
              <w:right w:val="single" w:sz="4" w:space="0" w:color="auto"/>
            </w:tcBorders>
          </w:tcPr>
          <w:p w14:paraId="0674AE43" w14:textId="77777777" w:rsidR="001D23AE" w:rsidRPr="00D6259F" w:rsidRDefault="001D23AE" w:rsidP="0004786A">
            <w:pPr>
              <w:spacing w:after="0" w:line="240" w:lineRule="auto"/>
              <w:rPr>
                <w:color w:val="000000" w:themeColor="text1"/>
                <w:sz w:val="20"/>
                <w:szCs w:val="20"/>
                <w:lang w:eastAsia="en-GB"/>
              </w:rPr>
            </w:pPr>
            <w:r w:rsidRPr="00D6259F">
              <w:rPr>
                <w:color w:val="000000" w:themeColor="text1"/>
                <w:sz w:val="20"/>
                <w:szCs w:val="20"/>
                <w:lang w:eastAsia="en-GB"/>
              </w:rPr>
              <w:t>Wellington Zoo Trust</w:t>
            </w:r>
          </w:p>
        </w:tc>
        <w:tc>
          <w:tcPr>
            <w:tcW w:w="1646" w:type="dxa"/>
            <w:tcBorders>
              <w:left w:val="single" w:sz="4" w:space="0" w:color="auto"/>
              <w:right w:val="single" w:sz="4" w:space="0" w:color="auto"/>
            </w:tcBorders>
          </w:tcPr>
          <w:p w14:paraId="454DEBA6" w14:textId="77777777" w:rsidR="001D23AE" w:rsidRPr="00D6259F" w:rsidRDefault="001D23AE" w:rsidP="0004786A">
            <w:pPr>
              <w:spacing w:after="0" w:line="240" w:lineRule="auto"/>
              <w:jc w:val="center"/>
              <w:rPr>
                <w:color w:val="000000" w:themeColor="text1"/>
                <w:sz w:val="20"/>
                <w:szCs w:val="20"/>
                <w:lang w:eastAsia="en-GB"/>
              </w:rPr>
            </w:pPr>
            <w:r w:rsidRPr="00D6259F">
              <w:rPr>
                <w:color w:val="000000" w:themeColor="text1"/>
                <w:sz w:val="20"/>
                <w:szCs w:val="20"/>
                <w:lang w:eastAsia="en-GB"/>
              </w:rPr>
              <w:t>100%</w:t>
            </w:r>
          </w:p>
        </w:tc>
        <w:tc>
          <w:tcPr>
            <w:tcW w:w="1646" w:type="dxa"/>
            <w:tcBorders>
              <w:left w:val="single" w:sz="4" w:space="0" w:color="auto"/>
              <w:right w:val="single" w:sz="4" w:space="0" w:color="auto"/>
            </w:tcBorders>
          </w:tcPr>
          <w:p w14:paraId="595618B1" w14:textId="77777777" w:rsidR="001D23AE" w:rsidRPr="00D6259F" w:rsidRDefault="001D23AE" w:rsidP="0004786A">
            <w:pPr>
              <w:spacing w:after="0" w:line="240" w:lineRule="auto"/>
              <w:jc w:val="center"/>
              <w:rPr>
                <w:color w:val="000000" w:themeColor="text1"/>
                <w:sz w:val="20"/>
                <w:szCs w:val="20"/>
                <w:lang w:eastAsia="en-GB"/>
              </w:rPr>
            </w:pPr>
            <w:r w:rsidRPr="00D6259F">
              <w:rPr>
                <w:color w:val="000000" w:themeColor="text1"/>
                <w:sz w:val="20"/>
                <w:szCs w:val="20"/>
                <w:lang w:eastAsia="en-GB"/>
              </w:rPr>
              <w:t>100%</w:t>
            </w:r>
          </w:p>
        </w:tc>
        <w:tc>
          <w:tcPr>
            <w:tcW w:w="4116" w:type="dxa"/>
            <w:tcBorders>
              <w:left w:val="single" w:sz="4" w:space="0" w:color="auto"/>
              <w:right w:val="single" w:sz="4" w:space="0" w:color="auto"/>
            </w:tcBorders>
          </w:tcPr>
          <w:p w14:paraId="56FE32E3" w14:textId="77777777" w:rsidR="001D23AE" w:rsidRPr="00D6259F" w:rsidRDefault="001D23AE" w:rsidP="0004786A">
            <w:pPr>
              <w:spacing w:after="0" w:line="240" w:lineRule="auto"/>
              <w:rPr>
                <w:color w:val="000000" w:themeColor="text1"/>
                <w:sz w:val="20"/>
                <w:szCs w:val="20"/>
                <w:lang w:eastAsia="en-GB"/>
              </w:rPr>
            </w:pPr>
            <w:r w:rsidRPr="00D6259F">
              <w:rPr>
                <w:color w:val="000000" w:themeColor="text1"/>
                <w:sz w:val="20"/>
                <w:szCs w:val="20"/>
                <w:lang w:eastAsia="en-GB"/>
              </w:rPr>
              <w:t>Manages and guides the future direction of the Wellington Zoo.</w:t>
            </w:r>
          </w:p>
        </w:tc>
      </w:tr>
      <w:tr w:rsidR="00501A7C" w:rsidRPr="00D6259F" w14:paraId="65E265AC" w14:textId="77777777" w:rsidTr="00BD3F59">
        <w:trPr>
          <w:cantSplit/>
          <w:trHeight w:val="612"/>
        </w:trPr>
        <w:tc>
          <w:tcPr>
            <w:tcW w:w="2498" w:type="dxa"/>
            <w:tcBorders>
              <w:left w:val="single" w:sz="4" w:space="0" w:color="auto"/>
              <w:bottom w:val="single" w:sz="4" w:space="0" w:color="auto"/>
              <w:right w:val="single" w:sz="4" w:space="0" w:color="auto"/>
            </w:tcBorders>
          </w:tcPr>
          <w:p w14:paraId="2828B8D3" w14:textId="7E0B2216" w:rsidR="00501A7C" w:rsidRPr="00D6259F" w:rsidRDefault="00501A7C" w:rsidP="00501A7C">
            <w:pPr>
              <w:spacing w:after="0" w:line="240" w:lineRule="auto"/>
              <w:rPr>
                <w:color w:val="000000" w:themeColor="text1"/>
                <w:sz w:val="20"/>
                <w:szCs w:val="20"/>
                <w:lang w:eastAsia="en-GB"/>
              </w:rPr>
            </w:pPr>
            <w:r w:rsidRPr="00D6259F">
              <w:rPr>
                <w:color w:val="000000" w:themeColor="text1"/>
                <w:sz w:val="20"/>
                <w:szCs w:val="20"/>
                <w:lang w:eastAsia="en-GB"/>
              </w:rPr>
              <w:t xml:space="preserve">Te Toi </w:t>
            </w:r>
            <w:proofErr w:type="spellStart"/>
            <w:r w:rsidRPr="00D6259F">
              <w:rPr>
                <w:color w:val="000000" w:themeColor="text1"/>
                <w:sz w:val="20"/>
                <w:szCs w:val="20"/>
                <w:lang w:eastAsia="en-GB"/>
              </w:rPr>
              <w:t>Mahana</w:t>
            </w:r>
            <w:proofErr w:type="spellEnd"/>
            <w:r w:rsidRPr="00D6259F">
              <w:rPr>
                <w:color w:val="000000" w:themeColor="text1"/>
                <w:sz w:val="20"/>
                <w:szCs w:val="20"/>
                <w:lang w:eastAsia="en-GB"/>
              </w:rPr>
              <w:t xml:space="preserve"> </w:t>
            </w:r>
          </w:p>
        </w:tc>
        <w:tc>
          <w:tcPr>
            <w:tcW w:w="1646" w:type="dxa"/>
            <w:tcBorders>
              <w:left w:val="single" w:sz="4" w:space="0" w:color="auto"/>
              <w:bottom w:val="single" w:sz="4" w:space="0" w:color="auto"/>
              <w:right w:val="single" w:sz="4" w:space="0" w:color="auto"/>
            </w:tcBorders>
          </w:tcPr>
          <w:p w14:paraId="3D4735BE" w14:textId="0C279078" w:rsidR="00501A7C" w:rsidRPr="00D6259F" w:rsidRDefault="00501A7C" w:rsidP="00501A7C">
            <w:pPr>
              <w:spacing w:after="0" w:line="240" w:lineRule="auto"/>
              <w:jc w:val="center"/>
              <w:rPr>
                <w:color w:val="000000" w:themeColor="text1"/>
                <w:sz w:val="20"/>
                <w:szCs w:val="20"/>
                <w:lang w:eastAsia="en-GB"/>
              </w:rPr>
            </w:pPr>
            <w:r w:rsidRPr="00D6259F">
              <w:rPr>
                <w:color w:val="000000" w:themeColor="text1"/>
                <w:sz w:val="20"/>
                <w:szCs w:val="20"/>
                <w:lang w:eastAsia="en-GB"/>
              </w:rPr>
              <w:t>100%</w:t>
            </w:r>
          </w:p>
        </w:tc>
        <w:tc>
          <w:tcPr>
            <w:tcW w:w="1646" w:type="dxa"/>
            <w:tcBorders>
              <w:left w:val="single" w:sz="4" w:space="0" w:color="auto"/>
              <w:bottom w:val="single" w:sz="4" w:space="0" w:color="auto"/>
              <w:right w:val="single" w:sz="4" w:space="0" w:color="auto"/>
            </w:tcBorders>
          </w:tcPr>
          <w:p w14:paraId="6FE5919D" w14:textId="64DE036A" w:rsidR="00501A7C" w:rsidRPr="00D6259F" w:rsidRDefault="00501A7C" w:rsidP="00501A7C">
            <w:pPr>
              <w:spacing w:after="0" w:line="240" w:lineRule="auto"/>
              <w:jc w:val="center"/>
              <w:rPr>
                <w:color w:val="000000" w:themeColor="text1"/>
                <w:sz w:val="20"/>
                <w:szCs w:val="20"/>
                <w:lang w:eastAsia="en-GB"/>
              </w:rPr>
            </w:pPr>
            <w:r w:rsidRPr="00D6259F">
              <w:rPr>
                <w:color w:val="000000" w:themeColor="text1"/>
                <w:sz w:val="20"/>
                <w:szCs w:val="20"/>
                <w:lang w:eastAsia="en-GB"/>
              </w:rPr>
              <w:t>100%</w:t>
            </w:r>
          </w:p>
        </w:tc>
        <w:tc>
          <w:tcPr>
            <w:tcW w:w="4116" w:type="dxa"/>
            <w:tcBorders>
              <w:left w:val="single" w:sz="4" w:space="0" w:color="auto"/>
              <w:bottom w:val="single" w:sz="4" w:space="0" w:color="auto"/>
              <w:right w:val="single" w:sz="4" w:space="0" w:color="auto"/>
            </w:tcBorders>
          </w:tcPr>
          <w:p w14:paraId="55101AD6" w14:textId="39573F11" w:rsidR="00501A7C" w:rsidRPr="00D6259F" w:rsidRDefault="00B11432" w:rsidP="00501A7C">
            <w:pPr>
              <w:spacing w:after="0" w:line="240" w:lineRule="auto"/>
              <w:rPr>
                <w:color w:val="000000" w:themeColor="text1"/>
                <w:sz w:val="20"/>
                <w:szCs w:val="20"/>
                <w:lang w:eastAsia="en-GB"/>
              </w:rPr>
            </w:pPr>
            <w:r w:rsidRPr="00D6259F">
              <w:rPr>
                <w:color w:val="000000" w:themeColor="text1"/>
                <w:sz w:val="20"/>
                <w:szCs w:val="20"/>
                <w:lang w:eastAsia="en-GB"/>
              </w:rPr>
              <w:t>R</w:t>
            </w:r>
            <w:r w:rsidR="00501A7C" w:rsidRPr="00D6259F">
              <w:rPr>
                <w:color w:val="000000" w:themeColor="text1"/>
                <w:sz w:val="20"/>
                <w:szCs w:val="20"/>
                <w:lang w:eastAsia="en-GB"/>
              </w:rPr>
              <w:t xml:space="preserve">egistered Community Housing Provider for the Wellington </w:t>
            </w:r>
            <w:r w:rsidR="00AA31F1" w:rsidRPr="00D6259F">
              <w:rPr>
                <w:color w:val="000000" w:themeColor="text1"/>
                <w:sz w:val="20"/>
                <w:szCs w:val="20"/>
                <w:lang w:eastAsia="en-GB"/>
              </w:rPr>
              <w:t>c</w:t>
            </w:r>
            <w:r w:rsidR="00501A7C" w:rsidRPr="00D6259F">
              <w:rPr>
                <w:color w:val="000000" w:themeColor="text1"/>
                <w:sz w:val="20"/>
                <w:szCs w:val="20"/>
                <w:lang w:eastAsia="en-GB"/>
              </w:rPr>
              <w:t>ommunity.</w:t>
            </w:r>
          </w:p>
        </w:tc>
      </w:tr>
    </w:tbl>
    <w:p w14:paraId="2DBBC673" w14:textId="77777777" w:rsidR="001D23AE" w:rsidRPr="00D6259F" w:rsidRDefault="001D23AE" w:rsidP="004540A9">
      <w:pPr>
        <w:rPr>
          <w:color w:val="000000" w:themeColor="text1"/>
          <w:lang w:eastAsia="en-GB"/>
        </w:rPr>
      </w:pPr>
    </w:p>
    <w:p w14:paraId="0D42D561" w14:textId="77777777" w:rsidR="00D422B1" w:rsidRPr="00D6259F" w:rsidRDefault="00D422B1" w:rsidP="00C034D8">
      <w:pPr>
        <w:pStyle w:val="Heading2"/>
      </w:pPr>
      <w:bookmarkStart w:id="129" w:name="_Toc55482664"/>
      <w:bookmarkStart w:id="130" w:name="_Toc179890307"/>
      <w:r w:rsidRPr="00D6259F">
        <w:lastRenderedPageBreak/>
        <w:t>Note 2</w:t>
      </w:r>
      <w:r w:rsidR="00C65221" w:rsidRPr="00D6259F">
        <w:t>1</w:t>
      </w:r>
      <w:r w:rsidRPr="00D6259F">
        <w:t xml:space="preserve">: Investment in associates and joint </w:t>
      </w:r>
      <w:proofErr w:type="gramStart"/>
      <w:r w:rsidRPr="00D6259F">
        <w:t>venture</w:t>
      </w:r>
      <w:bookmarkStart w:id="131" w:name="OLE_LINK1"/>
      <w:bookmarkEnd w:id="129"/>
      <w:bookmarkEnd w:id="130"/>
      <w:proofErr w:type="gramEnd"/>
    </w:p>
    <w:bookmarkEnd w:id="131"/>
    <w:p w14:paraId="2B1C823D" w14:textId="1A657BAF" w:rsidR="00D422B1" w:rsidRPr="00D6259F" w:rsidRDefault="000F20D8" w:rsidP="00C034D8">
      <w:pPr>
        <w:rPr>
          <w:noProof/>
          <w:color w:val="000000" w:themeColor="text1"/>
        </w:rPr>
      </w:pPr>
      <w:r w:rsidRPr="00D6259F">
        <w:rPr>
          <w:b/>
          <w:bCs/>
          <w:noProof/>
          <w:color w:val="000000" w:themeColor="text1"/>
          <w:lang w:val="en-US"/>
        </w:rPr>
        <w:object w:dxaOrig="9510" w:dyaOrig="2730" w14:anchorId="34C5DFDC">
          <v:shape id="_x0000_i1074" type="#_x0000_t75" style="width:464pt;height:136pt" o:ole="">
            <v:imagedata r:id="rId110" o:title=""/>
          </v:shape>
          <o:OLEObject Type="Link" ProgID="Excel.Sheet.12" ShapeID="_x0000_i1074" DrawAspect="Content" r:id="rId111" UpdateMode="Always">
            <o:LinkType>EnhancedMetaFile</o:LinkType>
            <o:LockedField>false</o:LockedField>
          </o:OLEObject>
        </w:object>
      </w:r>
    </w:p>
    <w:p w14:paraId="7FBD3466" w14:textId="0D257CB5" w:rsidR="00D422B1" w:rsidRPr="00D6259F" w:rsidRDefault="00D422B1" w:rsidP="00C034D8">
      <w:pPr>
        <w:rPr>
          <w:color w:val="000000" w:themeColor="text1"/>
        </w:rPr>
      </w:pPr>
      <w:r w:rsidRPr="00D6259F">
        <w:rPr>
          <w:color w:val="000000" w:themeColor="text1"/>
        </w:rPr>
        <w:t xml:space="preserve">The Council has significant influence over the following entities as listed in </w:t>
      </w:r>
      <w:r w:rsidRPr="00D6259F">
        <w:rPr>
          <w:i/>
          <w:color w:val="000000" w:themeColor="text1"/>
        </w:rPr>
        <w:t xml:space="preserve">Table </w:t>
      </w:r>
      <w:r w:rsidR="00921C9A" w:rsidRPr="00D6259F">
        <w:rPr>
          <w:i/>
          <w:color w:val="000000" w:themeColor="text1"/>
        </w:rPr>
        <w:t>39</w:t>
      </w:r>
      <w:r w:rsidRPr="00D6259F">
        <w:rPr>
          <w:color w:val="000000" w:themeColor="text1"/>
        </w:rPr>
        <w:t>. All of these are domiciled and operate in New Zealand</w:t>
      </w:r>
      <w:r w:rsidR="00512670" w:rsidRPr="00D6259F">
        <w:rPr>
          <w:color w:val="000000" w:themeColor="text1"/>
        </w:rPr>
        <w:t>.</w:t>
      </w:r>
    </w:p>
    <w:tbl>
      <w:tblPr>
        <w:tblW w:w="9950" w:type="dxa"/>
        <w:tblInd w:w="110" w:type="dxa"/>
        <w:tblBorders>
          <w:insideH w:val="single" w:sz="4" w:space="0" w:color="auto"/>
        </w:tblBorders>
        <w:tblLayout w:type="fixed"/>
        <w:tblLook w:val="0000" w:firstRow="0" w:lastRow="0" w:firstColumn="0" w:lastColumn="0" w:noHBand="0" w:noVBand="0"/>
      </w:tblPr>
      <w:tblGrid>
        <w:gridCol w:w="3287"/>
        <w:gridCol w:w="1462"/>
        <w:gridCol w:w="1515"/>
        <w:gridCol w:w="3686"/>
      </w:tblGrid>
      <w:tr w:rsidR="00D6259F" w:rsidRPr="00D6259F" w14:paraId="3D327F51" w14:textId="77777777" w:rsidTr="00265F64">
        <w:trPr>
          <w:cantSplit/>
          <w:trHeight w:val="668"/>
        </w:trPr>
        <w:tc>
          <w:tcPr>
            <w:tcW w:w="3287" w:type="dxa"/>
            <w:tcBorders>
              <w:top w:val="single" w:sz="4" w:space="0" w:color="auto"/>
              <w:left w:val="single" w:sz="4" w:space="0" w:color="auto"/>
              <w:right w:val="single" w:sz="4" w:space="0" w:color="auto"/>
            </w:tcBorders>
          </w:tcPr>
          <w:p w14:paraId="18902FE2" w14:textId="25F0D31E" w:rsidR="00D422B1" w:rsidRPr="00D6259F" w:rsidRDefault="00D422B1" w:rsidP="00DA32AF">
            <w:pPr>
              <w:spacing w:after="0"/>
              <w:rPr>
                <w:b/>
                <w:bCs/>
                <w:color w:val="000000" w:themeColor="text1"/>
                <w:lang w:eastAsia="en-GB"/>
              </w:rPr>
            </w:pPr>
            <w:r w:rsidRPr="00D6259F">
              <w:rPr>
                <w:b/>
                <w:bCs/>
                <w:color w:val="000000" w:themeColor="text1"/>
                <w:lang w:eastAsia="en-GB"/>
              </w:rPr>
              <w:t xml:space="preserve">Table </w:t>
            </w:r>
            <w:r w:rsidR="0069506B" w:rsidRPr="00D6259F">
              <w:rPr>
                <w:b/>
                <w:bCs/>
                <w:color w:val="000000" w:themeColor="text1"/>
                <w:lang w:eastAsia="en-GB"/>
              </w:rPr>
              <w:t>39</w:t>
            </w:r>
            <w:r w:rsidRPr="00D6259F">
              <w:rPr>
                <w:b/>
                <w:bCs/>
                <w:color w:val="000000" w:themeColor="text1"/>
                <w:lang w:eastAsia="en-GB"/>
              </w:rPr>
              <w:t xml:space="preserve">: Associates and </w:t>
            </w:r>
            <w:r w:rsidR="003D661E" w:rsidRPr="00D6259F">
              <w:rPr>
                <w:b/>
                <w:bCs/>
                <w:color w:val="000000" w:themeColor="text1"/>
                <w:lang w:eastAsia="en-GB"/>
              </w:rPr>
              <w:t>j</w:t>
            </w:r>
            <w:r w:rsidRPr="00D6259F">
              <w:rPr>
                <w:b/>
                <w:bCs/>
                <w:color w:val="000000" w:themeColor="text1"/>
                <w:lang w:eastAsia="en-GB"/>
              </w:rPr>
              <w:t>oint venture</w:t>
            </w:r>
          </w:p>
        </w:tc>
        <w:tc>
          <w:tcPr>
            <w:tcW w:w="1462" w:type="dxa"/>
            <w:tcBorders>
              <w:top w:val="single" w:sz="4" w:space="0" w:color="auto"/>
              <w:left w:val="nil"/>
              <w:right w:val="single" w:sz="4" w:space="0" w:color="auto"/>
            </w:tcBorders>
          </w:tcPr>
          <w:p w14:paraId="6E89AA45" w14:textId="77777777" w:rsidR="00D422B1" w:rsidRPr="00D6259F" w:rsidRDefault="00D422B1" w:rsidP="003B39B8">
            <w:pPr>
              <w:spacing w:after="0"/>
              <w:jc w:val="center"/>
              <w:rPr>
                <w:b/>
                <w:bCs/>
                <w:color w:val="000000" w:themeColor="text1"/>
                <w:lang w:eastAsia="en-GB"/>
              </w:rPr>
            </w:pPr>
            <w:r w:rsidRPr="00D6259F">
              <w:rPr>
                <w:b/>
                <w:bCs/>
                <w:color w:val="000000" w:themeColor="text1"/>
                <w:lang w:eastAsia="en-GB"/>
              </w:rPr>
              <w:t>Accounting Interest</w:t>
            </w:r>
          </w:p>
          <w:p w14:paraId="3256099C" w14:textId="30F349D0" w:rsidR="00D422B1" w:rsidRPr="00D6259F" w:rsidRDefault="00D422B1" w:rsidP="003B39B8">
            <w:pPr>
              <w:spacing w:after="0"/>
              <w:jc w:val="center"/>
              <w:rPr>
                <w:b/>
                <w:bCs/>
                <w:color w:val="000000" w:themeColor="text1"/>
                <w:lang w:eastAsia="en-GB"/>
              </w:rPr>
            </w:pPr>
            <w:r w:rsidRPr="00D6259F">
              <w:rPr>
                <w:b/>
                <w:bCs/>
                <w:color w:val="000000" w:themeColor="text1"/>
                <w:lang w:eastAsia="en-GB"/>
              </w:rPr>
              <w:t>202</w:t>
            </w:r>
            <w:r w:rsidR="004D199D" w:rsidRPr="00D6259F">
              <w:rPr>
                <w:b/>
                <w:bCs/>
                <w:color w:val="000000" w:themeColor="text1"/>
                <w:lang w:eastAsia="en-GB"/>
              </w:rPr>
              <w:t>4</w:t>
            </w:r>
          </w:p>
        </w:tc>
        <w:tc>
          <w:tcPr>
            <w:tcW w:w="1515" w:type="dxa"/>
            <w:tcBorders>
              <w:top w:val="single" w:sz="4" w:space="0" w:color="auto"/>
              <w:left w:val="nil"/>
              <w:right w:val="single" w:sz="4" w:space="0" w:color="auto"/>
            </w:tcBorders>
          </w:tcPr>
          <w:p w14:paraId="29BB78EB" w14:textId="77777777" w:rsidR="00D422B1" w:rsidRPr="00D6259F" w:rsidRDefault="00D422B1" w:rsidP="003B39B8">
            <w:pPr>
              <w:spacing w:after="0"/>
              <w:jc w:val="center"/>
              <w:rPr>
                <w:b/>
                <w:bCs/>
                <w:color w:val="000000" w:themeColor="text1"/>
                <w:lang w:eastAsia="en-GB"/>
              </w:rPr>
            </w:pPr>
            <w:r w:rsidRPr="00D6259F">
              <w:rPr>
                <w:b/>
                <w:bCs/>
                <w:color w:val="000000" w:themeColor="text1"/>
                <w:lang w:eastAsia="en-GB"/>
              </w:rPr>
              <w:t>Accounting Interest</w:t>
            </w:r>
          </w:p>
          <w:p w14:paraId="181AA1A5" w14:textId="0531A98F" w:rsidR="00D422B1" w:rsidRPr="00D6259F" w:rsidRDefault="00D422B1" w:rsidP="003B39B8">
            <w:pPr>
              <w:spacing w:after="0"/>
              <w:jc w:val="center"/>
              <w:rPr>
                <w:b/>
                <w:bCs/>
                <w:color w:val="000000" w:themeColor="text1"/>
                <w:lang w:eastAsia="en-GB"/>
              </w:rPr>
            </w:pPr>
            <w:r w:rsidRPr="00D6259F">
              <w:rPr>
                <w:b/>
                <w:bCs/>
                <w:color w:val="000000" w:themeColor="text1"/>
                <w:lang w:eastAsia="en-GB"/>
              </w:rPr>
              <w:t>20</w:t>
            </w:r>
            <w:r w:rsidR="00D05B77" w:rsidRPr="00D6259F">
              <w:rPr>
                <w:b/>
                <w:bCs/>
                <w:color w:val="000000" w:themeColor="text1"/>
                <w:lang w:eastAsia="en-GB"/>
              </w:rPr>
              <w:t>2</w:t>
            </w:r>
            <w:r w:rsidR="004D199D" w:rsidRPr="00D6259F">
              <w:rPr>
                <w:b/>
                <w:bCs/>
                <w:color w:val="000000" w:themeColor="text1"/>
                <w:lang w:eastAsia="en-GB"/>
              </w:rPr>
              <w:t>3</w:t>
            </w:r>
          </w:p>
        </w:tc>
        <w:tc>
          <w:tcPr>
            <w:tcW w:w="3686" w:type="dxa"/>
            <w:tcBorders>
              <w:top w:val="single" w:sz="4" w:space="0" w:color="auto"/>
              <w:left w:val="single" w:sz="4" w:space="0" w:color="auto"/>
              <w:right w:val="single" w:sz="4" w:space="0" w:color="auto"/>
            </w:tcBorders>
          </w:tcPr>
          <w:p w14:paraId="50B7FB5A" w14:textId="77777777" w:rsidR="00D422B1" w:rsidRPr="00D6259F" w:rsidRDefault="00D422B1" w:rsidP="00DA32AF">
            <w:pPr>
              <w:spacing w:after="0"/>
              <w:rPr>
                <w:b/>
                <w:bCs/>
                <w:color w:val="000000" w:themeColor="text1"/>
                <w:lang w:eastAsia="en-GB"/>
              </w:rPr>
            </w:pPr>
            <w:r w:rsidRPr="00D6259F">
              <w:rPr>
                <w:b/>
                <w:bCs/>
                <w:color w:val="000000" w:themeColor="text1"/>
                <w:lang w:eastAsia="en-GB"/>
              </w:rPr>
              <w:t>Nature of business</w:t>
            </w:r>
          </w:p>
        </w:tc>
      </w:tr>
      <w:tr w:rsidR="00D6259F" w:rsidRPr="00D6259F" w14:paraId="32287F9A" w14:textId="77777777" w:rsidTr="00265F64">
        <w:trPr>
          <w:cantSplit/>
          <w:trHeight w:val="336"/>
        </w:trPr>
        <w:tc>
          <w:tcPr>
            <w:tcW w:w="3287" w:type="dxa"/>
            <w:tcBorders>
              <w:left w:val="single" w:sz="4" w:space="0" w:color="auto"/>
              <w:bottom w:val="nil"/>
              <w:right w:val="single" w:sz="4" w:space="0" w:color="auto"/>
            </w:tcBorders>
          </w:tcPr>
          <w:p w14:paraId="554B152D" w14:textId="77777777" w:rsidR="00D422B1" w:rsidRPr="00D6259F" w:rsidRDefault="00D422B1" w:rsidP="00DA32AF">
            <w:pPr>
              <w:spacing w:after="0"/>
              <w:rPr>
                <w:color w:val="000000" w:themeColor="text1"/>
                <w:lang w:eastAsia="en-GB"/>
              </w:rPr>
            </w:pPr>
            <w:proofErr w:type="spellStart"/>
            <w:r w:rsidRPr="00D6259F">
              <w:rPr>
                <w:color w:val="000000" w:themeColor="text1"/>
                <w:lang w:eastAsia="en-GB"/>
              </w:rPr>
              <w:t>Chaffers</w:t>
            </w:r>
            <w:proofErr w:type="spellEnd"/>
            <w:r w:rsidRPr="00D6259F">
              <w:rPr>
                <w:color w:val="000000" w:themeColor="text1"/>
                <w:lang w:eastAsia="en-GB"/>
              </w:rPr>
              <w:t xml:space="preserve"> Marina Holdings Limited</w:t>
            </w:r>
          </w:p>
        </w:tc>
        <w:tc>
          <w:tcPr>
            <w:tcW w:w="1462" w:type="dxa"/>
            <w:tcBorders>
              <w:left w:val="single" w:sz="4" w:space="0" w:color="auto"/>
              <w:right w:val="single" w:sz="4" w:space="0" w:color="auto"/>
            </w:tcBorders>
          </w:tcPr>
          <w:p w14:paraId="3C783584" w14:textId="43BC93E2" w:rsidR="00D422B1" w:rsidRPr="00D6259F" w:rsidRDefault="00B11432" w:rsidP="003B39B8">
            <w:pPr>
              <w:spacing w:after="0"/>
              <w:jc w:val="center"/>
              <w:rPr>
                <w:color w:val="000000" w:themeColor="text1"/>
                <w:lang w:eastAsia="en-GB"/>
              </w:rPr>
            </w:pPr>
            <w:r w:rsidRPr="00D6259F">
              <w:rPr>
                <w:color w:val="000000" w:themeColor="text1"/>
                <w:lang w:eastAsia="en-GB"/>
              </w:rPr>
              <w:t>10</w:t>
            </w:r>
            <w:r w:rsidR="00D422B1" w:rsidRPr="00D6259F">
              <w:rPr>
                <w:color w:val="000000" w:themeColor="text1"/>
                <w:lang w:eastAsia="en-GB"/>
              </w:rPr>
              <w:t>%</w:t>
            </w:r>
          </w:p>
        </w:tc>
        <w:tc>
          <w:tcPr>
            <w:tcW w:w="1515" w:type="dxa"/>
            <w:tcBorders>
              <w:left w:val="single" w:sz="4" w:space="0" w:color="auto"/>
              <w:right w:val="single" w:sz="4" w:space="0" w:color="auto"/>
            </w:tcBorders>
          </w:tcPr>
          <w:p w14:paraId="6AA9DE72" w14:textId="4158F36E" w:rsidR="00D422B1" w:rsidRPr="00D6259F" w:rsidRDefault="00B11432" w:rsidP="003B39B8">
            <w:pPr>
              <w:spacing w:after="0"/>
              <w:jc w:val="center"/>
              <w:rPr>
                <w:color w:val="000000" w:themeColor="text1"/>
                <w:lang w:eastAsia="en-GB"/>
              </w:rPr>
            </w:pPr>
            <w:r w:rsidRPr="00D6259F">
              <w:rPr>
                <w:color w:val="000000" w:themeColor="text1"/>
                <w:lang w:eastAsia="en-GB"/>
              </w:rPr>
              <w:t>10</w:t>
            </w:r>
            <w:r w:rsidR="00D422B1" w:rsidRPr="00D6259F">
              <w:rPr>
                <w:color w:val="000000" w:themeColor="text1"/>
                <w:lang w:eastAsia="en-GB"/>
              </w:rPr>
              <w:t>%</w:t>
            </w:r>
          </w:p>
        </w:tc>
        <w:tc>
          <w:tcPr>
            <w:tcW w:w="3686" w:type="dxa"/>
            <w:tcBorders>
              <w:left w:val="single" w:sz="4" w:space="0" w:color="auto"/>
              <w:right w:val="single" w:sz="4" w:space="0" w:color="auto"/>
            </w:tcBorders>
          </w:tcPr>
          <w:p w14:paraId="11C79EEC" w14:textId="77777777" w:rsidR="00D422B1" w:rsidRPr="00D6259F" w:rsidRDefault="00D422B1" w:rsidP="00DA32AF">
            <w:pPr>
              <w:spacing w:after="0"/>
              <w:rPr>
                <w:color w:val="000000" w:themeColor="text1"/>
                <w:lang w:eastAsia="en-GB"/>
              </w:rPr>
            </w:pPr>
            <w:r w:rsidRPr="00D6259F">
              <w:rPr>
                <w:color w:val="000000" w:themeColor="text1"/>
                <w:lang w:eastAsia="en-GB"/>
              </w:rPr>
              <w:t xml:space="preserve">Holding company for </w:t>
            </w:r>
            <w:proofErr w:type="spellStart"/>
            <w:r w:rsidRPr="00D6259F">
              <w:rPr>
                <w:color w:val="000000" w:themeColor="text1"/>
                <w:lang w:eastAsia="en-GB"/>
              </w:rPr>
              <w:t>Chaffers</w:t>
            </w:r>
            <w:proofErr w:type="spellEnd"/>
            <w:r w:rsidRPr="00D6259F">
              <w:rPr>
                <w:color w:val="000000" w:themeColor="text1"/>
                <w:lang w:eastAsia="en-GB"/>
              </w:rPr>
              <w:t xml:space="preserve"> Marina Limited.</w:t>
            </w:r>
          </w:p>
        </w:tc>
      </w:tr>
      <w:tr w:rsidR="00D6259F" w:rsidRPr="00D6259F" w14:paraId="6DCF3F84" w14:textId="77777777" w:rsidTr="00265F64">
        <w:trPr>
          <w:cantSplit/>
          <w:trHeight w:val="336"/>
        </w:trPr>
        <w:tc>
          <w:tcPr>
            <w:tcW w:w="3287" w:type="dxa"/>
            <w:tcBorders>
              <w:top w:val="nil"/>
              <w:left w:val="single" w:sz="4" w:space="0" w:color="auto"/>
              <w:right w:val="single" w:sz="4" w:space="0" w:color="auto"/>
            </w:tcBorders>
          </w:tcPr>
          <w:p w14:paraId="56B415CE" w14:textId="77777777" w:rsidR="00D422B1" w:rsidRPr="00D6259F" w:rsidRDefault="00D422B1" w:rsidP="00DA32AF">
            <w:pPr>
              <w:spacing w:after="0"/>
              <w:rPr>
                <w:color w:val="000000" w:themeColor="text1"/>
                <w:lang w:eastAsia="en-GB"/>
              </w:rPr>
            </w:pPr>
            <w:r w:rsidRPr="00D6259F">
              <w:rPr>
                <w:color w:val="000000" w:themeColor="text1"/>
                <w:lang w:eastAsia="en-GB"/>
              </w:rPr>
              <w:t xml:space="preserve">    - </w:t>
            </w:r>
            <w:proofErr w:type="spellStart"/>
            <w:r w:rsidRPr="00D6259F">
              <w:rPr>
                <w:color w:val="000000" w:themeColor="text1"/>
                <w:lang w:eastAsia="en-GB"/>
              </w:rPr>
              <w:t>Chaffers</w:t>
            </w:r>
            <w:proofErr w:type="spellEnd"/>
            <w:r w:rsidRPr="00D6259F">
              <w:rPr>
                <w:color w:val="000000" w:themeColor="text1"/>
                <w:lang w:eastAsia="en-GB"/>
              </w:rPr>
              <w:t xml:space="preserve"> Marina Limited</w:t>
            </w:r>
          </w:p>
        </w:tc>
        <w:tc>
          <w:tcPr>
            <w:tcW w:w="1462" w:type="dxa"/>
            <w:tcBorders>
              <w:left w:val="single" w:sz="4" w:space="0" w:color="auto"/>
              <w:right w:val="single" w:sz="4" w:space="0" w:color="auto"/>
            </w:tcBorders>
          </w:tcPr>
          <w:p w14:paraId="55B55807" w14:textId="2C6194A8" w:rsidR="00D422B1" w:rsidRPr="00D6259F" w:rsidRDefault="00B11432" w:rsidP="003B39B8">
            <w:pPr>
              <w:spacing w:after="0"/>
              <w:jc w:val="center"/>
              <w:rPr>
                <w:color w:val="000000" w:themeColor="text1"/>
                <w:lang w:eastAsia="en-GB"/>
              </w:rPr>
            </w:pPr>
            <w:r w:rsidRPr="00D6259F">
              <w:rPr>
                <w:color w:val="000000" w:themeColor="text1"/>
                <w:lang w:eastAsia="en-GB"/>
              </w:rPr>
              <w:t>10</w:t>
            </w:r>
            <w:r w:rsidR="00D422B1" w:rsidRPr="00D6259F">
              <w:rPr>
                <w:color w:val="000000" w:themeColor="text1"/>
                <w:lang w:eastAsia="en-GB"/>
              </w:rPr>
              <w:t>%</w:t>
            </w:r>
          </w:p>
        </w:tc>
        <w:tc>
          <w:tcPr>
            <w:tcW w:w="1515" w:type="dxa"/>
            <w:tcBorders>
              <w:left w:val="single" w:sz="4" w:space="0" w:color="auto"/>
              <w:right w:val="single" w:sz="4" w:space="0" w:color="auto"/>
            </w:tcBorders>
          </w:tcPr>
          <w:p w14:paraId="28FED65E" w14:textId="048B3AA3" w:rsidR="00D422B1" w:rsidRPr="00D6259F" w:rsidRDefault="00B11432" w:rsidP="003B39B8">
            <w:pPr>
              <w:spacing w:after="0"/>
              <w:jc w:val="center"/>
              <w:rPr>
                <w:color w:val="000000" w:themeColor="text1"/>
                <w:lang w:eastAsia="en-GB"/>
              </w:rPr>
            </w:pPr>
            <w:r w:rsidRPr="00D6259F">
              <w:rPr>
                <w:color w:val="000000" w:themeColor="text1"/>
                <w:lang w:eastAsia="en-GB"/>
              </w:rPr>
              <w:t>10</w:t>
            </w:r>
            <w:r w:rsidR="00D422B1" w:rsidRPr="00D6259F">
              <w:rPr>
                <w:color w:val="000000" w:themeColor="text1"/>
                <w:lang w:eastAsia="en-GB"/>
              </w:rPr>
              <w:t>%</w:t>
            </w:r>
          </w:p>
        </w:tc>
        <w:tc>
          <w:tcPr>
            <w:tcW w:w="3686" w:type="dxa"/>
            <w:tcBorders>
              <w:left w:val="single" w:sz="4" w:space="0" w:color="auto"/>
              <w:right w:val="single" w:sz="4" w:space="0" w:color="auto"/>
            </w:tcBorders>
          </w:tcPr>
          <w:p w14:paraId="5372951C" w14:textId="155C0568" w:rsidR="00D422B1" w:rsidRPr="00D6259F" w:rsidRDefault="00D422B1" w:rsidP="00DA32AF">
            <w:pPr>
              <w:spacing w:after="0"/>
              <w:rPr>
                <w:color w:val="000000" w:themeColor="text1"/>
                <w:lang w:eastAsia="en-GB"/>
              </w:rPr>
            </w:pPr>
            <w:r w:rsidRPr="00D6259F">
              <w:rPr>
                <w:color w:val="000000" w:themeColor="text1"/>
                <w:lang w:eastAsia="en-GB"/>
              </w:rPr>
              <w:t xml:space="preserve">Owns and manages the </w:t>
            </w:r>
            <w:proofErr w:type="spellStart"/>
            <w:r w:rsidR="005653D7" w:rsidRPr="00D6259F">
              <w:rPr>
                <w:color w:val="000000" w:themeColor="text1"/>
                <w:lang w:eastAsia="en-GB"/>
              </w:rPr>
              <w:t>Chaffers</w:t>
            </w:r>
            <w:proofErr w:type="spellEnd"/>
            <w:r w:rsidR="005653D7" w:rsidRPr="00D6259F">
              <w:rPr>
                <w:color w:val="000000" w:themeColor="text1"/>
                <w:lang w:eastAsia="en-GB"/>
              </w:rPr>
              <w:t xml:space="preserve"> </w:t>
            </w:r>
            <w:r w:rsidR="00B11432" w:rsidRPr="00D6259F">
              <w:rPr>
                <w:color w:val="000000" w:themeColor="text1"/>
                <w:lang w:eastAsia="en-GB"/>
              </w:rPr>
              <w:t>M</w:t>
            </w:r>
            <w:r w:rsidRPr="00D6259F">
              <w:rPr>
                <w:color w:val="000000" w:themeColor="text1"/>
                <w:lang w:eastAsia="en-GB"/>
              </w:rPr>
              <w:t>arina.</w:t>
            </w:r>
          </w:p>
        </w:tc>
      </w:tr>
      <w:tr w:rsidR="00D6259F" w:rsidRPr="00D6259F" w14:paraId="6437B2E0" w14:textId="77777777" w:rsidTr="00265F64">
        <w:trPr>
          <w:cantSplit/>
          <w:trHeight w:val="512"/>
        </w:trPr>
        <w:tc>
          <w:tcPr>
            <w:tcW w:w="3287" w:type="dxa"/>
            <w:tcBorders>
              <w:left w:val="single" w:sz="4" w:space="0" w:color="auto"/>
              <w:right w:val="single" w:sz="4" w:space="0" w:color="auto"/>
            </w:tcBorders>
          </w:tcPr>
          <w:p w14:paraId="42C49DD1" w14:textId="77777777" w:rsidR="00D422B1" w:rsidRPr="00D6259F" w:rsidRDefault="00D422B1" w:rsidP="00DA32AF">
            <w:pPr>
              <w:spacing w:after="0"/>
              <w:rPr>
                <w:color w:val="000000" w:themeColor="text1"/>
                <w:lang w:eastAsia="en-GB"/>
              </w:rPr>
            </w:pPr>
            <w:r w:rsidRPr="00D6259F">
              <w:rPr>
                <w:color w:val="000000" w:themeColor="text1"/>
                <w:lang w:eastAsia="en-GB"/>
              </w:rPr>
              <w:t>Wellington International Airport Limited</w:t>
            </w:r>
          </w:p>
        </w:tc>
        <w:tc>
          <w:tcPr>
            <w:tcW w:w="1462" w:type="dxa"/>
            <w:tcBorders>
              <w:left w:val="single" w:sz="4" w:space="0" w:color="auto"/>
              <w:right w:val="single" w:sz="4" w:space="0" w:color="auto"/>
            </w:tcBorders>
          </w:tcPr>
          <w:p w14:paraId="0BE7464D" w14:textId="77777777" w:rsidR="00D422B1" w:rsidRPr="00D6259F" w:rsidRDefault="00D422B1" w:rsidP="003B39B8">
            <w:pPr>
              <w:spacing w:after="0"/>
              <w:jc w:val="center"/>
              <w:rPr>
                <w:color w:val="000000" w:themeColor="text1"/>
                <w:lang w:eastAsia="en-GB"/>
              </w:rPr>
            </w:pPr>
            <w:r w:rsidRPr="00D6259F">
              <w:rPr>
                <w:color w:val="000000" w:themeColor="text1"/>
                <w:lang w:eastAsia="en-GB"/>
              </w:rPr>
              <w:t>34%</w:t>
            </w:r>
          </w:p>
        </w:tc>
        <w:tc>
          <w:tcPr>
            <w:tcW w:w="1515" w:type="dxa"/>
            <w:tcBorders>
              <w:left w:val="single" w:sz="4" w:space="0" w:color="auto"/>
              <w:right w:val="single" w:sz="4" w:space="0" w:color="auto"/>
            </w:tcBorders>
          </w:tcPr>
          <w:p w14:paraId="4280B69D" w14:textId="77777777" w:rsidR="00D422B1" w:rsidRPr="00D6259F" w:rsidRDefault="00D422B1" w:rsidP="003B39B8">
            <w:pPr>
              <w:spacing w:after="0"/>
              <w:jc w:val="center"/>
              <w:rPr>
                <w:color w:val="000000" w:themeColor="text1"/>
                <w:lang w:eastAsia="en-GB"/>
              </w:rPr>
            </w:pPr>
            <w:r w:rsidRPr="00D6259F">
              <w:rPr>
                <w:color w:val="000000" w:themeColor="text1"/>
                <w:lang w:eastAsia="en-GB"/>
              </w:rPr>
              <w:t>34%</w:t>
            </w:r>
          </w:p>
        </w:tc>
        <w:tc>
          <w:tcPr>
            <w:tcW w:w="3686" w:type="dxa"/>
            <w:tcBorders>
              <w:left w:val="single" w:sz="4" w:space="0" w:color="auto"/>
              <w:right w:val="single" w:sz="4" w:space="0" w:color="auto"/>
            </w:tcBorders>
          </w:tcPr>
          <w:p w14:paraId="5EEA792E" w14:textId="77777777" w:rsidR="00D422B1" w:rsidRPr="00D6259F" w:rsidRDefault="00D422B1" w:rsidP="00DA32AF">
            <w:pPr>
              <w:spacing w:after="0"/>
              <w:rPr>
                <w:color w:val="000000" w:themeColor="text1"/>
                <w:lang w:eastAsia="en-GB"/>
              </w:rPr>
            </w:pPr>
            <w:r w:rsidRPr="00D6259F">
              <w:rPr>
                <w:color w:val="000000" w:themeColor="text1"/>
                <w:lang w:eastAsia="en-GB"/>
              </w:rPr>
              <w:t>Owns and manages Wellington International Airport facilities and services.</w:t>
            </w:r>
          </w:p>
        </w:tc>
      </w:tr>
      <w:tr w:rsidR="00D422B1" w:rsidRPr="00D6259F" w14:paraId="75F2C983" w14:textId="77777777" w:rsidTr="00265F64">
        <w:trPr>
          <w:cantSplit/>
          <w:trHeight w:val="836"/>
        </w:trPr>
        <w:tc>
          <w:tcPr>
            <w:tcW w:w="3287" w:type="dxa"/>
            <w:tcBorders>
              <w:left w:val="single" w:sz="4" w:space="0" w:color="auto"/>
              <w:bottom w:val="single" w:sz="4" w:space="0" w:color="auto"/>
              <w:right w:val="single" w:sz="4" w:space="0" w:color="auto"/>
            </w:tcBorders>
          </w:tcPr>
          <w:p w14:paraId="47D61B0F" w14:textId="77777777" w:rsidR="00D422B1" w:rsidRPr="00D6259F" w:rsidRDefault="00D422B1" w:rsidP="00DA32AF">
            <w:pPr>
              <w:spacing w:after="0"/>
              <w:rPr>
                <w:color w:val="000000" w:themeColor="text1"/>
                <w:lang w:eastAsia="en-GB"/>
              </w:rPr>
            </w:pPr>
            <w:r w:rsidRPr="00D6259F">
              <w:rPr>
                <w:color w:val="000000" w:themeColor="text1"/>
                <w:lang w:eastAsia="en-GB"/>
              </w:rPr>
              <w:t>Wellington Water Limited</w:t>
            </w:r>
          </w:p>
          <w:p w14:paraId="7BD8E690" w14:textId="77777777" w:rsidR="00D422B1" w:rsidRPr="00D6259F" w:rsidRDefault="00D422B1" w:rsidP="00DA32AF">
            <w:pPr>
              <w:spacing w:after="0"/>
              <w:rPr>
                <w:color w:val="000000" w:themeColor="text1"/>
                <w:lang w:eastAsia="en-GB"/>
              </w:rPr>
            </w:pPr>
          </w:p>
        </w:tc>
        <w:tc>
          <w:tcPr>
            <w:tcW w:w="1462" w:type="dxa"/>
            <w:tcBorders>
              <w:left w:val="single" w:sz="4" w:space="0" w:color="auto"/>
              <w:bottom w:val="single" w:sz="4" w:space="0" w:color="auto"/>
              <w:right w:val="single" w:sz="4" w:space="0" w:color="auto"/>
            </w:tcBorders>
          </w:tcPr>
          <w:p w14:paraId="4B121387" w14:textId="77777777" w:rsidR="00D422B1" w:rsidRPr="00D6259F" w:rsidRDefault="00D422B1" w:rsidP="003B39B8">
            <w:pPr>
              <w:spacing w:after="0"/>
              <w:jc w:val="center"/>
              <w:rPr>
                <w:color w:val="000000" w:themeColor="text1"/>
                <w:lang w:eastAsia="en-GB"/>
              </w:rPr>
            </w:pPr>
            <w:r w:rsidRPr="00D6259F">
              <w:rPr>
                <w:color w:val="000000" w:themeColor="text1"/>
                <w:lang w:eastAsia="en-GB"/>
              </w:rPr>
              <w:t>40%</w:t>
            </w:r>
          </w:p>
        </w:tc>
        <w:tc>
          <w:tcPr>
            <w:tcW w:w="1515" w:type="dxa"/>
            <w:tcBorders>
              <w:left w:val="single" w:sz="4" w:space="0" w:color="auto"/>
              <w:bottom w:val="single" w:sz="4" w:space="0" w:color="auto"/>
              <w:right w:val="single" w:sz="4" w:space="0" w:color="auto"/>
            </w:tcBorders>
          </w:tcPr>
          <w:p w14:paraId="0F840D91" w14:textId="77777777" w:rsidR="00D422B1" w:rsidRPr="00D6259F" w:rsidRDefault="00457948" w:rsidP="003B39B8">
            <w:pPr>
              <w:spacing w:after="0"/>
              <w:jc w:val="center"/>
              <w:rPr>
                <w:color w:val="000000" w:themeColor="text1"/>
                <w:lang w:eastAsia="en-GB"/>
              </w:rPr>
            </w:pPr>
            <w:r w:rsidRPr="00D6259F">
              <w:rPr>
                <w:color w:val="000000" w:themeColor="text1"/>
                <w:lang w:eastAsia="en-GB"/>
              </w:rPr>
              <w:t>40%</w:t>
            </w:r>
          </w:p>
        </w:tc>
        <w:tc>
          <w:tcPr>
            <w:tcW w:w="3686" w:type="dxa"/>
            <w:tcBorders>
              <w:left w:val="single" w:sz="4" w:space="0" w:color="auto"/>
              <w:bottom w:val="single" w:sz="4" w:space="0" w:color="auto"/>
              <w:right w:val="single" w:sz="4" w:space="0" w:color="auto"/>
            </w:tcBorders>
          </w:tcPr>
          <w:p w14:paraId="58094040" w14:textId="4A48B595" w:rsidR="00D422B1" w:rsidRPr="00D6259F" w:rsidRDefault="00D422B1" w:rsidP="00DA32AF">
            <w:pPr>
              <w:spacing w:after="0"/>
              <w:rPr>
                <w:color w:val="000000" w:themeColor="text1"/>
                <w:lang w:eastAsia="en-GB"/>
              </w:rPr>
            </w:pPr>
            <w:r w:rsidRPr="00D6259F">
              <w:rPr>
                <w:color w:val="000000" w:themeColor="text1"/>
                <w:lang w:eastAsia="en-GB"/>
              </w:rPr>
              <w:t xml:space="preserve">Manages all water services for Wellington, Hutt, Upper Hutt and Porirua city councils, the South Wairarapa District </w:t>
            </w:r>
            <w:proofErr w:type="gramStart"/>
            <w:r w:rsidRPr="00D6259F">
              <w:rPr>
                <w:color w:val="000000" w:themeColor="text1"/>
                <w:lang w:eastAsia="en-GB"/>
              </w:rPr>
              <w:t>Council</w:t>
            </w:r>
            <w:proofErr w:type="gramEnd"/>
            <w:r w:rsidRPr="00D6259F">
              <w:rPr>
                <w:color w:val="000000" w:themeColor="text1"/>
                <w:lang w:eastAsia="en-GB"/>
              </w:rPr>
              <w:t xml:space="preserve"> and the </w:t>
            </w:r>
            <w:r w:rsidR="003D661E" w:rsidRPr="00D6259F">
              <w:rPr>
                <w:color w:val="000000" w:themeColor="text1"/>
                <w:lang w:eastAsia="en-GB"/>
              </w:rPr>
              <w:t>Greater Wellington Regional Council.</w:t>
            </w:r>
          </w:p>
        </w:tc>
      </w:tr>
    </w:tbl>
    <w:p w14:paraId="7E29A6DD" w14:textId="77777777" w:rsidR="00B01A17" w:rsidRPr="00D6259F" w:rsidRDefault="00B01A17" w:rsidP="00C034D8">
      <w:pPr>
        <w:rPr>
          <w:color w:val="000000" w:themeColor="text1"/>
        </w:rPr>
      </w:pPr>
    </w:p>
    <w:p w14:paraId="1EF36B4A" w14:textId="5ACE1759" w:rsidR="00D422B1" w:rsidRPr="00D6259F" w:rsidRDefault="00D422B1" w:rsidP="00C034D8">
      <w:pPr>
        <w:rPr>
          <w:color w:val="000000" w:themeColor="text1"/>
        </w:rPr>
      </w:pPr>
      <w:r w:rsidRPr="00D6259F">
        <w:rPr>
          <w:color w:val="000000" w:themeColor="text1"/>
        </w:rPr>
        <w:t>Full copies of the</w:t>
      </w:r>
      <w:r w:rsidR="00512670" w:rsidRPr="00D6259F">
        <w:rPr>
          <w:color w:val="000000" w:themeColor="text1"/>
        </w:rPr>
        <w:t>ir</w:t>
      </w:r>
      <w:r w:rsidRPr="00D6259F">
        <w:rPr>
          <w:color w:val="000000" w:themeColor="text1"/>
        </w:rPr>
        <w:t xml:space="preserve"> separately prepared financial statements can be obtained directly from their respective offices.</w:t>
      </w:r>
    </w:p>
    <w:p w14:paraId="7B67CB39" w14:textId="77777777" w:rsidR="00D422B1" w:rsidRPr="00D6259F" w:rsidRDefault="00D422B1" w:rsidP="00C034D8">
      <w:pPr>
        <w:pStyle w:val="Heading3"/>
        <w:rPr>
          <w:rFonts w:cs="Arial"/>
        </w:rPr>
      </w:pPr>
      <w:bookmarkStart w:id="132" w:name="_Toc121217123"/>
      <w:r w:rsidRPr="00D6259F">
        <w:t>Associates</w:t>
      </w:r>
      <w:bookmarkEnd w:id="132"/>
      <w:r w:rsidRPr="00D6259F">
        <w:t xml:space="preserve"> </w:t>
      </w:r>
    </w:p>
    <w:p w14:paraId="57EC45A3" w14:textId="77777777" w:rsidR="00D422B1" w:rsidRPr="00D6259F" w:rsidRDefault="00D422B1" w:rsidP="00C034D8">
      <w:pPr>
        <w:pStyle w:val="Heading4"/>
        <w:rPr>
          <w:rFonts w:cs="Arial"/>
        </w:rPr>
      </w:pPr>
      <w:proofErr w:type="spellStart"/>
      <w:r w:rsidRPr="00D6259F">
        <w:t>Chaffers</w:t>
      </w:r>
      <w:proofErr w:type="spellEnd"/>
      <w:r w:rsidRPr="00D6259F">
        <w:t xml:space="preserve"> Marina</w:t>
      </w:r>
    </w:p>
    <w:p w14:paraId="1E3868D7" w14:textId="6411984B" w:rsidR="00D422B1" w:rsidRPr="00D6259F" w:rsidRDefault="00D422B1" w:rsidP="00C034D8">
      <w:pPr>
        <w:rPr>
          <w:color w:val="000000" w:themeColor="text1"/>
        </w:rPr>
      </w:pPr>
      <w:proofErr w:type="spellStart"/>
      <w:r w:rsidRPr="00D6259F">
        <w:rPr>
          <w:color w:val="000000" w:themeColor="text1"/>
        </w:rPr>
        <w:t>Chaffers</w:t>
      </w:r>
      <w:proofErr w:type="spellEnd"/>
      <w:r w:rsidRPr="00D6259F">
        <w:rPr>
          <w:color w:val="000000" w:themeColor="text1"/>
        </w:rPr>
        <w:t xml:space="preserve"> Marina Holdings Limited and </w:t>
      </w:r>
      <w:proofErr w:type="spellStart"/>
      <w:r w:rsidRPr="00D6259F">
        <w:rPr>
          <w:color w:val="000000" w:themeColor="text1"/>
        </w:rPr>
        <w:t>Chaffers</w:t>
      </w:r>
      <w:proofErr w:type="spellEnd"/>
      <w:r w:rsidRPr="00D6259F">
        <w:rPr>
          <w:color w:val="000000" w:themeColor="text1"/>
        </w:rPr>
        <w:t xml:space="preserve"> Marina Limited have a reporting period end date of 30 June. The shares in </w:t>
      </w:r>
      <w:proofErr w:type="spellStart"/>
      <w:r w:rsidRPr="00D6259F">
        <w:rPr>
          <w:color w:val="000000" w:themeColor="text1"/>
        </w:rPr>
        <w:t>Chaffers</w:t>
      </w:r>
      <w:proofErr w:type="spellEnd"/>
      <w:r w:rsidRPr="00D6259F">
        <w:rPr>
          <w:color w:val="000000" w:themeColor="text1"/>
        </w:rPr>
        <w:t xml:space="preserve"> Marina Holdings Limited are held by Wellington Waterfront Limited in a fiduciary capacity. As </w:t>
      </w:r>
      <w:proofErr w:type="gramStart"/>
      <w:r w:rsidRPr="00D6259F">
        <w:rPr>
          <w:color w:val="000000" w:themeColor="text1"/>
        </w:rPr>
        <w:t>at</w:t>
      </w:r>
      <w:proofErr w:type="gramEnd"/>
      <w:r w:rsidRPr="00D6259F">
        <w:rPr>
          <w:color w:val="000000" w:themeColor="text1"/>
        </w:rPr>
        <w:t xml:space="preserve"> 30 June 202</w:t>
      </w:r>
      <w:r w:rsidR="007C32CD" w:rsidRPr="00D6259F">
        <w:rPr>
          <w:color w:val="000000" w:themeColor="text1"/>
        </w:rPr>
        <w:t>4</w:t>
      </w:r>
      <w:r w:rsidRPr="00D6259F">
        <w:rPr>
          <w:color w:val="000000" w:themeColor="text1"/>
        </w:rPr>
        <w:t xml:space="preserve"> </w:t>
      </w:r>
      <w:r w:rsidR="00C8016E" w:rsidRPr="00D6259F">
        <w:rPr>
          <w:color w:val="000000" w:themeColor="text1"/>
        </w:rPr>
        <w:t xml:space="preserve">the </w:t>
      </w:r>
      <w:r w:rsidRPr="00D6259F">
        <w:rPr>
          <w:color w:val="000000" w:themeColor="text1"/>
        </w:rPr>
        <w:t>Council held a</w:t>
      </w:r>
      <w:r w:rsidR="003D661E" w:rsidRPr="00D6259F">
        <w:rPr>
          <w:color w:val="000000" w:themeColor="text1"/>
          <w:lang w:eastAsia="en-GB"/>
        </w:rPr>
        <w:t xml:space="preserve"> </w:t>
      </w:r>
      <w:r w:rsidR="00B11432" w:rsidRPr="00D6259F">
        <w:rPr>
          <w:color w:val="000000" w:themeColor="text1"/>
          <w:lang w:eastAsia="en-GB"/>
        </w:rPr>
        <w:t>10</w:t>
      </w:r>
      <w:r w:rsidR="003D661E" w:rsidRPr="00D6259F">
        <w:rPr>
          <w:color w:val="000000" w:themeColor="text1"/>
          <w:lang w:eastAsia="en-GB"/>
        </w:rPr>
        <w:t xml:space="preserve"> </w:t>
      </w:r>
      <w:r w:rsidR="00FA6D44" w:rsidRPr="00D6259F">
        <w:rPr>
          <w:color w:val="000000" w:themeColor="text1"/>
        </w:rPr>
        <w:t>percent</w:t>
      </w:r>
      <w:r w:rsidRPr="00D6259F">
        <w:rPr>
          <w:color w:val="000000" w:themeColor="text1"/>
        </w:rPr>
        <w:t xml:space="preserve"> </w:t>
      </w:r>
      <w:r w:rsidR="00A22C18" w:rsidRPr="00D6259F">
        <w:rPr>
          <w:color w:val="000000" w:themeColor="text1"/>
        </w:rPr>
        <w:t>(202</w:t>
      </w:r>
      <w:r w:rsidR="00E863BF" w:rsidRPr="00D6259F">
        <w:rPr>
          <w:color w:val="000000" w:themeColor="text1"/>
        </w:rPr>
        <w:t>3</w:t>
      </w:r>
      <w:r w:rsidR="00A22C18" w:rsidRPr="00D6259F">
        <w:rPr>
          <w:color w:val="000000" w:themeColor="text1"/>
        </w:rPr>
        <w:t xml:space="preserve">: </w:t>
      </w:r>
      <w:r w:rsidR="00B11432" w:rsidRPr="00D6259F">
        <w:rPr>
          <w:color w:val="000000" w:themeColor="text1"/>
        </w:rPr>
        <w:t>10</w:t>
      </w:r>
      <w:r w:rsidR="007C32CD" w:rsidRPr="00D6259F">
        <w:rPr>
          <w:color w:val="000000" w:themeColor="text1"/>
        </w:rPr>
        <w:t xml:space="preserve"> </w:t>
      </w:r>
      <w:r w:rsidR="00A22C18" w:rsidRPr="00D6259F">
        <w:rPr>
          <w:color w:val="000000" w:themeColor="text1"/>
        </w:rPr>
        <w:t>percent) i</w:t>
      </w:r>
      <w:r w:rsidRPr="00D6259F">
        <w:rPr>
          <w:color w:val="000000" w:themeColor="text1"/>
        </w:rPr>
        <w:t xml:space="preserve">nterest in </w:t>
      </w:r>
      <w:proofErr w:type="spellStart"/>
      <w:r w:rsidRPr="00D6259F">
        <w:rPr>
          <w:color w:val="000000" w:themeColor="text1"/>
        </w:rPr>
        <w:t>Chaffers</w:t>
      </w:r>
      <w:proofErr w:type="spellEnd"/>
      <w:r w:rsidRPr="00D6259F">
        <w:rPr>
          <w:color w:val="000000" w:themeColor="text1"/>
        </w:rPr>
        <w:t xml:space="preserve"> Marina Holdings Limited which has been recognised in the</w:t>
      </w:r>
      <w:r w:rsidR="006020F7" w:rsidRPr="00D6259F">
        <w:rPr>
          <w:color w:val="000000" w:themeColor="text1"/>
        </w:rPr>
        <w:t xml:space="preserve"> Group</w:t>
      </w:r>
      <w:r w:rsidRPr="00D6259F">
        <w:rPr>
          <w:color w:val="000000" w:themeColor="text1"/>
        </w:rPr>
        <w:t xml:space="preserve"> financial statements on an equity accounting basis</w:t>
      </w:r>
      <w:r w:rsidR="00A22C18" w:rsidRPr="00D6259F">
        <w:rPr>
          <w:color w:val="000000" w:themeColor="text1"/>
        </w:rPr>
        <w:t>,</w:t>
      </w:r>
      <w:r w:rsidRPr="00D6259F">
        <w:rPr>
          <w:color w:val="000000" w:themeColor="text1"/>
        </w:rPr>
        <w:t xml:space="preserve"> reflecting the special rights (as set out in </w:t>
      </w:r>
      <w:proofErr w:type="spellStart"/>
      <w:r w:rsidRPr="00D6259F">
        <w:rPr>
          <w:color w:val="000000" w:themeColor="text1"/>
        </w:rPr>
        <w:t>Chaffers</w:t>
      </w:r>
      <w:proofErr w:type="spellEnd"/>
      <w:r w:rsidRPr="00D6259F">
        <w:rPr>
          <w:color w:val="000000" w:themeColor="text1"/>
        </w:rPr>
        <w:t xml:space="preserve"> Marina Limited’s Constitution)</w:t>
      </w:r>
      <w:r w:rsidR="00A22C18" w:rsidRPr="00D6259F">
        <w:rPr>
          <w:color w:val="000000" w:themeColor="text1"/>
        </w:rPr>
        <w:t>,</w:t>
      </w:r>
      <w:r w:rsidRPr="00D6259F">
        <w:rPr>
          <w:color w:val="000000" w:themeColor="text1"/>
        </w:rPr>
        <w:t xml:space="preserve"> which attach to the golden share that it holds in </w:t>
      </w:r>
      <w:proofErr w:type="spellStart"/>
      <w:r w:rsidRPr="00D6259F">
        <w:rPr>
          <w:color w:val="000000" w:themeColor="text1"/>
        </w:rPr>
        <w:t>Chaffers</w:t>
      </w:r>
      <w:proofErr w:type="spellEnd"/>
      <w:r w:rsidRPr="00D6259F">
        <w:rPr>
          <w:color w:val="000000" w:themeColor="text1"/>
        </w:rPr>
        <w:t xml:space="preserve"> Marina Limited. </w:t>
      </w:r>
    </w:p>
    <w:p w14:paraId="751AC5C9" w14:textId="77777777" w:rsidR="00D422B1" w:rsidRPr="00D6259F" w:rsidRDefault="00D422B1" w:rsidP="00C034D8">
      <w:pPr>
        <w:pStyle w:val="Heading4"/>
        <w:rPr>
          <w:rFonts w:cs="Arial"/>
        </w:rPr>
      </w:pPr>
      <w:r w:rsidRPr="00D6259F">
        <w:lastRenderedPageBreak/>
        <w:t>Wellington International Airport Limited</w:t>
      </w:r>
    </w:p>
    <w:p w14:paraId="1F22AD60" w14:textId="5F8690CD" w:rsidR="00D422B1" w:rsidRPr="00D6259F" w:rsidRDefault="00D422B1" w:rsidP="00C034D8">
      <w:pPr>
        <w:rPr>
          <w:color w:val="000000" w:themeColor="text1"/>
        </w:rPr>
      </w:pPr>
      <w:r w:rsidRPr="00D6259F">
        <w:rPr>
          <w:color w:val="000000" w:themeColor="text1"/>
        </w:rPr>
        <w:t xml:space="preserve">Wellington International Airport Limited has a reporting period end date of 31 March. The ultimate majority owner, </w:t>
      </w:r>
      <w:proofErr w:type="spellStart"/>
      <w:r w:rsidRPr="00D6259F">
        <w:rPr>
          <w:color w:val="000000" w:themeColor="text1"/>
        </w:rPr>
        <w:t>Infratil</w:t>
      </w:r>
      <w:proofErr w:type="spellEnd"/>
      <w:r w:rsidRPr="00D6259F">
        <w:rPr>
          <w:color w:val="000000" w:themeColor="text1"/>
        </w:rPr>
        <w:t xml:space="preserve"> Limited, has determined a different end of reporting period to </w:t>
      </w:r>
      <w:r w:rsidR="00C8016E" w:rsidRPr="00D6259F">
        <w:rPr>
          <w:color w:val="000000" w:themeColor="text1"/>
        </w:rPr>
        <w:t xml:space="preserve">the </w:t>
      </w:r>
      <w:r w:rsidRPr="00D6259F">
        <w:rPr>
          <w:color w:val="000000" w:themeColor="text1"/>
        </w:rPr>
        <w:t>Council, which is legislatively required to use 30 June. The Council owns 34</w:t>
      </w:r>
      <w:r w:rsidR="00FA6D44" w:rsidRPr="00D6259F">
        <w:rPr>
          <w:color w:val="000000" w:themeColor="text1"/>
        </w:rPr>
        <w:t xml:space="preserve"> percent</w:t>
      </w:r>
      <w:r w:rsidRPr="00D6259F">
        <w:rPr>
          <w:color w:val="000000" w:themeColor="text1"/>
        </w:rPr>
        <w:t xml:space="preserve"> of the company, with the remaining 66</w:t>
      </w:r>
      <w:r w:rsidR="00FA6D44" w:rsidRPr="00D6259F">
        <w:rPr>
          <w:color w:val="000000" w:themeColor="text1"/>
        </w:rPr>
        <w:t xml:space="preserve"> percent</w:t>
      </w:r>
      <w:r w:rsidRPr="00D6259F">
        <w:rPr>
          <w:color w:val="000000" w:themeColor="text1"/>
        </w:rPr>
        <w:t xml:space="preserve"> owned by NZ Airports Limited (which is wholly owned by </w:t>
      </w:r>
      <w:proofErr w:type="spellStart"/>
      <w:r w:rsidRPr="00D6259F">
        <w:rPr>
          <w:color w:val="000000" w:themeColor="text1"/>
        </w:rPr>
        <w:t>Infratil</w:t>
      </w:r>
      <w:proofErr w:type="spellEnd"/>
      <w:r w:rsidRPr="00D6259F">
        <w:rPr>
          <w:color w:val="000000" w:themeColor="text1"/>
        </w:rPr>
        <w:t xml:space="preserve"> Limited). </w:t>
      </w:r>
    </w:p>
    <w:p w14:paraId="1062115F" w14:textId="77777777" w:rsidR="00D422B1" w:rsidRPr="00D6259F" w:rsidRDefault="00D422B1" w:rsidP="00C034D8">
      <w:pPr>
        <w:pStyle w:val="Heading3"/>
      </w:pPr>
      <w:bookmarkStart w:id="133" w:name="_Toc121217124"/>
      <w:r w:rsidRPr="00D6259F">
        <w:t>Joint venture</w:t>
      </w:r>
      <w:bookmarkEnd w:id="133"/>
    </w:p>
    <w:p w14:paraId="1D4126A8" w14:textId="77777777" w:rsidR="00D422B1" w:rsidRPr="00D6259F" w:rsidRDefault="00D422B1" w:rsidP="00C034D8">
      <w:pPr>
        <w:pStyle w:val="Heading4"/>
      </w:pPr>
      <w:r w:rsidRPr="00D6259F">
        <w:t>Wellington Water Limited</w:t>
      </w:r>
    </w:p>
    <w:p w14:paraId="6774B6E6" w14:textId="77777777" w:rsidR="00D422B1" w:rsidRPr="00D6259F" w:rsidRDefault="00D422B1" w:rsidP="00C034D8">
      <w:pPr>
        <w:rPr>
          <w:color w:val="000000" w:themeColor="text1"/>
        </w:rPr>
      </w:pPr>
      <w:r w:rsidRPr="00D6259F">
        <w:rPr>
          <w:color w:val="000000" w:themeColor="text1"/>
        </w:rPr>
        <w:t xml:space="preserve">Wellington Water Limited was jointly created with Hutt City Council on 9 July 2003 to manage the drinking water, </w:t>
      </w:r>
      <w:proofErr w:type="gramStart"/>
      <w:r w:rsidRPr="00D6259F">
        <w:rPr>
          <w:color w:val="000000" w:themeColor="text1"/>
        </w:rPr>
        <w:t>wastewater</w:t>
      </w:r>
      <w:proofErr w:type="gramEnd"/>
      <w:r w:rsidRPr="00D6259F">
        <w:rPr>
          <w:color w:val="000000" w:themeColor="text1"/>
        </w:rPr>
        <w:t xml:space="preserve"> and stormwater assets of the councils. Since its inception it has gradually expanded its operations and now covers six councils in the Wellington region.</w:t>
      </w:r>
    </w:p>
    <w:p w14:paraId="0399746B" w14:textId="526D9B5B" w:rsidR="00D422B1" w:rsidRPr="00D6259F" w:rsidRDefault="00D422B1" w:rsidP="00C034D8">
      <w:pPr>
        <w:rPr>
          <w:color w:val="000000" w:themeColor="text1"/>
        </w:rPr>
      </w:pPr>
      <w:r w:rsidRPr="00D6259F">
        <w:rPr>
          <w:color w:val="000000" w:themeColor="text1"/>
        </w:rPr>
        <w:t>The company has a reporting period end</w:t>
      </w:r>
      <w:r w:rsidR="00B11432" w:rsidRPr="00D6259F">
        <w:rPr>
          <w:color w:val="000000" w:themeColor="text1"/>
        </w:rPr>
        <w:t>ed</w:t>
      </w:r>
      <w:r w:rsidRPr="00D6259F">
        <w:rPr>
          <w:color w:val="000000" w:themeColor="text1"/>
        </w:rPr>
        <w:t xml:space="preserve"> 30 June and has a dual share structure as shown in </w:t>
      </w:r>
      <w:r w:rsidRPr="00D6259F">
        <w:rPr>
          <w:i/>
          <w:iCs/>
          <w:color w:val="000000" w:themeColor="text1"/>
        </w:rPr>
        <w:t>Table</w:t>
      </w:r>
      <w:r w:rsidRPr="00D6259F">
        <w:rPr>
          <w:color w:val="000000" w:themeColor="text1"/>
        </w:rPr>
        <w:t xml:space="preserve"> </w:t>
      </w:r>
      <w:r w:rsidR="00921C9A" w:rsidRPr="00D6259F">
        <w:rPr>
          <w:color w:val="000000" w:themeColor="text1"/>
        </w:rPr>
        <w:t>40</w:t>
      </w:r>
      <w:r w:rsidRPr="00D6259F">
        <w:rPr>
          <w:color w:val="000000" w:themeColor="text1"/>
        </w:rPr>
        <w:t>.</w:t>
      </w:r>
    </w:p>
    <w:p w14:paraId="3113DEB3" w14:textId="027BDD9A" w:rsidR="00067950" w:rsidRPr="00D6259F" w:rsidRDefault="000F20D8" w:rsidP="00C034D8">
      <w:pPr>
        <w:rPr>
          <w:color w:val="000000" w:themeColor="text1"/>
        </w:rPr>
      </w:pPr>
      <w:r w:rsidRPr="00D6259F">
        <w:rPr>
          <w:noProof/>
          <w:color w:val="000000" w:themeColor="text1"/>
        </w:rPr>
        <w:object w:dxaOrig="8535" w:dyaOrig="3045" w14:anchorId="7EA73155">
          <v:shape id="_x0000_i1075" type="#_x0000_t75" style="width:409pt;height:152pt" o:ole="">
            <v:imagedata r:id="rId112" o:title=""/>
          </v:shape>
          <o:OLEObject Type="Link" ProgID="Excel.Sheet.12" ShapeID="_x0000_i1075" DrawAspect="Content" r:id="rId113" UpdateMode="Always">
            <o:LinkType>EnhancedMetaFile</o:LinkType>
            <o:LockedField>false</o:LockedField>
          </o:OLEObject>
        </w:object>
      </w:r>
    </w:p>
    <w:p w14:paraId="306B4E29" w14:textId="77777777" w:rsidR="00D422B1" w:rsidRPr="00D6259F" w:rsidRDefault="00D422B1" w:rsidP="00C034D8">
      <w:pPr>
        <w:rPr>
          <w:color w:val="000000" w:themeColor="text1"/>
        </w:rPr>
      </w:pPr>
      <w:r w:rsidRPr="00D6259F">
        <w:rPr>
          <w:color w:val="000000" w:themeColor="text1"/>
        </w:rPr>
        <w:t>The Council classifies this entity as a joint venture because of the equal sharing of voting rights conferred through the Class A shares and the shareholder’s agreement, which constitutes a binding arrangement.</w:t>
      </w:r>
    </w:p>
    <w:p w14:paraId="1FA240E1" w14:textId="07EC3246" w:rsidR="00D422B1" w:rsidRPr="00D6259F" w:rsidRDefault="00D422B1" w:rsidP="00C034D8">
      <w:pPr>
        <w:rPr>
          <w:color w:val="000000" w:themeColor="text1"/>
        </w:rPr>
      </w:pPr>
      <w:r w:rsidRPr="00D6259F">
        <w:rPr>
          <w:color w:val="000000" w:themeColor="text1"/>
        </w:rPr>
        <w:t>The Class B shares confer the level of contributions and ownership benefits of each council. The Council uses equity accounting to recognise its 40</w:t>
      </w:r>
      <w:r w:rsidR="00AD7C35" w:rsidRPr="00D6259F">
        <w:rPr>
          <w:color w:val="000000" w:themeColor="text1"/>
        </w:rPr>
        <w:t xml:space="preserve"> </w:t>
      </w:r>
      <w:r w:rsidR="00FA6D44" w:rsidRPr="00D6259F">
        <w:rPr>
          <w:color w:val="000000" w:themeColor="text1"/>
        </w:rPr>
        <w:t>percent</w:t>
      </w:r>
      <w:r w:rsidRPr="00D6259F">
        <w:rPr>
          <w:color w:val="000000" w:themeColor="text1"/>
        </w:rPr>
        <w:t xml:space="preserve"> (20</w:t>
      </w:r>
      <w:r w:rsidR="00457948" w:rsidRPr="00D6259F">
        <w:rPr>
          <w:color w:val="000000" w:themeColor="text1"/>
        </w:rPr>
        <w:t>2</w:t>
      </w:r>
      <w:r w:rsidR="007C32CD" w:rsidRPr="00D6259F">
        <w:rPr>
          <w:color w:val="000000" w:themeColor="text1"/>
        </w:rPr>
        <w:t>3</w:t>
      </w:r>
      <w:r w:rsidRPr="00D6259F">
        <w:rPr>
          <w:color w:val="000000" w:themeColor="text1"/>
        </w:rPr>
        <w:t xml:space="preserve">: </w:t>
      </w:r>
      <w:r w:rsidR="00457948" w:rsidRPr="00D6259F">
        <w:rPr>
          <w:color w:val="000000" w:themeColor="text1"/>
        </w:rPr>
        <w:t>40</w:t>
      </w:r>
      <w:r w:rsidR="00FA6D44" w:rsidRPr="00D6259F">
        <w:rPr>
          <w:color w:val="000000" w:themeColor="text1"/>
        </w:rPr>
        <w:t xml:space="preserve"> percent</w:t>
      </w:r>
      <w:r w:rsidRPr="00D6259F">
        <w:rPr>
          <w:color w:val="000000" w:themeColor="text1"/>
        </w:rPr>
        <w:t>) ownership interest.</w:t>
      </w:r>
      <w:r w:rsidR="004F78AC" w:rsidRPr="00D6259F">
        <w:rPr>
          <w:color w:val="000000" w:themeColor="text1"/>
        </w:rPr>
        <w:t xml:space="preserve"> </w:t>
      </w:r>
    </w:p>
    <w:p w14:paraId="2E9FC43E" w14:textId="77777777" w:rsidR="003A6079" w:rsidRPr="00D6259F" w:rsidRDefault="003A6079" w:rsidP="00C034D8">
      <w:pPr>
        <w:pStyle w:val="Heading3"/>
      </w:pPr>
      <w:bookmarkStart w:id="134" w:name="_Toc121217125"/>
    </w:p>
    <w:p w14:paraId="42384375" w14:textId="77777777" w:rsidR="003A6079" w:rsidRPr="00D6259F" w:rsidRDefault="003A6079" w:rsidP="00C034D8">
      <w:pPr>
        <w:pStyle w:val="Heading3"/>
      </w:pPr>
    </w:p>
    <w:p w14:paraId="36B21019" w14:textId="77777777" w:rsidR="006452D7" w:rsidRPr="00D6259F" w:rsidRDefault="006452D7" w:rsidP="006452D7">
      <w:pPr>
        <w:rPr>
          <w:color w:val="000000" w:themeColor="text1"/>
          <w:lang w:eastAsia="en-NZ"/>
        </w:rPr>
      </w:pPr>
    </w:p>
    <w:p w14:paraId="3C1B91CA" w14:textId="77777777" w:rsidR="006452D7" w:rsidRPr="00D6259F" w:rsidRDefault="006452D7" w:rsidP="006452D7">
      <w:pPr>
        <w:rPr>
          <w:color w:val="000000" w:themeColor="text1"/>
          <w:lang w:eastAsia="en-NZ"/>
        </w:rPr>
      </w:pPr>
    </w:p>
    <w:p w14:paraId="1A7BBED9" w14:textId="77777777" w:rsidR="006452D7" w:rsidRPr="00D6259F" w:rsidRDefault="006452D7" w:rsidP="006452D7">
      <w:pPr>
        <w:rPr>
          <w:color w:val="000000" w:themeColor="text1"/>
          <w:lang w:eastAsia="en-NZ"/>
        </w:rPr>
      </w:pPr>
    </w:p>
    <w:p w14:paraId="1B551694" w14:textId="77777777" w:rsidR="006452D7" w:rsidRPr="00D6259F" w:rsidRDefault="006452D7" w:rsidP="006452D7">
      <w:pPr>
        <w:rPr>
          <w:color w:val="000000" w:themeColor="text1"/>
          <w:lang w:eastAsia="en-NZ"/>
        </w:rPr>
      </w:pPr>
    </w:p>
    <w:p w14:paraId="0380BD8B" w14:textId="486DE2E9" w:rsidR="003A6079" w:rsidRPr="00D6259F" w:rsidRDefault="003A6079" w:rsidP="00C034D8">
      <w:pPr>
        <w:pStyle w:val="Heading3"/>
      </w:pPr>
    </w:p>
    <w:p w14:paraId="3AA6E7B3" w14:textId="30139CD0" w:rsidR="003B39B8" w:rsidRPr="00D6259F" w:rsidRDefault="003B39B8" w:rsidP="003B39B8">
      <w:pPr>
        <w:rPr>
          <w:color w:val="000000" w:themeColor="text1"/>
          <w:lang w:eastAsia="en-NZ"/>
        </w:rPr>
      </w:pPr>
    </w:p>
    <w:p w14:paraId="3ECB34D8" w14:textId="77777777" w:rsidR="00D422B1" w:rsidRPr="00D6259F" w:rsidRDefault="00D422B1" w:rsidP="00C034D8">
      <w:pPr>
        <w:pStyle w:val="Heading3"/>
      </w:pPr>
      <w:r w:rsidRPr="00D6259F">
        <w:lastRenderedPageBreak/>
        <w:t>Value of the investments</w:t>
      </w:r>
      <w:bookmarkEnd w:id="134"/>
    </w:p>
    <w:p w14:paraId="14B725C0" w14:textId="6AD07834" w:rsidR="00D422B1" w:rsidRPr="00D6259F" w:rsidRDefault="00D422B1" w:rsidP="00C034D8">
      <w:pPr>
        <w:rPr>
          <w:color w:val="000000" w:themeColor="text1"/>
        </w:rPr>
      </w:pPr>
      <w:r w:rsidRPr="00D6259F">
        <w:rPr>
          <w:color w:val="000000" w:themeColor="text1"/>
        </w:rPr>
        <w:t>The investment in associates and the joint venture in the</w:t>
      </w:r>
      <w:r w:rsidR="006020F7" w:rsidRPr="00D6259F">
        <w:rPr>
          <w:color w:val="000000" w:themeColor="text1"/>
        </w:rPr>
        <w:t xml:space="preserve"> Group</w:t>
      </w:r>
      <w:r w:rsidRPr="00D6259F">
        <w:rPr>
          <w:color w:val="000000" w:themeColor="text1"/>
        </w:rPr>
        <w:t xml:space="preserve"> financial statements represents the Council’s share of the net assets of the associates and the joint venture. This is reflected in the</w:t>
      </w:r>
      <w:r w:rsidR="006020F7" w:rsidRPr="00D6259F">
        <w:rPr>
          <w:color w:val="000000" w:themeColor="text1"/>
        </w:rPr>
        <w:t xml:space="preserve"> Group</w:t>
      </w:r>
      <w:r w:rsidRPr="00D6259F">
        <w:rPr>
          <w:color w:val="000000" w:themeColor="text1"/>
        </w:rPr>
        <w:t xml:space="preserve"> financial statements as </w:t>
      </w:r>
      <w:r w:rsidR="0088157A" w:rsidRPr="00D6259F">
        <w:rPr>
          <w:color w:val="000000" w:themeColor="text1"/>
        </w:rPr>
        <w:t>shown</w:t>
      </w:r>
      <w:r w:rsidR="00A22C18" w:rsidRPr="00D6259F">
        <w:rPr>
          <w:color w:val="000000" w:themeColor="text1"/>
        </w:rPr>
        <w:t xml:space="preserve"> in </w:t>
      </w:r>
      <w:r w:rsidR="00A22C18" w:rsidRPr="00D6259F">
        <w:rPr>
          <w:i/>
          <w:iCs/>
          <w:color w:val="000000" w:themeColor="text1"/>
        </w:rPr>
        <w:t xml:space="preserve">Table </w:t>
      </w:r>
      <w:r w:rsidR="00921C9A" w:rsidRPr="00D6259F">
        <w:rPr>
          <w:i/>
          <w:iCs/>
          <w:color w:val="000000" w:themeColor="text1"/>
        </w:rPr>
        <w:t>41</w:t>
      </w:r>
      <w:r w:rsidR="00B11432" w:rsidRPr="00D6259F">
        <w:rPr>
          <w:color w:val="000000" w:themeColor="text1"/>
        </w:rPr>
        <w:t>.</w:t>
      </w:r>
    </w:p>
    <w:p w14:paraId="3A193820" w14:textId="5890DEDA" w:rsidR="00D422B1" w:rsidRPr="00D6259F" w:rsidRDefault="00D422B1" w:rsidP="00C034D8">
      <w:pPr>
        <w:rPr>
          <w:color w:val="000000" w:themeColor="text1"/>
        </w:rPr>
      </w:pPr>
      <w:r w:rsidRPr="00D6259F">
        <w:rPr>
          <w:color w:val="000000" w:themeColor="text1"/>
        </w:rPr>
        <w:t xml:space="preserve">The Council’s share of the operating surplus or deficit of </w:t>
      </w:r>
      <w:proofErr w:type="spellStart"/>
      <w:r w:rsidRPr="00D6259F">
        <w:rPr>
          <w:color w:val="000000" w:themeColor="text1"/>
        </w:rPr>
        <w:t>Chaffers</w:t>
      </w:r>
      <w:proofErr w:type="spellEnd"/>
      <w:r w:rsidRPr="00D6259F">
        <w:rPr>
          <w:color w:val="000000" w:themeColor="text1"/>
        </w:rPr>
        <w:t xml:space="preserve"> Marina Holdings Limited, Wellington International Airport Limited and Wellington Water Limited is outlined in </w:t>
      </w:r>
      <w:r w:rsidRPr="00D6259F">
        <w:rPr>
          <w:i/>
          <w:iCs/>
          <w:color w:val="000000" w:themeColor="text1"/>
        </w:rPr>
        <w:t>Note 9: Share of Associates’ and Joint Venture’s surplus or deficit</w:t>
      </w:r>
      <w:r w:rsidRPr="00D6259F">
        <w:rPr>
          <w:color w:val="000000" w:themeColor="text1"/>
        </w:rPr>
        <w:t xml:space="preserve"> (</w:t>
      </w:r>
      <w:r w:rsidR="006F6060" w:rsidRPr="00D6259F">
        <w:rPr>
          <w:color w:val="000000" w:themeColor="text1"/>
        </w:rPr>
        <w:t>page</w:t>
      </w:r>
      <w:r w:rsidR="00614406" w:rsidRPr="00D6259F">
        <w:rPr>
          <w:color w:val="000000" w:themeColor="text1"/>
        </w:rPr>
        <w:t xml:space="preserve"> </w:t>
      </w:r>
      <w:r w:rsidR="00B96F44" w:rsidRPr="00D6259F">
        <w:rPr>
          <w:color w:val="000000" w:themeColor="text1"/>
        </w:rPr>
        <w:t>27</w:t>
      </w:r>
      <w:r w:rsidRPr="00D6259F">
        <w:rPr>
          <w:color w:val="000000" w:themeColor="text1"/>
        </w:rPr>
        <w:t>).</w:t>
      </w:r>
    </w:p>
    <w:p w14:paraId="748AFAB0" w14:textId="4705B660" w:rsidR="00A2318D" w:rsidRPr="00D6259F" w:rsidRDefault="000F20D8" w:rsidP="00C034D8">
      <w:pPr>
        <w:rPr>
          <w:color w:val="000000" w:themeColor="text1"/>
        </w:rPr>
      </w:pPr>
      <w:r w:rsidRPr="00D6259F">
        <w:rPr>
          <w:color w:val="000000" w:themeColor="text1"/>
        </w:rPr>
        <w:object w:dxaOrig="9510" w:dyaOrig="8205" w14:anchorId="783F04E5">
          <v:shape id="_x0000_i1076" type="#_x0000_t75" style="width:471pt;height:417pt" o:ole="">
            <v:imagedata r:id="rId114" o:title=""/>
          </v:shape>
          <o:OLEObject Type="Link" ProgID="Excel.Sheet.12" ShapeID="_x0000_i1076" DrawAspect="Content" r:id="rId115" UpdateMode="Always">
            <o:LinkType>EnhancedMetaFile</o:LinkType>
            <o:LockedField>false</o:LockedField>
          </o:OLEObject>
        </w:object>
      </w:r>
    </w:p>
    <w:p w14:paraId="12C034B1" w14:textId="77777777" w:rsidR="00A2318D" w:rsidRPr="00D6259F" w:rsidRDefault="00A2318D" w:rsidP="00C034D8">
      <w:pPr>
        <w:rPr>
          <w:color w:val="000000" w:themeColor="text1"/>
        </w:rPr>
      </w:pPr>
    </w:p>
    <w:p w14:paraId="72B21C6D" w14:textId="2EDEA0C0" w:rsidR="00A2318D" w:rsidRPr="00D6259F" w:rsidRDefault="00A2318D" w:rsidP="00C034D8">
      <w:pPr>
        <w:rPr>
          <w:color w:val="000000" w:themeColor="text1"/>
        </w:rPr>
      </w:pPr>
    </w:p>
    <w:p w14:paraId="2DC9A3A4" w14:textId="77777777" w:rsidR="00185FDF" w:rsidRPr="00D6259F" w:rsidRDefault="00185FDF" w:rsidP="00C034D8">
      <w:pPr>
        <w:rPr>
          <w:color w:val="000000" w:themeColor="text1"/>
        </w:rPr>
      </w:pPr>
    </w:p>
    <w:p w14:paraId="35D0D9DF" w14:textId="77777777" w:rsidR="00A2065E" w:rsidRPr="00D6259F" w:rsidRDefault="00A2065E" w:rsidP="00C034D8">
      <w:pPr>
        <w:rPr>
          <w:color w:val="000000" w:themeColor="text1"/>
        </w:rPr>
      </w:pPr>
    </w:p>
    <w:p w14:paraId="35F96F4B" w14:textId="77777777" w:rsidR="00A2318D" w:rsidRPr="00D6259F" w:rsidRDefault="00A2318D" w:rsidP="00C034D8">
      <w:pPr>
        <w:rPr>
          <w:color w:val="000000" w:themeColor="text1"/>
        </w:rPr>
      </w:pPr>
    </w:p>
    <w:p w14:paraId="6CB360CC" w14:textId="77777777" w:rsidR="00215AA6" w:rsidRPr="00D6259F" w:rsidRDefault="00215AA6" w:rsidP="00C034D8">
      <w:pPr>
        <w:rPr>
          <w:color w:val="000000" w:themeColor="text1"/>
        </w:rPr>
      </w:pPr>
    </w:p>
    <w:p w14:paraId="5E92A4D6" w14:textId="77777777" w:rsidR="00A2318D" w:rsidRPr="00D6259F" w:rsidRDefault="00A2318D" w:rsidP="00C034D8">
      <w:pPr>
        <w:rPr>
          <w:color w:val="000000" w:themeColor="text1"/>
        </w:rPr>
      </w:pPr>
    </w:p>
    <w:p w14:paraId="3ACA8A85" w14:textId="1401BAD8" w:rsidR="00A2318D" w:rsidRPr="00D6259F" w:rsidRDefault="00A2318D" w:rsidP="00C034D8">
      <w:pPr>
        <w:pStyle w:val="Heading3"/>
      </w:pPr>
      <w:bookmarkStart w:id="135" w:name="_Toc121217126"/>
      <w:r w:rsidRPr="00D6259F">
        <w:lastRenderedPageBreak/>
        <w:t xml:space="preserve">Summary of </w:t>
      </w:r>
      <w:r w:rsidR="003D661E" w:rsidRPr="00D6259F">
        <w:t>f</w:t>
      </w:r>
      <w:r w:rsidRPr="00D6259F">
        <w:t xml:space="preserve">inancial </w:t>
      </w:r>
      <w:r w:rsidR="003D661E" w:rsidRPr="00D6259F">
        <w:t>information</w:t>
      </w:r>
      <w:r w:rsidRPr="00D6259F">
        <w:t xml:space="preserve"> of associates</w:t>
      </w:r>
      <w:bookmarkEnd w:id="135"/>
      <w:r w:rsidRPr="00D6259F">
        <w:t xml:space="preserve"> </w:t>
      </w:r>
    </w:p>
    <w:p w14:paraId="430565A7" w14:textId="14542C0B" w:rsidR="000215D4" w:rsidRPr="00D6259F" w:rsidRDefault="000F20D8" w:rsidP="00C034D8">
      <w:pPr>
        <w:rPr>
          <w:color w:val="000000" w:themeColor="text1"/>
          <w:lang w:eastAsia="en-NZ"/>
        </w:rPr>
      </w:pPr>
      <w:r w:rsidRPr="00D6259F">
        <w:rPr>
          <w:color w:val="000000" w:themeColor="text1"/>
        </w:rPr>
        <w:object w:dxaOrig="9510" w:dyaOrig="9645" w14:anchorId="7EF240BB">
          <v:shape id="_x0000_i1077" type="#_x0000_t75" style="width:464pt;height:505pt" o:ole="">
            <v:imagedata r:id="rId116" o:title=""/>
          </v:shape>
          <o:OLEObject Type="Link" ProgID="Excel.Sheet.12" ShapeID="_x0000_i1077" DrawAspect="Content" r:id="rId117" UpdateMode="Always">
            <o:LinkType>EnhancedMetaFile</o:LinkType>
            <o:LockedField>false</o:LockedField>
          </o:OLEObject>
        </w:object>
      </w:r>
    </w:p>
    <w:p w14:paraId="7C571DE5" w14:textId="54466444" w:rsidR="00D422B1" w:rsidRPr="00D6259F" w:rsidRDefault="000F20D8" w:rsidP="005C4B96">
      <w:pPr>
        <w:rPr>
          <w:color w:val="000000" w:themeColor="text1"/>
        </w:rPr>
      </w:pPr>
      <w:r w:rsidRPr="00D6259F">
        <w:rPr>
          <w:noProof/>
          <w:color w:val="000000" w:themeColor="text1"/>
        </w:rPr>
        <w:object w:dxaOrig="9510" w:dyaOrig="10515" w14:anchorId="5F7C55B8">
          <v:shape id="_x0000_i1078" type="#_x0000_t75" style="width:464pt;height:525pt" o:ole="">
            <v:imagedata r:id="rId118" o:title=""/>
          </v:shape>
          <o:OLEObject Type="Link" ProgID="Excel.Sheet.12" ShapeID="_x0000_i1078" DrawAspect="Content" r:id="rId119" UpdateMode="Always">
            <o:LinkType>EnhancedMetaFile</o:LinkType>
            <o:LockedField>false</o:LockedField>
          </o:OLEObject>
        </w:object>
      </w:r>
      <w:r w:rsidR="004F78AC" w:rsidRPr="00D6259F">
        <w:rPr>
          <w:color w:val="000000" w:themeColor="text1"/>
        </w:rPr>
        <w:t xml:space="preserve">   </w:t>
      </w:r>
    </w:p>
    <w:p w14:paraId="0EE185E1" w14:textId="77777777" w:rsidR="000215D4" w:rsidRPr="00D6259F" w:rsidRDefault="000215D4" w:rsidP="005C4B96">
      <w:pPr>
        <w:rPr>
          <w:color w:val="000000" w:themeColor="text1"/>
        </w:rPr>
      </w:pPr>
    </w:p>
    <w:p w14:paraId="371E8FB8" w14:textId="77777777" w:rsidR="00FA0229" w:rsidRPr="00D6259F" w:rsidRDefault="00FA0229" w:rsidP="005C4B96">
      <w:pPr>
        <w:rPr>
          <w:color w:val="000000" w:themeColor="text1"/>
        </w:rPr>
      </w:pPr>
    </w:p>
    <w:p w14:paraId="7E3F0776" w14:textId="77777777" w:rsidR="00FA0229" w:rsidRPr="00D6259F" w:rsidRDefault="00FA0229" w:rsidP="005C4B96">
      <w:pPr>
        <w:rPr>
          <w:color w:val="000000" w:themeColor="text1"/>
        </w:rPr>
      </w:pPr>
    </w:p>
    <w:p w14:paraId="6377BAA0" w14:textId="77777777" w:rsidR="00FA0229" w:rsidRPr="00D6259F" w:rsidRDefault="00FA0229" w:rsidP="005C4B96">
      <w:pPr>
        <w:rPr>
          <w:color w:val="000000" w:themeColor="text1"/>
        </w:rPr>
      </w:pPr>
    </w:p>
    <w:p w14:paraId="375EEB0B" w14:textId="77777777" w:rsidR="00FA0229" w:rsidRPr="00D6259F" w:rsidRDefault="00FA0229" w:rsidP="005C4B96">
      <w:pPr>
        <w:rPr>
          <w:color w:val="000000" w:themeColor="text1"/>
        </w:rPr>
      </w:pPr>
    </w:p>
    <w:p w14:paraId="767C157E" w14:textId="77777777" w:rsidR="00FA0229" w:rsidRPr="00D6259F" w:rsidRDefault="00FA0229" w:rsidP="005C4B96">
      <w:pPr>
        <w:rPr>
          <w:color w:val="000000" w:themeColor="text1"/>
        </w:rPr>
      </w:pPr>
    </w:p>
    <w:p w14:paraId="009BB13E" w14:textId="77777777" w:rsidR="00FA0229" w:rsidRPr="00D6259F" w:rsidRDefault="00FA0229" w:rsidP="005C4B96">
      <w:pPr>
        <w:rPr>
          <w:color w:val="000000" w:themeColor="text1"/>
        </w:rPr>
      </w:pPr>
    </w:p>
    <w:p w14:paraId="17C26DD6" w14:textId="05AA3EA7" w:rsidR="00FA0229" w:rsidRPr="00D6259F" w:rsidRDefault="00FA0229" w:rsidP="00FA0229">
      <w:pPr>
        <w:pStyle w:val="Heading3"/>
      </w:pPr>
      <w:r w:rsidRPr="00D6259F">
        <w:lastRenderedPageBreak/>
        <w:t xml:space="preserve">Summary of </w:t>
      </w:r>
      <w:r w:rsidR="00CC5C3B" w:rsidRPr="00D6259F">
        <w:t>f</w:t>
      </w:r>
      <w:r w:rsidRPr="00D6259F">
        <w:t xml:space="preserve">inancial </w:t>
      </w:r>
      <w:r w:rsidR="00CC5C3B" w:rsidRPr="00D6259F">
        <w:t>information</w:t>
      </w:r>
      <w:r w:rsidRPr="00D6259F">
        <w:t xml:space="preserve"> of joint venture</w:t>
      </w:r>
    </w:p>
    <w:p w14:paraId="44187AE0" w14:textId="732F0D35" w:rsidR="000215D4" w:rsidRPr="00D6259F" w:rsidRDefault="000F20D8" w:rsidP="005C4B96">
      <w:pPr>
        <w:rPr>
          <w:color w:val="000000" w:themeColor="text1"/>
        </w:rPr>
      </w:pPr>
      <w:r w:rsidRPr="00D6259F">
        <w:rPr>
          <w:color w:val="000000" w:themeColor="text1"/>
        </w:rPr>
        <w:object w:dxaOrig="9510" w:dyaOrig="14115" w14:anchorId="33C08904">
          <v:shape id="_x0000_i1079" type="#_x0000_t75" style="width:454pt;height:654pt" o:ole="">
            <v:imagedata r:id="rId120" o:title=""/>
          </v:shape>
          <o:OLEObject Type="Link" ProgID="Excel.Sheet.12" ShapeID="_x0000_i1079" DrawAspect="Content" r:id="rId121" UpdateMode="Always">
            <o:LinkType>EnhancedMetaFile</o:LinkType>
            <o:LockedField>false</o:LockedField>
          </o:OLEObject>
        </w:object>
      </w:r>
    </w:p>
    <w:p w14:paraId="1650AADE" w14:textId="77777777" w:rsidR="009B2EB0" w:rsidRPr="00D6259F" w:rsidRDefault="009B2EB0" w:rsidP="009B2EB0">
      <w:pPr>
        <w:rPr>
          <w:color w:val="000000" w:themeColor="text1"/>
        </w:rPr>
      </w:pPr>
    </w:p>
    <w:p w14:paraId="656A67C8" w14:textId="2B42626E" w:rsidR="008F68BF" w:rsidRPr="00D6259F" w:rsidRDefault="00D422B1" w:rsidP="00F62983">
      <w:pPr>
        <w:pStyle w:val="Heading2"/>
      </w:pPr>
      <w:bookmarkStart w:id="136" w:name="_Toc55482665"/>
      <w:bookmarkStart w:id="137" w:name="_Toc179890308"/>
      <w:r w:rsidRPr="00D6259F">
        <w:lastRenderedPageBreak/>
        <w:t>Note 2</w:t>
      </w:r>
      <w:r w:rsidR="009C5B78" w:rsidRPr="00D6259F">
        <w:t>2</w:t>
      </w:r>
      <w:r w:rsidRPr="00D6259F">
        <w:t xml:space="preserve">: Exchange transactions, transfers and taxes </w:t>
      </w:r>
      <w:proofErr w:type="gramStart"/>
      <w:r w:rsidRPr="00D6259F">
        <w:t>payable</w:t>
      </w:r>
      <w:bookmarkStart w:id="138" w:name="_Hlk51934902"/>
      <w:bookmarkEnd w:id="136"/>
      <w:bookmarkEnd w:id="137"/>
      <w:proofErr w:type="gramEnd"/>
    </w:p>
    <w:p w14:paraId="3FE310F2" w14:textId="604D9AA2" w:rsidR="00FC7191" w:rsidRPr="00D6259F" w:rsidRDefault="000F20D8" w:rsidP="00753560">
      <w:pPr>
        <w:rPr>
          <w:color w:val="000000" w:themeColor="text1"/>
        </w:rPr>
      </w:pPr>
      <w:r w:rsidRPr="00D6259F">
        <w:rPr>
          <w:color w:val="000000" w:themeColor="text1"/>
        </w:rPr>
        <w:object w:dxaOrig="11790" w:dyaOrig="3615" w14:anchorId="7D1D3EC6">
          <v:shape id="_x0000_i1080" type="#_x0000_t75" style="width:489pt;height:175pt" o:ole="">
            <v:imagedata r:id="rId122" o:title=""/>
          </v:shape>
          <o:OLEObject Type="Link" ProgID="Excel.Sheet.12" ShapeID="_x0000_i1080" DrawAspect="Content" r:id="rId123" UpdateMode="Always">
            <o:LinkType>EnhancedMetaFile</o:LinkType>
            <o:LockedField>false</o:LockedField>
          </o:OLEObject>
        </w:object>
      </w:r>
    </w:p>
    <w:p w14:paraId="6A20A5DB" w14:textId="41130DFD" w:rsidR="009104E9" w:rsidRPr="00D6259F" w:rsidRDefault="00D422B1" w:rsidP="00753560">
      <w:pPr>
        <w:rPr>
          <w:color w:val="000000" w:themeColor="text1"/>
        </w:rPr>
      </w:pPr>
      <w:r w:rsidRPr="00D6259F">
        <w:rPr>
          <w:color w:val="000000" w:themeColor="text1"/>
        </w:rPr>
        <w:lastRenderedPageBreak/>
        <w:t>Comprised of:</w:t>
      </w:r>
      <w:r w:rsidR="000F20D8" w:rsidRPr="00D6259F">
        <w:rPr>
          <w:b/>
          <w:bCs/>
          <w:color w:val="000000" w:themeColor="text1"/>
          <w:lang w:val="en-US"/>
        </w:rPr>
        <w:object w:dxaOrig="11790" w:dyaOrig="9465" w14:anchorId="7BF04DD3">
          <v:shape id="_x0000_i1081" type="#_x0000_t75" style="width:487pt;height:477pt" o:ole="">
            <v:imagedata r:id="rId124" o:title=""/>
          </v:shape>
          <o:OLEObject Type="Link" ProgID="Excel.Sheet.12" ShapeID="_x0000_i1081" DrawAspect="Content" r:id="rId125" UpdateMode="Always">
            <o:LinkType>EnhancedMetaFile</o:LinkType>
            <o:LockedField>false</o:LockedField>
          </o:OLEObject>
        </w:object>
      </w:r>
    </w:p>
    <w:bookmarkEnd w:id="138"/>
    <w:p w14:paraId="5FADDE54" w14:textId="38E65AF6" w:rsidR="00D422B1" w:rsidRPr="00D6259F" w:rsidRDefault="00D422B1" w:rsidP="00753560">
      <w:pPr>
        <w:rPr>
          <w:color w:val="000000" w:themeColor="text1"/>
        </w:rPr>
      </w:pPr>
      <w:r w:rsidRPr="00D6259F">
        <w:rPr>
          <w:color w:val="000000" w:themeColor="text1"/>
        </w:rPr>
        <w:t xml:space="preserve">Payables under exchange transactions, </w:t>
      </w:r>
      <w:proofErr w:type="gramStart"/>
      <w:r w:rsidRPr="00D6259F">
        <w:rPr>
          <w:color w:val="000000" w:themeColor="text1"/>
        </w:rPr>
        <w:t>transfers</w:t>
      </w:r>
      <w:proofErr w:type="gramEnd"/>
      <w:r w:rsidRPr="00D6259F">
        <w:rPr>
          <w:color w:val="000000" w:themeColor="text1"/>
        </w:rPr>
        <w:t xml:space="preserve"> and taxes payable are non-interest bearing and settled on terms varying between </w:t>
      </w:r>
      <w:r w:rsidR="00623014" w:rsidRPr="00D6259F">
        <w:rPr>
          <w:color w:val="000000" w:themeColor="text1"/>
        </w:rPr>
        <w:t>7</w:t>
      </w:r>
      <w:r w:rsidRPr="00D6259F">
        <w:rPr>
          <w:color w:val="000000" w:themeColor="text1"/>
        </w:rPr>
        <w:t xml:space="preserve"> days and the 20th of the month following the invoice date. Most of </w:t>
      </w:r>
      <w:r w:rsidR="00577577" w:rsidRPr="00D6259F">
        <w:rPr>
          <w:color w:val="000000" w:themeColor="text1"/>
        </w:rPr>
        <w:t xml:space="preserve">the </w:t>
      </w:r>
      <w:r w:rsidRPr="00D6259F">
        <w:rPr>
          <w:color w:val="000000" w:themeColor="text1"/>
        </w:rPr>
        <w:t>Council’s payables are exchange transactions as they are directly with another party on an arm’s</w:t>
      </w:r>
      <w:r w:rsidR="0067602F" w:rsidRPr="00D6259F">
        <w:rPr>
          <w:color w:val="000000" w:themeColor="text1"/>
        </w:rPr>
        <w:t>-</w:t>
      </w:r>
      <w:r w:rsidRPr="00D6259F">
        <w:rPr>
          <w:color w:val="000000" w:themeColor="text1"/>
        </w:rPr>
        <w:t>length basis and are of approximately equal value. Non-exchange payables are classified as either transfers payable (</w:t>
      </w:r>
      <w:r w:rsidR="001C7792" w:rsidRPr="00D6259F">
        <w:rPr>
          <w:color w:val="000000" w:themeColor="text1"/>
        </w:rPr>
        <w:t>for example,</w:t>
      </w:r>
      <w:r w:rsidRPr="00D6259F">
        <w:rPr>
          <w:color w:val="000000" w:themeColor="text1"/>
        </w:rPr>
        <w:t xml:space="preserve"> Council grants) or taxes (</w:t>
      </w:r>
      <w:r w:rsidR="001C7792" w:rsidRPr="00D6259F">
        <w:rPr>
          <w:color w:val="000000" w:themeColor="text1"/>
        </w:rPr>
        <w:t>for example,</w:t>
      </w:r>
      <w:r w:rsidRPr="00D6259F">
        <w:rPr>
          <w:color w:val="000000" w:themeColor="text1"/>
        </w:rPr>
        <w:t xml:space="preserve"> PAYE). </w:t>
      </w:r>
    </w:p>
    <w:p w14:paraId="2C3720B2" w14:textId="77777777" w:rsidR="00753560" w:rsidRPr="00D6259F" w:rsidRDefault="00D422B1" w:rsidP="00753560">
      <w:pPr>
        <w:pStyle w:val="Heading2"/>
      </w:pPr>
      <w:bookmarkStart w:id="139" w:name="_Toc55482666"/>
      <w:bookmarkStart w:id="140" w:name="_Toc179890309"/>
      <w:r w:rsidRPr="00D6259F">
        <w:lastRenderedPageBreak/>
        <w:t>Note 2</w:t>
      </w:r>
      <w:r w:rsidR="009C5B78" w:rsidRPr="00D6259F">
        <w:t>3</w:t>
      </w:r>
      <w:r w:rsidRPr="00D6259F">
        <w:t xml:space="preserve">: </w:t>
      </w:r>
      <w:bookmarkEnd w:id="139"/>
      <w:r w:rsidR="002165A5" w:rsidRPr="00D6259F">
        <w:t xml:space="preserve">Deferred </w:t>
      </w:r>
      <w:proofErr w:type="gramStart"/>
      <w:r w:rsidR="002165A5" w:rsidRPr="00D6259F">
        <w:t>revenue</w:t>
      </w:r>
      <w:bookmarkEnd w:id="140"/>
      <w:proofErr w:type="gramEnd"/>
    </w:p>
    <w:bookmarkStart w:id="141" w:name="_Toc121217130"/>
    <w:p w14:paraId="5017DD92" w14:textId="436D1F27" w:rsidR="00434471" w:rsidRPr="00D6259F" w:rsidRDefault="000F20D8" w:rsidP="00926856">
      <w:pPr>
        <w:rPr>
          <w:color w:val="000000" w:themeColor="text1"/>
        </w:rPr>
      </w:pPr>
      <w:r w:rsidRPr="00D6259F">
        <w:rPr>
          <w:color w:val="000000" w:themeColor="text1"/>
        </w:rPr>
        <w:object w:dxaOrig="11790" w:dyaOrig="6360" w14:anchorId="738E1161">
          <v:shape id="_x0000_i1082" type="#_x0000_t75" style="width:485pt;height:322pt" o:ole="">
            <v:imagedata r:id="rId126" o:title=""/>
          </v:shape>
          <o:OLEObject Type="Link" ProgID="Excel.Sheet.12" ShapeID="_x0000_i1082" DrawAspect="Content" r:id="rId127" UpdateMode="Always">
            <o:LinkType>EnhancedMetaFile</o:LinkType>
            <o:LockedField>false</o:LockedField>
          </o:OLEObject>
        </w:object>
      </w:r>
    </w:p>
    <w:p w14:paraId="1F705E3D" w14:textId="1BDB88B2" w:rsidR="00D422B1" w:rsidRPr="00D6259F" w:rsidRDefault="00D422B1" w:rsidP="00C034D8">
      <w:pPr>
        <w:pStyle w:val="Heading3"/>
      </w:pPr>
      <w:r w:rsidRPr="00D6259F">
        <w:t>Relevant significant accounting policies</w:t>
      </w:r>
      <w:bookmarkEnd w:id="141"/>
    </w:p>
    <w:p w14:paraId="34DBFF5C" w14:textId="77777777" w:rsidR="00D422B1" w:rsidRPr="00D6259F" w:rsidRDefault="00D422B1" w:rsidP="006E61AD">
      <w:pPr>
        <w:pStyle w:val="Heading5"/>
        <w:rPr>
          <w:color w:val="000000" w:themeColor="text1"/>
        </w:rPr>
      </w:pPr>
      <w:r w:rsidRPr="00D6259F">
        <w:rPr>
          <w:color w:val="000000" w:themeColor="text1"/>
        </w:rPr>
        <w:t xml:space="preserve">Liabilities recognised under conditional transfer </w:t>
      </w:r>
      <w:proofErr w:type="gramStart"/>
      <w:r w:rsidRPr="00D6259F">
        <w:rPr>
          <w:color w:val="000000" w:themeColor="text1"/>
        </w:rPr>
        <w:t>agreements</w:t>
      </w:r>
      <w:proofErr w:type="gramEnd"/>
    </w:p>
    <w:p w14:paraId="76E044E9" w14:textId="446AFDBA" w:rsidR="00D422B1" w:rsidRPr="00D6259F" w:rsidRDefault="00577577" w:rsidP="00C034D8">
      <w:pPr>
        <w:rPr>
          <w:color w:val="000000" w:themeColor="text1"/>
        </w:rPr>
      </w:pPr>
      <w:r w:rsidRPr="00D6259F">
        <w:rPr>
          <w:color w:val="000000" w:themeColor="text1"/>
        </w:rPr>
        <w:t xml:space="preserve">The </w:t>
      </w:r>
      <w:r w:rsidR="00D422B1" w:rsidRPr="00D6259F">
        <w:rPr>
          <w:color w:val="000000" w:themeColor="text1"/>
        </w:rPr>
        <w:t>Council and the</w:t>
      </w:r>
      <w:r w:rsidR="006020F7" w:rsidRPr="00D6259F">
        <w:rPr>
          <w:color w:val="000000" w:themeColor="text1"/>
        </w:rPr>
        <w:t xml:space="preserve"> Group</w:t>
      </w:r>
      <w:r w:rsidR="00D422B1" w:rsidRPr="00D6259F">
        <w:rPr>
          <w:color w:val="000000" w:themeColor="text1"/>
        </w:rPr>
        <w:t xml:space="preserve"> have received non-exchange transfer monies for specific purposes, which apply to periods beyond the current year, with conditions that would require the return of the monies if they </w:t>
      </w:r>
      <w:r w:rsidR="00D31369" w:rsidRPr="00D6259F">
        <w:rPr>
          <w:color w:val="000000" w:themeColor="text1"/>
        </w:rPr>
        <w:t>were</w:t>
      </w:r>
      <w:r w:rsidR="00D422B1" w:rsidRPr="00D6259F">
        <w:rPr>
          <w:color w:val="000000" w:themeColor="text1"/>
        </w:rPr>
        <w:t xml:space="preserve"> not able to fulfil the agreement. The revenue from these agreements will only be recognised as the conditions are fulfilled over time.</w:t>
      </w:r>
    </w:p>
    <w:p w14:paraId="14C08C58" w14:textId="77777777" w:rsidR="00DE4109" w:rsidRPr="00D6259F" w:rsidRDefault="00D422B1" w:rsidP="001950A4">
      <w:pPr>
        <w:spacing w:line="240" w:lineRule="auto"/>
        <w:rPr>
          <w:color w:val="000000" w:themeColor="text1"/>
        </w:rPr>
      </w:pPr>
      <w:r w:rsidRPr="00D6259F">
        <w:rPr>
          <w:color w:val="000000" w:themeColor="text1"/>
        </w:rPr>
        <w:t>These liabilities relate</w:t>
      </w:r>
      <w:r w:rsidR="009A670A" w:rsidRPr="00D6259F">
        <w:rPr>
          <w:color w:val="000000" w:themeColor="text1"/>
        </w:rPr>
        <w:t xml:space="preserve"> to:</w:t>
      </w:r>
    </w:p>
    <w:p w14:paraId="39D4BC73" w14:textId="77777777" w:rsidR="00D422B1" w:rsidRPr="00D6259F" w:rsidRDefault="00D422B1" w:rsidP="00BB0BEE">
      <w:pPr>
        <w:pStyle w:val="ListParagraph"/>
        <w:numPr>
          <w:ilvl w:val="0"/>
          <w:numId w:val="37"/>
        </w:numPr>
        <w:spacing w:line="240" w:lineRule="auto"/>
        <w:rPr>
          <w:color w:val="000000" w:themeColor="text1"/>
        </w:rPr>
      </w:pPr>
      <w:r w:rsidRPr="00D6259F">
        <w:rPr>
          <w:color w:val="000000" w:themeColor="text1"/>
        </w:rPr>
        <w:t xml:space="preserve">naming rights agreement that </w:t>
      </w:r>
      <w:r w:rsidR="00577577" w:rsidRPr="00D6259F">
        <w:rPr>
          <w:color w:val="000000" w:themeColor="text1"/>
        </w:rPr>
        <w:t xml:space="preserve">the </w:t>
      </w:r>
      <w:r w:rsidRPr="00D6259F">
        <w:rPr>
          <w:color w:val="000000" w:themeColor="text1"/>
        </w:rPr>
        <w:t>Council has with third parties for buildings.</w:t>
      </w:r>
    </w:p>
    <w:p w14:paraId="314E4F43" w14:textId="62C3E8CA" w:rsidR="00D31369" w:rsidRPr="00D6259F" w:rsidRDefault="00D31369" w:rsidP="00BB0BEE">
      <w:pPr>
        <w:pStyle w:val="ListParagraph"/>
        <w:numPr>
          <w:ilvl w:val="0"/>
          <w:numId w:val="37"/>
        </w:numPr>
        <w:spacing w:line="240" w:lineRule="auto"/>
        <w:rPr>
          <w:color w:val="000000" w:themeColor="text1"/>
        </w:rPr>
      </w:pPr>
      <w:r w:rsidRPr="00D6259F">
        <w:rPr>
          <w:color w:val="000000" w:themeColor="text1"/>
        </w:rPr>
        <w:t>various grants</w:t>
      </w:r>
      <w:r w:rsidR="001721B2" w:rsidRPr="00D6259F">
        <w:rPr>
          <w:color w:val="000000" w:themeColor="text1"/>
        </w:rPr>
        <w:t>.</w:t>
      </w:r>
    </w:p>
    <w:p w14:paraId="0743A6DB" w14:textId="77777777" w:rsidR="00DD5683" w:rsidRPr="00D6259F" w:rsidRDefault="00DD5683">
      <w:pPr>
        <w:rPr>
          <w:rFonts w:ascii="Cambria" w:eastAsiaTheme="majorEastAsia" w:hAnsi="Cambria"/>
          <w:b/>
          <w:bCs/>
          <w:color w:val="000000" w:themeColor="text1"/>
          <w:sz w:val="48"/>
          <w:szCs w:val="40"/>
        </w:rPr>
      </w:pPr>
      <w:bookmarkStart w:id="142" w:name="_Toc55482667"/>
      <w:r w:rsidRPr="00D6259F">
        <w:rPr>
          <w:color w:val="000000" w:themeColor="text1"/>
        </w:rPr>
        <w:br w:type="page"/>
      </w:r>
    </w:p>
    <w:p w14:paraId="24437BC2" w14:textId="5DAFDE74" w:rsidR="00D422B1" w:rsidRPr="00D6259F" w:rsidRDefault="00166A4C" w:rsidP="00C034D8">
      <w:pPr>
        <w:pStyle w:val="Heading2"/>
      </w:pPr>
      <w:bookmarkStart w:id="143" w:name="_Toc179890310"/>
      <w:r w:rsidRPr="00D6259F">
        <w:lastRenderedPageBreak/>
        <w:t>N</w:t>
      </w:r>
      <w:r w:rsidR="00D422B1" w:rsidRPr="00D6259F">
        <w:t>ote 2</w:t>
      </w:r>
      <w:r w:rsidR="009C5B78" w:rsidRPr="00D6259F">
        <w:t>4</w:t>
      </w:r>
      <w:r w:rsidR="00D422B1" w:rsidRPr="00D6259F">
        <w:t xml:space="preserve">: </w:t>
      </w:r>
      <w:r w:rsidR="00C170D3" w:rsidRPr="00D6259F">
        <w:t>B</w:t>
      </w:r>
      <w:r w:rsidR="00D422B1" w:rsidRPr="00D6259F">
        <w:t>orrowings</w:t>
      </w:r>
      <w:bookmarkEnd w:id="142"/>
      <w:bookmarkEnd w:id="143"/>
    </w:p>
    <w:p w14:paraId="4BEF80B7" w14:textId="1527110B" w:rsidR="00D422B1" w:rsidRPr="00D6259F" w:rsidRDefault="00D422B1" w:rsidP="00C034D8">
      <w:pPr>
        <w:rPr>
          <w:color w:val="000000" w:themeColor="text1"/>
        </w:rPr>
      </w:pPr>
      <w:r w:rsidRPr="00D6259F">
        <w:rPr>
          <w:color w:val="000000" w:themeColor="text1"/>
        </w:rPr>
        <w:t>The Council maintains a prudent borrowings position in relation to our equity and annual revenue. Borrowings are primarily used to fund the purchase of new assets or upgrades to existing assets that are approved through the AP and L</w:t>
      </w:r>
      <w:r w:rsidR="00B94789" w:rsidRPr="00D6259F">
        <w:rPr>
          <w:color w:val="000000" w:themeColor="text1"/>
        </w:rPr>
        <w:t>T</w:t>
      </w:r>
      <w:r w:rsidRPr="00D6259F">
        <w:rPr>
          <w:color w:val="000000" w:themeColor="text1"/>
        </w:rPr>
        <w:t>P processes.</w:t>
      </w:r>
    </w:p>
    <w:p w14:paraId="3E29D202" w14:textId="0F3A36F6" w:rsidR="00D422B1" w:rsidRPr="00D6259F" w:rsidRDefault="00D422B1" w:rsidP="00C034D8">
      <w:pPr>
        <w:pStyle w:val="Heading3"/>
      </w:pPr>
      <w:bookmarkStart w:id="144" w:name="_Toc121217132"/>
      <w:r w:rsidRPr="00D6259F">
        <w:t xml:space="preserve">Gross </w:t>
      </w:r>
      <w:r w:rsidR="003F276A" w:rsidRPr="00D6259F">
        <w:t>b</w:t>
      </w:r>
      <w:r w:rsidRPr="00D6259F">
        <w:t>orrowings</w:t>
      </w:r>
      <w:bookmarkEnd w:id="144"/>
    </w:p>
    <w:p w14:paraId="40225433" w14:textId="52FDC51D" w:rsidR="00D422B1" w:rsidRPr="00D6259F" w:rsidRDefault="000F20D8" w:rsidP="00C034D8">
      <w:pPr>
        <w:rPr>
          <w:noProof/>
          <w:color w:val="000000" w:themeColor="text1"/>
        </w:rPr>
      </w:pPr>
      <w:r w:rsidRPr="00D6259F">
        <w:rPr>
          <w:noProof/>
          <w:color w:val="000000" w:themeColor="text1"/>
        </w:rPr>
        <w:object w:dxaOrig="10575" w:dyaOrig="6615" w14:anchorId="1A5D4756">
          <v:shape id="_x0000_i1083" type="#_x0000_t75" style="width:483pt;height:325pt" o:ole="">
            <v:imagedata r:id="rId128" o:title=""/>
          </v:shape>
          <o:OLEObject Type="Link" ProgID="Excel.Sheet.12" ShapeID="_x0000_i1083" DrawAspect="Content" r:id="rId129" UpdateMode="Always">
            <o:LinkType>EnhancedMetaFile</o:LinkType>
            <o:LockedField>false</o:LockedField>
          </o:OLEObject>
        </w:object>
      </w:r>
    </w:p>
    <w:p w14:paraId="68415814" w14:textId="06D41C2F" w:rsidR="00A62FF6" w:rsidRPr="00D6259F" w:rsidRDefault="00A62FF6" w:rsidP="00607C98">
      <w:pPr>
        <w:pStyle w:val="Heading4"/>
      </w:pPr>
      <w:r w:rsidRPr="00D6259F">
        <w:t xml:space="preserve">Debt </w:t>
      </w:r>
      <w:r w:rsidR="007B25AA" w:rsidRPr="00D6259F">
        <w:t>security</w:t>
      </w:r>
    </w:p>
    <w:p w14:paraId="3EDC1A72" w14:textId="6578A6C7" w:rsidR="004D199D" w:rsidRPr="00D6259F" w:rsidRDefault="00607C98" w:rsidP="00C034D8">
      <w:pPr>
        <w:rPr>
          <w:noProof/>
          <w:color w:val="000000" w:themeColor="text1"/>
        </w:rPr>
      </w:pPr>
      <w:r w:rsidRPr="00D6259F">
        <w:rPr>
          <w:noProof/>
          <w:color w:val="000000" w:themeColor="text1"/>
        </w:rPr>
        <w:t xml:space="preserve">Floating rate notes include </w:t>
      </w:r>
      <w:r w:rsidR="00623014" w:rsidRPr="00D6259F">
        <w:rPr>
          <w:noProof/>
          <w:color w:val="000000" w:themeColor="text1"/>
        </w:rPr>
        <w:t>G</w:t>
      </w:r>
      <w:r w:rsidRPr="00D6259F">
        <w:rPr>
          <w:noProof/>
          <w:color w:val="000000" w:themeColor="text1"/>
        </w:rPr>
        <w:t xml:space="preserve">reen, </w:t>
      </w:r>
      <w:r w:rsidR="00623014" w:rsidRPr="00D6259F">
        <w:rPr>
          <w:noProof/>
          <w:color w:val="000000" w:themeColor="text1"/>
        </w:rPr>
        <w:t>S</w:t>
      </w:r>
      <w:r w:rsidRPr="00D6259F">
        <w:rPr>
          <w:noProof/>
          <w:color w:val="000000" w:themeColor="text1"/>
        </w:rPr>
        <w:t xml:space="preserve">ocial and </w:t>
      </w:r>
      <w:r w:rsidR="00623014" w:rsidRPr="00D6259F">
        <w:rPr>
          <w:noProof/>
          <w:color w:val="000000" w:themeColor="text1"/>
        </w:rPr>
        <w:t>S</w:t>
      </w:r>
      <w:r w:rsidRPr="00D6259F">
        <w:rPr>
          <w:noProof/>
          <w:color w:val="000000" w:themeColor="text1"/>
        </w:rPr>
        <w:t>ustainability</w:t>
      </w:r>
      <w:r w:rsidR="007B25AA" w:rsidRPr="00D6259F">
        <w:rPr>
          <w:noProof/>
          <w:color w:val="000000" w:themeColor="text1"/>
        </w:rPr>
        <w:t xml:space="preserve"> (GSS</w:t>
      </w:r>
      <w:r w:rsidRPr="00D6259F">
        <w:rPr>
          <w:noProof/>
          <w:color w:val="000000" w:themeColor="text1"/>
        </w:rPr>
        <w:t xml:space="preserve">) loans and </w:t>
      </w:r>
      <w:r w:rsidR="007B25AA" w:rsidRPr="00D6259F">
        <w:rPr>
          <w:noProof/>
          <w:color w:val="000000" w:themeColor="text1"/>
        </w:rPr>
        <w:t>c</w:t>
      </w:r>
      <w:r w:rsidRPr="00D6259F">
        <w:rPr>
          <w:noProof/>
          <w:color w:val="000000" w:themeColor="text1"/>
        </w:rPr>
        <w:t xml:space="preserve">limate </w:t>
      </w:r>
      <w:r w:rsidR="007B25AA" w:rsidRPr="00D6259F">
        <w:rPr>
          <w:noProof/>
          <w:color w:val="000000" w:themeColor="text1"/>
        </w:rPr>
        <w:t>a</w:t>
      </w:r>
      <w:r w:rsidRPr="00D6259F">
        <w:rPr>
          <w:noProof/>
          <w:color w:val="000000" w:themeColor="text1"/>
        </w:rPr>
        <w:t xml:space="preserve">ction </w:t>
      </w:r>
      <w:r w:rsidR="007B25AA" w:rsidRPr="00D6259F">
        <w:rPr>
          <w:noProof/>
          <w:color w:val="000000" w:themeColor="text1"/>
        </w:rPr>
        <w:t>l</w:t>
      </w:r>
      <w:r w:rsidRPr="00D6259F">
        <w:rPr>
          <w:noProof/>
          <w:color w:val="000000" w:themeColor="text1"/>
        </w:rPr>
        <w:t>oans</w:t>
      </w:r>
      <w:r w:rsidR="007B25AA" w:rsidRPr="00D6259F">
        <w:rPr>
          <w:noProof/>
          <w:color w:val="000000" w:themeColor="text1"/>
        </w:rPr>
        <w:t xml:space="preserve"> (CALs</w:t>
      </w:r>
      <w:r w:rsidRPr="00D6259F">
        <w:rPr>
          <w:noProof/>
          <w:color w:val="000000" w:themeColor="text1"/>
        </w:rPr>
        <w:t xml:space="preserve">). </w:t>
      </w:r>
      <w:r w:rsidR="00C7797C" w:rsidRPr="00D6259F">
        <w:rPr>
          <w:noProof/>
          <w:color w:val="000000" w:themeColor="text1"/>
        </w:rPr>
        <w:t xml:space="preserve">For the Council, </w:t>
      </w:r>
      <w:r w:rsidRPr="00D6259F">
        <w:rPr>
          <w:noProof/>
          <w:color w:val="000000" w:themeColor="text1"/>
        </w:rPr>
        <w:t>the GSS</w:t>
      </w:r>
      <w:r w:rsidR="00C7797C" w:rsidRPr="00D6259F">
        <w:rPr>
          <w:noProof/>
          <w:color w:val="000000" w:themeColor="text1"/>
        </w:rPr>
        <w:t xml:space="preserve"> loans are linked to T</w:t>
      </w:r>
      <w:proofErr w:type="spellStart"/>
      <w:r w:rsidR="00956D06" w:rsidRPr="00D6259F">
        <w:rPr>
          <w:color w:val="000000" w:themeColor="text1"/>
        </w:rPr>
        <w:t>ā</w:t>
      </w:r>
      <w:r w:rsidR="00C7797C" w:rsidRPr="00D6259F">
        <w:rPr>
          <w:noProof/>
          <w:color w:val="000000" w:themeColor="text1"/>
        </w:rPr>
        <w:t>kina</w:t>
      </w:r>
      <w:proofErr w:type="spellEnd"/>
      <w:r w:rsidR="00C7797C" w:rsidRPr="00D6259F">
        <w:rPr>
          <w:noProof/>
          <w:color w:val="000000" w:themeColor="text1"/>
        </w:rPr>
        <w:t xml:space="preserve"> as a 5-Star green building.</w:t>
      </w:r>
      <w:r w:rsidR="00B167E4" w:rsidRPr="00D6259F">
        <w:rPr>
          <w:noProof/>
          <w:color w:val="000000" w:themeColor="text1"/>
        </w:rPr>
        <w:t xml:space="preserve"> We receive a 5-basis point discount on this lending compared to a vanilla instrument.</w:t>
      </w:r>
      <w:r w:rsidRPr="00D6259F">
        <w:rPr>
          <w:noProof/>
          <w:color w:val="000000" w:themeColor="text1"/>
        </w:rPr>
        <w:t xml:space="preserve"> </w:t>
      </w:r>
    </w:p>
    <w:p w14:paraId="5A7F1AA0" w14:textId="76DF36CE" w:rsidR="00607C98" w:rsidRPr="00D6259F" w:rsidRDefault="000251F9" w:rsidP="00C034D8">
      <w:pPr>
        <w:rPr>
          <w:noProof/>
          <w:color w:val="000000" w:themeColor="text1"/>
        </w:rPr>
      </w:pPr>
      <w:r w:rsidRPr="00D6259F">
        <w:rPr>
          <w:noProof/>
          <w:color w:val="000000" w:themeColor="text1"/>
        </w:rPr>
        <w:t xml:space="preserve">The balance of </w:t>
      </w:r>
      <w:r w:rsidR="00607C98" w:rsidRPr="00D6259F">
        <w:rPr>
          <w:noProof/>
          <w:color w:val="000000" w:themeColor="text1"/>
        </w:rPr>
        <w:t xml:space="preserve">GSS loans </w:t>
      </w:r>
      <w:r w:rsidRPr="00D6259F">
        <w:rPr>
          <w:noProof/>
          <w:color w:val="000000" w:themeColor="text1"/>
        </w:rPr>
        <w:t>as at</w:t>
      </w:r>
      <w:r w:rsidR="00EA50D4" w:rsidRPr="00D6259F">
        <w:rPr>
          <w:noProof/>
          <w:color w:val="000000" w:themeColor="text1"/>
        </w:rPr>
        <w:t xml:space="preserve"> 30 June </w:t>
      </w:r>
      <w:r w:rsidR="00607C98" w:rsidRPr="00D6259F">
        <w:rPr>
          <w:noProof/>
          <w:color w:val="000000" w:themeColor="text1"/>
        </w:rPr>
        <w:t xml:space="preserve">2024 </w:t>
      </w:r>
      <w:r w:rsidR="00395A86" w:rsidRPr="00D6259F">
        <w:rPr>
          <w:noProof/>
          <w:color w:val="000000" w:themeColor="text1"/>
        </w:rPr>
        <w:t>is</w:t>
      </w:r>
      <w:r w:rsidR="00607C98" w:rsidRPr="00D6259F">
        <w:rPr>
          <w:noProof/>
          <w:color w:val="000000" w:themeColor="text1"/>
        </w:rPr>
        <w:t xml:space="preserve"> </w:t>
      </w:r>
      <w:r w:rsidR="00841F2F" w:rsidRPr="00D6259F">
        <w:rPr>
          <w:noProof/>
          <w:color w:val="000000" w:themeColor="text1"/>
        </w:rPr>
        <w:t>$120m</w:t>
      </w:r>
      <w:r w:rsidR="00607C98" w:rsidRPr="00D6259F">
        <w:rPr>
          <w:noProof/>
          <w:color w:val="000000" w:themeColor="text1"/>
        </w:rPr>
        <w:t xml:space="preserve"> non-current (2023: $20m current</w:t>
      </w:r>
      <w:r w:rsidR="007B25AA" w:rsidRPr="00D6259F">
        <w:rPr>
          <w:noProof/>
          <w:color w:val="000000" w:themeColor="text1"/>
        </w:rPr>
        <w:t xml:space="preserve">, </w:t>
      </w:r>
      <w:r w:rsidR="00607C98" w:rsidRPr="00D6259F">
        <w:rPr>
          <w:noProof/>
          <w:color w:val="000000" w:themeColor="text1"/>
        </w:rPr>
        <w:t>$100m non-current)</w:t>
      </w:r>
      <w:r w:rsidR="00841F2F" w:rsidRPr="00D6259F">
        <w:rPr>
          <w:noProof/>
          <w:color w:val="000000" w:themeColor="text1"/>
        </w:rPr>
        <w:t>.</w:t>
      </w:r>
    </w:p>
    <w:p w14:paraId="49BBE764" w14:textId="69DB1F92" w:rsidR="00607C98" w:rsidRPr="00D6259F" w:rsidRDefault="000251F9" w:rsidP="00607C98">
      <w:pPr>
        <w:rPr>
          <w:noProof/>
          <w:color w:val="000000" w:themeColor="text1"/>
        </w:rPr>
      </w:pPr>
      <w:r w:rsidRPr="00D6259F">
        <w:rPr>
          <w:noProof/>
          <w:color w:val="000000" w:themeColor="text1"/>
        </w:rPr>
        <w:t xml:space="preserve">The balance of </w:t>
      </w:r>
      <w:r w:rsidR="00623014" w:rsidRPr="00D6259F">
        <w:rPr>
          <w:noProof/>
          <w:color w:val="000000" w:themeColor="text1"/>
        </w:rPr>
        <w:t>CALs</w:t>
      </w:r>
      <w:r w:rsidR="00607C98" w:rsidRPr="00D6259F">
        <w:rPr>
          <w:noProof/>
          <w:color w:val="000000" w:themeColor="text1"/>
        </w:rPr>
        <w:t xml:space="preserve"> </w:t>
      </w:r>
      <w:r w:rsidRPr="00D6259F">
        <w:rPr>
          <w:noProof/>
          <w:color w:val="000000" w:themeColor="text1"/>
        </w:rPr>
        <w:t>as at</w:t>
      </w:r>
      <w:r w:rsidR="00EA50D4" w:rsidRPr="00D6259F">
        <w:rPr>
          <w:noProof/>
          <w:color w:val="000000" w:themeColor="text1"/>
        </w:rPr>
        <w:t xml:space="preserve"> 30 June </w:t>
      </w:r>
      <w:r w:rsidR="00607C98" w:rsidRPr="00D6259F">
        <w:rPr>
          <w:noProof/>
          <w:color w:val="000000" w:themeColor="text1"/>
        </w:rPr>
        <w:t xml:space="preserve">2024 </w:t>
      </w:r>
      <w:r w:rsidR="007B25AA" w:rsidRPr="00D6259F">
        <w:rPr>
          <w:noProof/>
          <w:color w:val="000000" w:themeColor="text1"/>
        </w:rPr>
        <w:t>is</w:t>
      </w:r>
      <w:r w:rsidR="00607C98" w:rsidRPr="00D6259F">
        <w:rPr>
          <w:noProof/>
          <w:color w:val="000000" w:themeColor="text1"/>
        </w:rPr>
        <w:t xml:space="preserve"> </w:t>
      </w:r>
      <w:r w:rsidR="00F56A73" w:rsidRPr="00D6259F">
        <w:rPr>
          <w:noProof/>
          <w:color w:val="000000" w:themeColor="text1"/>
        </w:rPr>
        <w:t xml:space="preserve">$60m (fixed rate) non-current and $234m (floating rate) </w:t>
      </w:r>
      <w:r w:rsidR="00607C98" w:rsidRPr="00D6259F">
        <w:rPr>
          <w:noProof/>
          <w:color w:val="000000" w:themeColor="text1"/>
        </w:rPr>
        <w:t>non-current (2023: nil)</w:t>
      </w:r>
      <w:r w:rsidR="00F56A73" w:rsidRPr="00D6259F">
        <w:rPr>
          <w:noProof/>
          <w:color w:val="000000" w:themeColor="text1"/>
        </w:rPr>
        <w:t>.</w:t>
      </w:r>
      <w:r w:rsidR="007B25AA" w:rsidRPr="00D6259F">
        <w:rPr>
          <w:noProof/>
          <w:color w:val="000000" w:themeColor="text1"/>
        </w:rPr>
        <w:t xml:space="preserve"> We receive a 2</w:t>
      </w:r>
      <w:r w:rsidR="00BB68EC" w:rsidRPr="00D6259F">
        <w:rPr>
          <w:noProof/>
          <w:color w:val="000000" w:themeColor="text1"/>
        </w:rPr>
        <w:t>-</w:t>
      </w:r>
      <w:r w:rsidR="007B25AA" w:rsidRPr="00D6259F">
        <w:rPr>
          <w:noProof/>
          <w:color w:val="000000" w:themeColor="text1"/>
        </w:rPr>
        <w:t>basis point discount on this lending compared to a vanilla instrument.</w:t>
      </w:r>
    </w:p>
    <w:p w14:paraId="1033694E" w14:textId="77777777" w:rsidR="00EA50D4" w:rsidRPr="00D6259F" w:rsidRDefault="00EA50D4">
      <w:pPr>
        <w:rPr>
          <w:rFonts w:ascii="Cambria" w:hAnsi="Cambria" w:cs="Calibri"/>
          <w:b/>
          <w:bCs/>
          <w:color w:val="000000" w:themeColor="text1"/>
          <w:sz w:val="40"/>
          <w:szCs w:val="40"/>
          <w:lang w:eastAsia="en-NZ"/>
        </w:rPr>
      </w:pPr>
      <w:bookmarkStart w:id="145" w:name="_Toc121217133"/>
      <w:r w:rsidRPr="00D6259F">
        <w:rPr>
          <w:color w:val="000000" w:themeColor="text1"/>
        </w:rPr>
        <w:br w:type="page"/>
      </w:r>
    </w:p>
    <w:p w14:paraId="00050AD6" w14:textId="13991E2F" w:rsidR="00D422B1" w:rsidRPr="00D6259F" w:rsidRDefault="00D422B1" w:rsidP="00C034D8">
      <w:pPr>
        <w:pStyle w:val="Heading3"/>
      </w:pPr>
      <w:r w:rsidRPr="00D6259F">
        <w:lastRenderedPageBreak/>
        <w:t xml:space="preserve">Net </w:t>
      </w:r>
      <w:r w:rsidR="003F276A" w:rsidRPr="00D6259F">
        <w:t>b</w:t>
      </w:r>
      <w:r w:rsidRPr="00D6259F">
        <w:t>orrowings</w:t>
      </w:r>
      <w:bookmarkEnd w:id="145"/>
    </w:p>
    <w:p w14:paraId="53B98C53" w14:textId="3502DEC5" w:rsidR="00D422B1" w:rsidRPr="00D6259F" w:rsidRDefault="000F20D8" w:rsidP="00C034D8">
      <w:pPr>
        <w:rPr>
          <w:color w:val="000000" w:themeColor="text1"/>
        </w:rPr>
      </w:pPr>
      <w:r w:rsidRPr="00D6259F">
        <w:rPr>
          <w:noProof/>
          <w:color w:val="000000" w:themeColor="text1"/>
        </w:rPr>
        <w:object w:dxaOrig="10575" w:dyaOrig="3315" w14:anchorId="09E5A7BF">
          <v:shape id="_x0000_i1084" type="#_x0000_t75" style="width:490pt;height:165pt" o:ole="">
            <v:imagedata r:id="rId130" o:title=""/>
          </v:shape>
          <o:OLEObject Type="Link" ProgID="Excel.Sheet.12" ShapeID="_x0000_i1084" DrawAspect="Content" r:id="rId131" UpdateMode="Always">
            <o:LinkType>EnhancedMetaFile</o:LinkType>
            <o:LockedField>false</o:LockedField>
          </o:OLEObject>
        </w:object>
      </w:r>
    </w:p>
    <w:p w14:paraId="10492C37" w14:textId="3706F8C0" w:rsidR="00D422B1" w:rsidRPr="00D6259F" w:rsidRDefault="00D422B1" w:rsidP="00C034D8">
      <w:pPr>
        <w:rPr>
          <w:color w:val="000000" w:themeColor="text1"/>
        </w:rPr>
      </w:pPr>
      <w:r w:rsidRPr="00D6259F">
        <w:rPr>
          <w:color w:val="000000" w:themeColor="text1"/>
        </w:rPr>
        <w:t>The Council's borrowing strategy is to minimise liquidity risk by avoiding concentration of debt maturity dates and to ensure there is long</w:t>
      </w:r>
      <w:r w:rsidR="00AA3B10" w:rsidRPr="00D6259F">
        <w:rPr>
          <w:color w:val="000000" w:themeColor="text1"/>
        </w:rPr>
        <w:t>-</w:t>
      </w:r>
      <w:r w:rsidRPr="00D6259F">
        <w:rPr>
          <w:color w:val="000000" w:themeColor="text1"/>
        </w:rPr>
        <w:t xml:space="preserve">term access to funds. Further information on the liquidity and market risks associated with borrowings is contained in </w:t>
      </w:r>
      <w:r w:rsidRPr="00D6259F">
        <w:rPr>
          <w:i/>
          <w:iCs/>
          <w:color w:val="000000" w:themeColor="text1"/>
        </w:rPr>
        <w:t>Note 3</w:t>
      </w:r>
      <w:r w:rsidR="009C5B78" w:rsidRPr="00D6259F">
        <w:rPr>
          <w:i/>
          <w:iCs/>
          <w:color w:val="000000" w:themeColor="text1"/>
        </w:rPr>
        <w:t>3</w:t>
      </w:r>
      <w:r w:rsidRPr="00D6259F">
        <w:rPr>
          <w:i/>
          <w:iCs/>
          <w:color w:val="000000" w:themeColor="text1"/>
        </w:rPr>
        <w:t>: Financial instruments</w:t>
      </w:r>
      <w:r w:rsidRPr="00D6259F">
        <w:rPr>
          <w:color w:val="000000" w:themeColor="text1"/>
        </w:rPr>
        <w:t xml:space="preserve"> (</w:t>
      </w:r>
      <w:r w:rsidR="006F6060" w:rsidRPr="00D6259F">
        <w:rPr>
          <w:color w:val="000000" w:themeColor="text1"/>
        </w:rPr>
        <w:t>page</w:t>
      </w:r>
      <w:r w:rsidR="00614406" w:rsidRPr="00D6259F">
        <w:rPr>
          <w:color w:val="000000" w:themeColor="text1"/>
        </w:rPr>
        <w:t xml:space="preserve"> </w:t>
      </w:r>
      <w:r w:rsidR="00B96F44" w:rsidRPr="00D6259F">
        <w:rPr>
          <w:color w:val="000000" w:themeColor="text1"/>
        </w:rPr>
        <w:t>100</w:t>
      </w:r>
      <w:r w:rsidRPr="00D6259F">
        <w:rPr>
          <w:color w:val="000000" w:themeColor="text1"/>
        </w:rPr>
        <w:t>).</w:t>
      </w:r>
    </w:p>
    <w:p w14:paraId="6231E836" w14:textId="429E0A94" w:rsidR="00D422B1" w:rsidRPr="00D6259F" w:rsidRDefault="0088157A" w:rsidP="00C034D8">
      <w:pPr>
        <w:rPr>
          <w:color w:val="000000" w:themeColor="text1"/>
        </w:rPr>
      </w:pPr>
      <w:r w:rsidRPr="00D6259F">
        <w:rPr>
          <w:i/>
          <w:color w:val="000000" w:themeColor="text1"/>
        </w:rPr>
        <w:t xml:space="preserve">Table </w:t>
      </w:r>
      <w:r w:rsidR="00B96F44" w:rsidRPr="00D6259F">
        <w:rPr>
          <w:i/>
          <w:color w:val="000000" w:themeColor="text1"/>
        </w:rPr>
        <w:t>52</w:t>
      </w:r>
      <w:r w:rsidR="00D422B1" w:rsidRPr="00D6259F">
        <w:rPr>
          <w:i/>
          <w:color w:val="000000" w:themeColor="text1"/>
        </w:rPr>
        <w:t xml:space="preserve"> </w:t>
      </w:r>
      <w:r w:rsidR="00D422B1" w:rsidRPr="00D6259F">
        <w:rPr>
          <w:color w:val="000000" w:themeColor="text1"/>
        </w:rPr>
        <w:t>shows the utilisation of the borrowing facilities available to the</w:t>
      </w:r>
      <w:r w:rsidR="006020F7" w:rsidRPr="00D6259F">
        <w:rPr>
          <w:color w:val="000000" w:themeColor="text1"/>
        </w:rPr>
        <w:t xml:space="preserve"> Group</w:t>
      </w:r>
      <w:r w:rsidR="00D422B1" w:rsidRPr="00D6259F">
        <w:rPr>
          <w:color w:val="000000" w:themeColor="text1"/>
        </w:rPr>
        <w:t xml:space="preserve"> at the end of the reporting period. The table also indicates the current applicable maturity and interest rate ranges.</w:t>
      </w:r>
    </w:p>
    <w:p w14:paraId="2FA63C3B" w14:textId="5EEF7C11" w:rsidR="00D422B1" w:rsidRPr="00D6259F" w:rsidRDefault="000F20D8" w:rsidP="00C034D8">
      <w:pPr>
        <w:rPr>
          <w:color w:val="000000" w:themeColor="text1"/>
        </w:rPr>
      </w:pPr>
      <w:r w:rsidRPr="00D6259F">
        <w:rPr>
          <w:noProof/>
          <w:color w:val="000000" w:themeColor="text1"/>
        </w:rPr>
        <w:object w:dxaOrig="10545" w:dyaOrig="3645" w14:anchorId="21A26D80">
          <v:shape id="_x0000_i1085" type="#_x0000_t75" style="width:489pt;height:181pt" o:ole="">
            <v:imagedata r:id="rId132" o:title=""/>
          </v:shape>
          <o:OLEObject Type="Link" ProgID="Excel.Sheet.12" ShapeID="_x0000_i1085" DrawAspect="Content" r:id="rId133" UpdateMode="Always">
            <o:LinkType>EnhancedMetaFile</o:LinkType>
            <o:LockedField>false</o:LockedField>
          </o:OLEObject>
        </w:object>
      </w:r>
    </w:p>
    <w:p w14:paraId="17616A65" w14:textId="4183A906" w:rsidR="00D422B1" w:rsidRPr="00D6259F" w:rsidRDefault="00D422B1" w:rsidP="00D213FC">
      <w:pPr>
        <w:rPr>
          <w:color w:val="000000" w:themeColor="text1"/>
        </w:rPr>
      </w:pPr>
      <w:r w:rsidRPr="00D6259F">
        <w:rPr>
          <w:color w:val="000000" w:themeColor="text1"/>
        </w:rPr>
        <w:t>The bank overdraft facilit</w:t>
      </w:r>
      <w:r w:rsidR="00D52C4B" w:rsidRPr="00D6259F">
        <w:rPr>
          <w:color w:val="000000" w:themeColor="text1"/>
        </w:rPr>
        <w:t>ies are</w:t>
      </w:r>
      <w:r w:rsidRPr="00D6259F">
        <w:rPr>
          <w:color w:val="000000" w:themeColor="text1"/>
        </w:rPr>
        <w:t xml:space="preserve"> $1.5m for </w:t>
      </w:r>
      <w:r w:rsidR="006561F4" w:rsidRPr="00D6259F">
        <w:rPr>
          <w:color w:val="000000" w:themeColor="text1"/>
        </w:rPr>
        <w:t xml:space="preserve">the </w:t>
      </w:r>
      <w:r w:rsidRPr="00D6259F">
        <w:rPr>
          <w:color w:val="000000" w:themeColor="text1"/>
        </w:rPr>
        <w:t>Council and $0.4m for WREDA.</w:t>
      </w:r>
    </w:p>
    <w:p w14:paraId="0F3B58B2" w14:textId="08E59995" w:rsidR="00D422B1" w:rsidRPr="00D6259F" w:rsidRDefault="00D422B1" w:rsidP="00D213FC">
      <w:pPr>
        <w:rPr>
          <w:color w:val="000000" w:themeColor="text1"/>
        </w:rPr>
      </w:pPr>
      <w:r w:rsidRPr="00D6259F">
        <w:rPr>
          <w:color w:val="000000" w:themeColor="text1"/>
        </w:rPr>
        <w:t xml:space="preserve">In addition to the above facilities, </w:t>
      </w:r>
      <w:r w:rsidR="006561F4" w:rsidRPr="00D6259F">
        <w:rPr>
          <w:color w:val="000000" w:themeColor="text1"/>
        </w:rPr>
        <w:t xml:space="preserve">the </w:t>
      </w:r>
      <w:r w:rsidRPr="00D6259F">
        <w:rPr>
          <w:color w:val="000000" w:themeColor="text1"/>
        </w:rPr>
        <w:t xml:space="preserve">Council operates purchase cards to efficiently facilitate the purchase of </w:t>
      </w:r>
      <w:r w:rsidR="007B25AA" w:rsidRPr="00D6259F">
        <w:rPr>
          <w:color w:val="000000" w:themeColor="text1"/>
        </w:rPr>
        <w:t xml:space="preserve">low value </w:t>
      </w:r>
      <w:r w:rsidRPr="00D6259F">
        <w:rPr>
          <w:color w:val="000000" w:themeColor="text1"/>
        </w:rPr>
        <w:t xml:space="preserve">goods and services. The cards are paid in full </w:t>
      </w:r>
      <w:proofErr w:type="gramStart"/>
      <w:r w:rsidRPr="00D6259F">
        <w:rPr>
          <w:color w:val="000000" w:themeColor="text1"/>
        </w:rPr>
        <w:t>on a monthly basis</w:t>
      </w:r>
      <w:proofErr w:type="gramEnd"/>
      <w:r w:rsidRPr="00D6259F">
        <w:rPr>
          <w:color w:val="000000" w:themeColor="text1"/>
        </w:rPr>
        <w:t xml:space="preserve">. An aggregate </w:t>
      </w:r>
      <w:r w:rsidR="007875D9" w:rsidRPr="00D6259F">
        <w:rPr>
          <w:color w:val="000000" w:themeColor="text1"/>
        </w:rPr>
        <w:t>credit</w:t>
      </w:r>
      <w:r w:rsidRPr="00D6259F">
        <w:rPr>
          <w:color w:val="000000" w:themeColor="text1"/>
        </w:rPr>
        <w:t xml:space="preserve"> limit of $2.0m for all cards applies across </w:t>
      </w:r>
      <w:r w:rsidR="006F26EA" w:rsidRPr="00D6259F">
        <w:rPr>
          <w:color w:val="000000" w:themeColor="text1"/>
        </w:rPr>
        <w:t>the</w:t>
      </w:r>
      <w:r w:rsidR="009A7AA9" w:rsidRPr="00D6259F">
        <w:rPr>
          <w:color w:val="000000" w:themeColor="text1"/>
        </w:rPr>
        <w:t xml:space="preserve"> </w:t>
      </w:r>
      <w:r w:rsidRPr="00D6259F">
        <w:rPr>
          <w:color w:val="000000" w:themeColor="text1"/>
        </w:rPr>
        <w:t>Council.</w:t>
      </w:r>
    </w:p>
    <w:p w14:paraId="16DE56C1" w14:textId="77777777" w:rsidR="00EA50D4" w:rsidRPr="00D6259F" w:rsidRDefault="00EA50D4">
      <w:pPr>
        <w:rPr>
          <w:rFonts w:ascii="Cambria" w:hAnsi="Cambria" w:cs="Calibri"/>
          <w:b/>
          <w:bCs/>
          <w:color w:val="000000" w:themeColor="text1"/>
          <w:sz w:val="40"/>
          <w:szCs w:val="40"/>
          <w:lang w:eastAsia="en-NZ"/>
        </w:rPr>
      </w:pPr>
      <w:bookmarkStart w:id="146" w:name="_Toc121217134"/>
      <w:r w:rsidRPr="00D6259F">
        <w:rPr>
          <w:color w:val="000000" w:themeColor="text1"/>
        </w:rPr>
        <w:br w:type="page"/>
      </w:r>
    </w:p>
    <w:p w14:paraId="72C65A63" w14:textId="1F5B9135" w:rsidR="00D422B1" w:rsidRPr="00D6259F" w:rsidRDefault="00D422B1" w:rsidP="00C034D8">
      <w:pPr>
        <w:pStyle w:val="Heading3"/>
      </w:pPr>
      <w:r w:rsidRPr="00D6259F">
        <w:lastRenderedPageBreak/>
        <w:t>Security</w:t>
      </w:r>
      <w:bookmarkEnd w:id="146"/>
      <w:r w:rsidRPr="00D6259F">
        <w:t xml:space="preserve"> </w:t>
      </w:r>
    </w:p>
    <w:p w14:paraId="3E866ADF" w14:textId="77777777" w:rsidR="00D422B1" w:rsidRPr="00D6259F" w:rsidRDefault="00D422B1" w:rsidP="00C034D8">
      <w:pPr>
        <w:rPr>
          <w:color w:val="000000" w:themeColor="text1"/>
        </w:rPr>
      </w:pPr>
      <w:r w:rsidRPr="00D6259F">
        <w:rPr>
          <w:color w:val="000000" w:themeColor="text1"/>
        </w:rPr>
        <w:t>Borrowings are secured by way of a Debenture Trust Deed over the Council’s rates revenue.</w:t>
      </w:r>
    </w:p>
    <w:p w14:paraId="45BEBDDC" w14:textId="2EB2B47A" w:rsidR="00D422B1" w:rsidRPr="00D6259F" w:rsidRDefault="00D422B1" w:rsidP="00C034D8">
      <w:pPr>
        <w:pStyle w:val="Heading3"/>
      </w:pPr>
      <w:bookmarkStart w:id="147" w:name="_Toc121217135"/>
      <w:r w:rsidRPr="00D6259F">
        <w:t xml:space="preserve">Internal </w:t>
      </w:r>
      <w:r w:rsidR="003F276A" w:rsidRPr="00D6259F">
        <w:t>b</w:t>
      </w:r>
      <w:r w:rsidRPr="00D6259F">
        <w:t>orrowings</w:t>
      </w:r>
      <w:bookmarkEnd w:id="147"/>
    </w:p>
    <w:p w14:paraId="41867A63" w14:textId="51B35CD7" w:rsidR="00D422B1" w:rsidRPr="00D6259F" w:rsidRDefault="006F26EA" w:rsidP="00C034D8">
      <w:pPr>
        <w:rPr>
          <w:color w:val="000000" w:themeColor="text1"/>
        </w:rPr>
      </w:pPr>
      <w:r w:rsidRPr="00D6259F">
        <w:rPr>
          <w:color w:val="000000" w:themeColor="text1"/>
        </w:rPr>
        <w:t xml:space="preserve">The </w:t>
      </w:r>
      <w:r w:rsidR="00D422B1" w:rsidRPr="00D6259F">
        <w:rPr>
          <w:color w:val="000000" w:themeColor="text1"/>
        </w:rPr>
        <w:t>Council borrows on a consolidated level and as such does not use internal borrowing</w:t>
      </w:r>
      <w:r w:rsidR="008F1BF8" w:rsidRPr="00D6259F">
        <w:rPr>
          <w:color w:val="000000" w:themeColor="text1"/>
        </w:rPr>
        <w:t>.</w:t>
      </w:r>
    </w:p>
    <w:p w14:paraId="5F11FD28" w14:textId="77777777" w:rsidR="00D422B1" w:rsidRPr="00D6259F" w:rsidRDefault="00D422B1" w:rsidP="00C034D8">
      <w:pPr>
        <w:pStyle w:val="Heading3"/>
      </w:pPr>
      <w:bookmarkStart w:id="148" w:name="_Toc121217136"/>
      <w:r w:rsidRPr="00D6259F">
        <w:t>Ring</w:t>
      </w:r>
      <w:r w:rsidR="00841E4F" w:rsidRPr="00D6259F">
        <w:t>-</w:t>
      </w:r>
      <w:r w:rsidRPr="00D6259F">
        <w:t>fenced funds</w:t>
      </w:r>
      <w:bookmarkEnd w:id="148"/>
    </w:p>
    <w:p w14:paraId="5029D586" w14:textId="72537D24" w:rsidR="00D422B1" w:rsidRPr="00D6259F" w:rsidRDefault="00D422B1" w:rsidP="00C034D8">
      <w:pPr>
        <w:rPr>
          <w:color w:val="000000" w:themeColor="text1"/>
        </w:rPr>
      </w:pPr>
      <w:bookmarkStart w:id="149" w:name="_Hlk146787726"/>
      <w:r w:rsidRPr="00D6259F">
        <w:rPr>
          <w:color w:val="000000" w:themeColor="text1"/>
        </w:rPr>
        <w:t xml:space="preserve">The Council holds </w:t>
      </w:r>
      <w:r w:rsidR="001902D2" w:rsidRPr="00D6259F">
        <w:rPr>
          <w:color w:val="000000" w:themeColor="text1"/>
        </w:rPr>
        <w:t>$74.3m (</w:t>
      </w:r>
      <w:r w:rsidRPr="00D6259F">
        <w:rPr>
          <w:color w:val="000000" w:themeColor="text1"/>
        </w:rPr>
        <w:t>20</w:t>
      </w:r>
      <w:r w:rsidR="00D835FD" w:rsidRPr="00D6259F">
        <w:rPr>
          <w:color w:val="000000" w:themeColor="text1"/>
        </w:rPr>
        <w:t>2</w:t>
      </w:r>
      <w:r w:rsidR="007C32CD" w:rsidRPr="00D6259F">
        <w:rPr>
          <w:color w:val="000000" w:themeColor="text1"/>
        </w:rPr>
        <w:t>3</w:t>
      </w:r>
      <w:r w:rsidRPr="00D6259F">
        <w:rPr>
          <w:color w:val="000000" w:themeColor="text1"/>
        </w:rPr>
        <w:t>: $</w:t>
      </w:r>
      <w:r w:rsidR="007C32CD" w:rsidRPr="00D6259F">
        <w:rPr>
          <w:color w:val="000000" w:themeColor="text1"/>
        </w:rPr>
        <w:t>88.6m</w:t>
      </w:r>
      <w:r w:rsidRPr="00D6259F">
        <w:rPr>
          <w:color w:val="000000" w:themeColor="text1"/>
        </w:rPr>
        <w:t>)</w:t>
      </w:r>
      <w:bookmarkEnd w:id="149"/>
      <w:r w:rsidRPr="00D6259F">
        <w:rPr>
          <w:color w:val="000000" w:themeColor="text1"/>
        </w:rPr>
        <w:t xml:space="preserve"> of funds that may only be used for a specified purpose. These funds are not held in cash but are utilised against borrowings until required. The main specified uses for these funds are as follows:</w:t>
      </w:r>
    </w:p>
    <w:p w14:paraId="6FF16864" w14:textId="77777777" w:rsidR="00D422B1" w:rsidRPr="00D6259F" w:rsidRDefault="00841E4F" w:rsidP="00C034D8">
      <w:pPr>
        <w:pStyle w:val="Heading4"/>
      </w:pPr>
      <w:r w:rsidRPr="00D6259F">
        <w:t>City Housing</w:t>
      </w:r>
    </w:p>
    <w:p w14:paraId="1B3EC80E" w14:textId="0285A56D" w:rsidR="00D422B1" w:rsidRPr="00D6259F" w:rsidRDefault="00D422B1" w:rsidP="00C034D8">
      <w:pPr>
        <w:rPr>
          <w:color w:val="000000" w:themeColor="text1"/>
        </w:rPr>
      </w:pPr>
      <w:r w:rsidRPr="00D6259F">
        <w:rPr>
          <w:color w:val="000000" w:themeColor="text1"/>
        </w:rPr>
        <w:t>As part of the agreement with the Crown for the Housing Upgrade Project an amount of $</w:t>
      </w:r>
      <w:r w:rsidR="001902D2" w:rsidRPr="00D6259F">
        <w:rPr>
          <w:color w:val="000000" w:themeColor="text1"/>
        </w:rPr>
        <w:t>49.7m</w:t>
      </w:r>
      <w:r w:rsidR="007A5378" w:rsidRPr="00D6259F">
        <w:rPr>
          <w:color w:val="000000" w:themeColor="text1"/>
          <w:lang w:eastAsia="en-GB"/>
        </w:rPr>
        <w:t xml:space="preserve"> </w:t>
      </w:r>
      <w:r w:rsidR="007A5378" w:rsidRPr="00D6259F">
        <w:rPr>
          <w:color w:val="000000" w:themeColor="text1"/>
        </w:rPr>
        <w:t>(</w:t>
      </w:r>
      <w:r w:rsidRPr="00D6259F">
        <w:rPr>
          <w:color w:val="000000" w:themeColor="text1"/>
        </w:rPr>
        <w:t>20</w:t>
      </w:r>
      <w:r w:rsidR="00D835FD" w:rsidRPr="00D6259F">
        <w:rPr>
          <w:color w:val="000000" w:themeColor="text1"/>
        </w:rPr>
        <w:t>2</w:t>
      </w:r>
      <w:r w:rsidR="007C32CD" w:rsidRPr="00D6259F">
        <w:rPr>
          <w:color w:val="000000" w:themeColor="text1"/>
        </w:rPr>
        <w:t>3</w:t>
      </w:r>
      <w:r w:rsidRPr="00D6259F">
        <w:rPr>
          <w:color w:val="000000" w:themeColor="text1"/>
        </w:rPr>
        <w:t>: $</w:t>
      </w:r>
      <w:r w:rsidR="007C32CD" w:rsidRPr="00D6259F">
        <w:rPr>
          <w:color w:val="000000" w:themeColor="text1"/>
        </w:rPr>
        <w:t>67.6m</w:t>
      </w:r>
      <w:r w:rsidRPr="00D6259F">
        <w:rPr>
          <w:color w:val="000000" w:themeColor="text1"/>
        </w:rPr>
        <w:t xml:space="preserve">), representing the accumulated surpluses and deficits from the </w:t>
      </w:r>
      <w:r w:rsidR="00841E4F" w:rsidRPr="00D6259F">
        <w:rPr>
          <w:color w:val="000000" w:themeColor="text1"/>
        </w:rPr>
        <w:t xml:space="preserve">City </w:t>
      </w:r>
      <w:r w:rsidRPr="00D6259F">
        <w:rPr>
          <w:color w:val="000000" w:themeColor="text1"/>
        </w:rPr>
        <w:t>Housing activity, has been ring</w:t>
      </w:r>
      <w:r w:rsidR="00841E4F" w:rsidRPr="00D6259F">
        <w:rPr>
          <w:color w:val="000000" w:themeColor="text1"/>
        </w:rPr>
        <w:t>-</w:t>
      </w:r>
      <w:r w:rsidRPr="00D6259F">
        <w:rPr>
          <w:color w:val="000000" w:themeColor="text1"/>
        </w:rPr>
        <w:t xml:space="preserve">fenced for future investment in the Council's social housing assets. </w:t>
      </w:r>
    </w:p>
    <w:p w14:paraId="528D8126" w14:textId="6D3F99A0" w:rsidR="00D422B1" w:rsidRPr="00D6259F" w:rsidRDefault="00D422B1" w:rsidP="00C034D8">
      <w:pPr>
        <w:pStyle w:val="Heading4"/>
      </w:pPr>
      <w:r w:rsidRPr="00D6259F">
        <w:t>Waste reduction and energy</w:t>
      </w:r>
      <w:r w:rsidR="00BB68EC" w:rsidRPr="00D6259F">
        <w:t xml:space="preserve"> </w:t>
      </w:r>
      <w:proofErr w:type="gramStart"/>
      <w:r w:rsidR="00BB68EC" w:rsidRPr="00D6259F">
        <w:t>conservation</w:t>
      </w:r>
      <w:proofErr w:type="gramEnd"/>
    </w:p>
    <w:p w14:paraId="19A07443" w14:textId="312EB14D" w:rsidR="00D422B1" w:rsidRPr="00D6259F" w:rsidRDefault="00D422B1" w:rsidP="00C034D8">
      <w:pPr>
        <w:rPr>
          <w:color w:val="000000" w:themeColor="text1"/>
        </w:rPr>
      </w:pPr>
      <w:r w:rsidRPr="00D6259F">
        <w:rPr>
          <w:color w:val="000000" w:themeColor="text1"/>
        </w:rPr>
        <w:t>An amount of $</w:t>
      </w:r>
      <w:r w:rsidR="001902D2" w:rsidRPr="00D6259F">
        <w:rPr>
          <w:color w:val="000000" w:themeColor="text1"/>
        </w:rPr>
        <w:t>24.6</w:t>
      </w:r>
      <w:r w:rsidR="00B219CE" w:rsidRPr="00D6259F">
        <w:rPr>
          <w:color w:val="000000" w:themeColor="text1"/>
        </w:rPr>
        <w:t>m</w:t>
      </w:r>
      <w:r w:rsidR="007A5378" w:rsidRPr="00D6259F">
        <w:rPr>
          <w:color w:val="000000" w:themeColor="text1"/>
          <w:lang w:eastAsia="en-GB"/>
        </w:rPr>
        <w:t xml:space="preserve"> </w:t>
      </w:r>
      <w:r w:rsidR="007A5378" w:rsidRPr="00D6259F">
        <w:rPr>
          <w:color w:val="000000" w:themeColor="text1"/>
        </w:rPr>
        <w:t>(</w:t>
      </w:r>
      <w:r w:rsidR="00D835FD" w:rsidRPr="00D6259F">
        <w:rPr>
          <w:color w:val="000000" w:themeColor="text1"/>
        </w:rPr>
        <w:t>202</w:t>
      </w:r>
      <w:r w:rsidR="007C32CD" w:rsidRPr="00D6259F">
        <w:rPr>
          <w:color w:val="000000" w:themeColor="text1"/>
        </w:rPr>
        <w:t>3</w:t>
      </w:r>
      <w:r w:rsidRPr="00D6259F">
        <w:rPr>
          <w:color w:val="000000" w:themeColor="text1"/>
        </w:rPr>
        <w:t>: $</w:t>
      </w:r>
      <w:r w:rsidR="007C32CD" w:rsidRPr="00D6259F">
        <w:rPr>
          <w:color w:val="000000" w:themeColor="text1"/>
        </w:rPr>
        <w:t>2</w:t>
      </w:r>
      <w:r w:rsidR="00D803C9" w:rsidRPr="00D6259F">
        <w:rPr>
          <w:color w:val="000000" w:themeColor="text1"/>
        </w:rPr>
        <w:t>1.0</w:t>
      </w:r>
      <w:r w:rsidR="007C32CD" w:rsidRPr="00D6259F">
        <w:rPr>
          <w:color w:val="000000" w:themeColor="text1"/>
        </w:rPr>
        <w:t>m</w:t>
      </w:r>
      <w:r w:rsidRPr="00D6259F">
        <w:rPr>
          <w:color w:val="000000" w:themeColor="text1"/>
        </w:rPr>
        <w:t xml:space="preserve">) related to accumulated surpluses and deficits from the Waste </w:t>
      </w:r>
      <w:r w:rsidR="00AD548D" w:rsidRPr="00D6259F">
        <w:rPr>
          <w:color w:val="000000" w:themeColor="text1"/>
        </w:rPr>
        <w:t>r</w:t>
      </w:r>
      <w:r w:rsidRPr="00D6259F">
        <w:rPr>
          <w:color w:val="000000" w:themeColor="text1"/>
        </w:rPr>
        <w:t xml:space="preserve">eduction and </w:t>
      </w:r>
      <w:r w:rsidR="00AD548D" w:rsidRPr="00D6259F">
        <w:rPr>
          <w:color w:val="000000" w:themeColor="text1"/>
        </w:rPr>
        <w:t>e</w:t>
      </w:r>
      <w:r w:rsidRPr="00D6259F">
        <w:rPr>
          <w:color w:val="000000" w:themeColor="text1"/>
        </w:rPr>
        <w:t xml:space="preserve">nergy </w:t>
      </w:r>
      <w:r w:rsidR="00AD548D" w:rsidRPr="00D6259F">
        <w:rPr>
          <w:color w:val="000000" w:themeColor="text1"/>
        </w:rPr>
        <w:t>c</w:t>
      </w:r>
      <w:r w:rsidRPr="00D6259F">
        <w:rPr>
          <w:color w:val="000000" w:themeColor="text1"/>
        </w:rPr>
        <w:t xml:space="preserve">onservation </w:t>
      </w:r>
      <w:r w:rsidR="00AD548D" w:rsidRPr="00D6259F">
        <w:rPr>
          <w:color w:val="000000" w:themeColor="text1"/>
        </w:rPr>
        <w:t>- A</w:t>
      </w:r>
      <w:r w:rsidRPr="00D6259F">
        <w:rPr>
          <w:color w:val="000000" w:themeColor="text1"/>
        </w:rPr>
        <w:t xml:space="preserve">ctivity </w:t>
      </w:r>
      <w:r w:rsidR="00AD548D" w:rsidRPr="00D6259F">
        <w:rPr>
          <w:color w:val="000000" w:themeColor="text1"/>
        </w:rPr>
        <w:t xml:space="preserve">2.2, </w:t>
      </w:r>
      <w:r w:rsidRPr="00D6259F">
        <w:rPr>
          <w:color w:val="000000" w:themeColor="text1"/>
        </w:rPr>
        <w:t>which under the Waste Minimisation Act 2008, must be ring</w:t>
      </w:r>
      <w:r w:rsidR="00841E4F" w:rsidRPr="00D6259F">
        <w:rPr>
          <w:color w:val="000000" w:themeColor="text1"/>
        </w:rPr>
        <w:t>-</w:t>
      </w:r>
      <w:r w:rsidRPr="00D6259F">
        <w:rPr>
          <w:color w:val="000000" w:themeColor="text1"/>
        </w:rPr>
        <w:t xml:space="preserve">fenced for future investment in waste activities. </w:t>
      </w:r>
      <w:r w:rsidR="005B3A10" w:rsidRPr="00D6259F">
        <w:rPr>
          <w:color w:val="000000" w:themeColor="text1"/>
        </w:rPr>
        <w:t xml:space="preserve">The </w:t>
      </w:r>
      <w:r w:rsidRPr="00D6259F">
        <w:rPr>
          <w:color w:val="000000" w:themeColor="text1"/>
        </w:rPr>
        <w:t xml:space="preserve">Council is committed to </w:t>
      </w:r>
      <w:r w:rsidR="009C780A" w:rsidRPr="00D6259F">
        <w:rPr>
          <w:color w:val="000000" w:themeColor="text1"/>
        </w:rPr>
        <w:t>several</w:t>
      </w:r>
      <w:r w:rsidRPr="00D6259F">
        <w:rPr>
          <w:color w:val="000000" w:themeColor="text1"/>
        </w:rPr>
        <w:t xml:space="preserve"> waste minimisation projects that will utilise these funds.</w:t>
      </w:r>
    </w:p>
    <w:p w14:paraId="43933D04" w14:textId="77777777" w:rsidR="00BC31D2" w:rsidRPr="00D6259F" w:rsidRDefault="00BC31D2" w:rsidP="00BC31D2">
      <w:pPr>
        <w:pStyle w:val="Heading3"/>
      </w:pPr>
      <w:r w:rsidRPr="00D6259F">
        <w:t>Relevant significant accounting policies</w:t>
      </w:r>
    </w:p>
    <w:p w14:paraId="02989EB2" w14:textId="4EA898B9" w:rsidR="00BC31D2" w:rsidRPr="00D6259F" w:rsidRDefault="00BC31D2" w:rsidP="00BC31D2">
      <w:pPr>
        <w:rPr>
          <w:color w:val="000000" w:themeColor="text1"/>
        </w:rPr>
      </w:pPr>
      <w:r w:rsidRPr="00D6259F">
        <w:rPr>
          <w:color w:val="000000" w:themeColor="text1"/>
        </w:rPr>
        <w:t xml:space="preserve">Borrowings on normal commercial terms are initially recognised at </w:t>
      </w:r>
      <w:r w:rsidR="00AD548D" w:rsidRPr="00D6259F">
        <w:rPr>
          <w:color w:val="000000" w:themeColor="text1"/>
        </w:rPr>
        <w:t>amortised cost</w:t>
      </w:r>
      <w:r w:rsidRPr="00D6259F">
        <w:rPr>
          <w:color w:val="000000" w:themeColor="text1"/>
        </w:rPr>
        <w:t>. Interest due on the borrowings is subsequently accrued</w:t>
      </w:r>
      <w:r w:rsidR="007A3A0C" w:rsidRPr="00D6259F">
        <w:rPr>
          <w:color w:val="000000" w:themeColor="text1"/>
        </w:rPr>
        <w:t>.</w:t>
      </w:r>
      <w:r w:rsidRPr="00D6259F">
        <w:rPr>
          <w:color w:val="000000" w:themeColor="text1"/>
        </w:rPr>
        <w:t xml:space="preserve"> </w:t>
      </w:r>
    </w:p>
    <w:p w14:paraId="340CB6C8" w14:textId="2A2849E5" w:rsidR="00BC31D2" w:rsidRPr="00D6259F" w:rsidRDefault="00BC31D2" w:rsidP="00BC31D2">
      <w:pPr>
        <w:rPr>
          <w:color w:val="000000" w:themeColor="text1"/>
        </w:rPr>
      </w:pPr>
      <w:r w:rsidRPr="00D6259F">
        <w:rPr>
          <w:color w:val="000000" w:themeColor="text1"/>
        </w:rPr>
        <w:t>Borrowings are classified as current liabilities unless the Council or</w:t>
      </w:r>
      <w:r w:rsidR="006020F7" w:rsidRPr="00D6259F">
        <w:rPr>
          <w:color w:val="000000" w:themeColor="text1"/>
        </w:rPr>
        <w:t xml:space="preserve"> Group</w:t>
      </w:r>
      <w:r w:rsidRPr="00D6259F">
        <w:rPr>
          <w:color w:val="000000" w:themeColor="text1"/>
        </w:rPr>
        <w:t xml:space="preserve"> has an unconditional right to defer settlement of the liability for at least 12 months after balance date. </w:t>
      </w:r>
    </w:p>
    <w:p w14:paraId="3B98DF91" w14:textId="77777777" w:rsidR="00D422B1" w:rsidRPr="00D6259F" w:rsidRDefault="00D422B1" w:rsidP="00C034D8">
      <w:pPr>
        <w:pStyle w:val="Heading2"/>
      </w:pPr>
      <w:bookmarkStart w:id="150" w:name="_Toc55482668"/>
      <w:bookmarkStart w:id="151" w:name="_Toc179890311"/>
      <w:r w:rsidRPr="00D6259F">
        <w:lastRenderedPageBreak/>
        <w:t>Note 2</w:t>
      </w:r>
      <w:r w:rsidR="00B376CE" w:rsidRPr="00D6259F">
        <w:t>5</w:t>
      </w:r>
      <w:r w:rsidRPr="00D6259F">
        <w:t xml:space="preserve">: Employee benefit liabilities and </w:t>
      </w:r>
      <w:proofErr w:type="gramStart"/>
      <w:r w:rsidRPr="00D6259F">
        <w:t>provisions</w:t>
      </w:r>
      <w:bookmarkEnd w:id="150"/>
      <w:bookmarkEnd w:id="151"/>
      <w:proofErr w:type="gramEnd"/>
    </w:p>
    <w:p w14:paraId="72C5A47A" w14:textId="1D8C00F4" w:rsidR="002D4949" w:rsidRPr="00D6259F" w:rsidRDefault="000F20D8" w:rsidP="00D55769">
      <w:pPr>
        <w:rPr>
          <w:color w:val="000000" w:themeColor="text1"/>
        </w:rPr>
      </w:pPr>
      <w:r w:rsidRPr="00D6259F">
        <w:rPr>
          <w:color w:val="000000" w:themeColor="text1"/>
        </w:rPr>
        <w:object w:dxaOrig="10215" w:dyaOrig="7515" w14:anchorId="02D43C2D">
          <v:shape id="_x0000_i1086" type="#_x0000_t75" style="width:476pt;height:372pt" o:ole="">
            <v:imagedata r:id="rId134" o:title=""/>
          </v:shape>
          <o:OLEObject Type="Link" ProgID="Excel.Sheet.12" ShapeID="_x0000_i1086" DrawAspect="Content" r:id="rId135" UpdateMode="Always">
            <o:LinkType>EnhancedMetaFile</o:LinkType>
            <o:LockedField>false</o:LockedField>
          </o:OLEObject>
        </w:object>
      </w:r>
    </w:p>
    <w:p w14:paraId="2343BE41" w14:textId="6005A7F9" w:rsidR="00D422B1" w:rsidRPr="00D6259F" w:rsidRDefault="00D422B1" w:rsidP="00C034D8">
      <w:pPr>
        <w:pStyle w:val="Heading3"/>
      </w:pPr>
      <w:bookmarkStart w:id="152" w:name="_Toc121217138"/>
      <w:r w:rsidRPr="00D6259F">
        <w:t>Relevant significant accounting policies</w:t>
      </w:r>
      <w:bookmarkEnd w:id="152"/>
    </w:p>
    <w:p w14:paraId="78E686AC" w14:textId="77777777" w:rsidR="00D422B1" w:rsidRPr="00D6259F" w:rsidRDefault="00D422B1" w:rsidP="00C034D8">
      <w:pPr>
        <w:rPr>
          <w:color w:val="000000" w:themeColor="text1"/>
        </w:rPr>
      </w:pPr>
      <w:r w:rsidRPr="00D6259F">
        <w:rPr>
          <w:color w:val="000000" w:themeColor="text1"/>
        </w:rPr>
        <w:t>A provision for employee benefit liabilities (holiday leave, long service leave and retirement gratuities) is recognised as a liability when benefits are earned but not paid.</w:t>
      </w:r>
    </w:p>
    <w:p w14:paraId="3EC96421" w14:textId="77777777" w:rsidR="00D422B1" w:rsidRPr="00D6259F" w:rsidRDefault="00D422B1" w:rsidP="00C034D8">
      <w:pPr>
        <w:pStyle w:val="Heading3"/>
      </w:pPr>
      <w:bookmarkStart w:id="153" w:name="_Toc121217139"/>
      <w:r w:rsidRPr="00D6259F">
        <w:t>Holiday leave</w:t>
      </w:r>
      <w:bookmarkEnd w:id="153"/>
    </w:p>
    <w:p w14:paraId="0746F94E" w14:textId="46D754F3" w:rsidR="006C0945" w:rsidRPr="00D6259F" w:rsidRDefault="00D422B1" w:rsidP="00C034D8">
      <w:pPr>
        <w:rPr>
          <w:color w:val="000000" w:themeColor="text1"/>
        </w:rPr>
      </w:pPr>
      <w:r w:rsidRPr="00D6259F">
        <w:rPr>
          <w:color w:val="000000" w:themeColor="text1"/>
        </w:rPr>
        <w:t xml:space="preserve">Holiday leave includes annual leave, long service leave, statutory time off in lieu </w:t>
      </w:r>
      <w:r w:rsidR="00007BF7" w:rsidRPr="00D6259F">
        <w:rPr>
          <w:color w:val="000000" w:themeColor="text1"/>
        </w:rPr>
        <w:t xml:space="preserve">and </w:t>
      </w:r>
      <w:r w:rsidRPr="00D6259F">
        <w:rPr>
          <w:color w:val="000000" w:themeColor="text1"/>
        </w:rPr>
        <w:t>ordinary time off in lieu. Annual leave is calculated on an actual entitlement basis in accordance with section 21(2) of the</w:t>
      </w:r>
      <w:r w:rsidR="00007BF7" w:rsidRPr="00D6259F">
        <w:rPr>
          <w:color w:val="000000" w:themeColor="text1"/>
        </w:rPr>
        <w:t xml:space="preserve"> Holidays Act 2003</w:t>
      </w:r>
      <w:r w:rsidRPr="00D6259F">
        <w:rPr>
          <w:color w:val="000000" w:themeColor="text1"/>
        </w:rPr>
        <w:t>.</w:t>
      </w:r>
      <w:r w:rsidR="00C720AF" w:rsidRPr="00D6259F">
        <w:rPr>
          <w:color w:val="000000" w:themeColor="text1"/>
        </w:rPr>
        <w:t xml:space="preserve"> </w:t>
      </w:r>
    </w:p>
    <w:p w14:paraId="0435C31F" w14:textId="0D9BF865" w:rsidR="0013798B" w:rsidRPr="00D6259F" w:rsidRDefault="0013798B" w:rsidP="0013798B">
      <w:pPr>
        <w:pStyle w:val="Heading3"/>
      </w:pPr>
      <w:r w:rsidRPr="00D6259F">
        <w:t>Holidays Act remediation provision</w:t>
      </w:r>
    </w:p>
    <w:p w14:paraId="34428433" w14:textId="526F21DE" w:rsidR="000661B4" w:rsidRPr="00D6259F" w:rsidRDefault="00BB68EC" w:rsidP="0013798B">
      <w:pPr>
        <w:rPr>
          <w:color w:val="000000" w:themeColor="text1"/>
        </w:rPr>
      </w:pPr>
      <w:proofErr w:type="gramStart"/>
      <w:r w:rsidRPr="00D6259F">
        <w:rPr>
          <w:color w:val="000000" w:themeColor="text1"/>
        </w:rPr>
        <w:t>A number of</w:t>
      </w:r>
      <w:proofErr w:type="gramEnd"/>
      <w:r w:rsidRPr="00D6259F">
        <w:rPr>
          <w:color w:val="000000" w:themeColor="text1"/>
        </w:rPr>
        <w:t xml:space="preserve"> </w:t>
      </w:r>
      <w:r w:rsidR="000661B4" w:rsidRPr="00D6259F">
        <w:rPr>
          <w:color w:val="000000" w:themeColor="text1"/>
        </w:rPr>
        <w:t>New Zealand</w:t>
      </w:r>
      <w:r w:rsidRPr="00D6259F">
        <w:rPr>
          <w:color w:val="000000" w:themeColor="text1"/>
        </w:rPr>
        <w:t>’s</w:t>
      </w:r>
      <w:r w:rsidR="000661B4" w:rsidRPr="00D6259F">
        <w:rPr>
          <w:color w:val="000000" w:themeColor="text1"/>
        </w:rPr>
        <w:t xml:space="preserve"> public and private organisations have identified issues with the calculation of leave entitlements under the Holidays Act 2003. During 2019/20, </w:t>
      </w:r>
      <w:r w:rsidR="00B90F16" w:rsidRPr="00D6259F">
        <w:rPr>
          <w:color w:val="000000" w:themeColor="text1"/>
        </w:rPr>
        <w:t xml:space="preserve">the </w:t>
      </w:r>
      <w:r w:rsidR="000661B4" w:rsidRPr="00D6259F">
        <w:rPr>
          <w:color w:val="000000" w:themeColor="text1"/>
        </w:rPr>
        <w:t xml:space="preserve">Council completed its own review of payroll processes which identified instances of non-compliance with the Holidays Act 2003. This review resulted in </w:t>
      </w:r>
      <w:r w:rsidR="00623014" w:rsidRPr="00D6259F">
        <w:rPr>
          <w:color w:val="000000" w:themeColor="text1"/>
        </w:rPr>
        <w:t xml:space="preserve">the </w:t>
      </w:r>
      <w:r w:rsidR="0013798B" w:rsidRPr="00D6259F">
        <w:rPr>
          <w:color w:val="000000" w:themeColor="text1"/>
        </w:rPr>
        <w:t>Council engag</w:t>
      </w:r>
      <w:r w:rsidR="000661B4" w:rsidRPr="00D6259F">
        <w:rPr>
          <w:color w:val="000000" w:themeColor="text1"/>
        </w:rPr>
        <w:t>ing a third party to calculate the remediation required to rectify the non-compliance.</w:t>
      </w:r>
    </w:p>
    <w:p w14:paraId="1D8B2E2B" w14:textId="347177B3" w:rsidR="0013798B" w:rsidRPr="00D6259F" w:rsidRDefault="000661B4" w:rsidP="0013798B">
      <w:pPr>
        <w:rPr>
          <w:color w:val="000000" w:themeColor="text1"/>
        </w:rPr>
      </w:pPr>
      <w:r w:rsidRPr="00D6259F">
        <w:rPr>
          <w:color w:val="000000" w:themeColor="text1"/>
        </w:rPr>
        <w:t xml:space="preserve">This provision covers both current and former employees and covers the period going back six years plus one from August 2020. </w:t>
      </w:r>
      <w:r w:rsidR="0013798B" w:rsidRPr="00D6259F">
        <w:rPr>
          <w:color w:val="000000" w:themeColor="text1"/>
        </w:rPr>
        <w:t>Th</w:t>
      </w:r>
      <w:r w:rsidRPr="00D6259F">
        <w:rPr>
          <w:color w:val="000000" w:themeColor="text1"/>
        </w:rPr>
        <w:t>is</w:t>
      </w:r>
      <w:r w:rsidR="0013798B" w:rsidRPr="00D6259F">
        <w:rPr>
          <w:color w:val="000000" w:themeColor="text1"/>
        </w:rPr>
        <w:t xml:space="preserve"> provision includes any remediation costs for Council</w:t>
      </w:r>
      <w:r w:rsidRPr="00D6259F">
        <w:rPr>
          <w:color w:val="000000" w:themeColor="text1"/>
        </w:rPr>
        <w:t>-</w:t>
      </w:r>
      <w:r w:rsidR="0013798B" w:rsidRPr="00D6259F">
        <w:rPr>
          <w:color w:val="000000" w:themeColor="text1"/>
        </w:rPr>
        <w:t xml:space="preserve">controlled entities where the Council was responsible for processing their payroll. </w:t>
      </w:r>
    </w:p>
    <w:p w14:paraId="34B54612" w14:textId="77777777" w:rsidR="00D422B1" w:rsidRPr="00D6259F" w:rsidRDefault="00D422B1" w:rsidP="00C034D8">
      <w:pPr>
        <w:pStyle w:val="Heading2"/>
      </w:pPr>
      <w:bookmarkStart w:id="154" w:name="_Toc55482669"/>
      <w:bookmarkStart w:id="155" w:name="_Toc179890312"/>
      <w:r w:rsidRPr="00D6259F">
        <w:lastRenderedPageBreak/>
        <w:t>Note 2</w:t>
      </w:r>
      <w:r w:rsidR="00273688" w:rsidRPr="00D6259F">
        <w:t>6</w:t>
      </w:r>
      <w:r w:rsidRPr="00D6259F">
        <w:t xml:space="preserve">: Provisions for other </w:t>
      </w:r>
      <w:proofErr w:type="gramStart"/>
      <w:r w:rsidRPr="00D6259F">
        <w:t>liabilities</w:t>
      </w:r>
      <w:bookmarkEnd w:id="154"/>
      <w:bookmarkEnd w:id="155"/>
      <w:proofErr w:type="gramEnd"/>
    </w:p>
    <w:p w14:paraId="5A963026" w14:textId="01ACA870" w:rsidR="0013798B" w:rsidRPr="00D6259F" w:rsidRDefault="000F20D8" w:rsidP="0013798B">
      <w:pPr>
        <w:rPr>
          <w:color w:val="000000" w:themeColor="text1"/>
        </w:rPr>
      </w:pPr>
      <w:r w:rsidRPr="00D6259F">
        <w:rPr>
          <w:color w:val="000000" w:themeColor="text1"/>
        </w:rPr>
        <w:object w:dxaOrig="9915" w:dyaOrig="5205" w14:anchorId="30784FB7">
          <v:shape id="_x0000_i1087" type="#_x0000_t75" style="width:474pt;height:259pt" o:ole="">
            <v:imagedata r:id="rId136" o:title=""/>
          </v:shape>
          <o:OLEObject Type="Link" ProgID="Excel.Sheet.12" ShapeID="_x0000_i1087" DrawAspect="Content" r:id="rId137" UpdateMode="Always">
            <o:LinkType>EnhancedMetaFile</o:LinkType>
            <o:LockedField>false</o:LockedField>
          </o:OLEObject>
        </w:object>
      </w:r>
    </w:p>
    <w:p w14:paraId="2C357352" w14:textId="77777777" w:rsidR="00D422B1" w:rsidRPr="00D6259F" w:rsidRDefault="00D422B1" w:rsidP="00C034D8">
      <w:pPr>
        <w:pStyle w:val="Heading3"/>
      </w:pPr>
      <w:bookmarkStart w:id="156" w:name="_Toc121217146"/>
      <w:r w:rsidRPr="00D6259F">
        <w:t>Relevant significant accounting policies - general</w:t>
      </w:r>
      <w:bookmarkEnd w:id="156"/>
    </w:p>
    <w:p w14:paraId="1995E682" w14:textId="77777777" w:rsidR="00D422B1" w:rsidRPr="00D6259F" w:rsidRDefault="00D422B1" w:rsidP="00C034D8">
      <w:pPr>
        <w:rPr>
          <w:color w:val="000000" w:themeColor="text1"/>
        </w:rPr>
      </w:pPr>
      <w:r w:rsidRPr="00D6259F">
        <w:rPr>
          <w:color w:val="000000" w:themeColor="text1"/>
        </w:rPr>
        <w:t xml:space="preserve">Provisions are recognised for future liabilities of uncertain timing or amount when there is a present obligation </w:t>
      </w:r>
      <w:proofErr w:type="gramStart"/>
      <w:r w:rsidRPr="00D6259F">
        <w:rPr>
          <w:color w:val="000000" w:themeColor="text1"/>
        </w:rPr>
        <w:t>as a result of</w:t>
      </w:r>
      <w:proofErr w:type="gramEnd"/>
      <w:r w:rsidRPr="00D6259F">
        <w:rPr>
          <w:color w:val="000000" w:themeColor="text1"/>
        </w:rPr>
        <w:t xml:space="preserve"> a past event, it is probable that expenditure will be required to settle the obligation and a reliable estimate of the obligation can be made. Provisions are measured at the expenditure expected to be required to settle the obligation. Liabilities and provisions to be settled beyond 12 months are recorded at their present value.</w:t>
      </w:r>
    </w:p>
    <w:p w14:paraId="26B8DB46" w14:textId="2C8F2D0A" w:rsidR="00D422B1" w:rsidRPr="00D6259F" w:rsidRDefault="00D422B1" w:rsidP="00C034D8">
      <w:pPr>
        <w:rPr>
          <w:color w:val="000000" w:themeColor="text1"/>
        </w:rPr>
      </w:pPr>
      <w:r w:rsidRPr="00D6259F">
        <w:rPr>
          <w:color w:val="000000" w:themeColor="text1"/>
        </w:rPr>
        <w:t xml:space="preserve">Movements in material provisions above are analysed in </w:t>
      </w:r>
      <w:r w:rsidR="00F81C47" w:rsidRPr="00D6259F">
        <w:rPr>
          <w:i/>
          <w:iCs/>
          <w:color w:val="000000" w:themeColor="text1"/>
        </w:rPr>
        <w:t xml:space="preserve">Tables </w:t>
      </w:r>
      <w:r w:rsidR="00B96F44" w:rsidRPr="00D6259F">
        <w:rPr>
          <w:i/>
          <w:iCs/>
          <w:color w:val="000000" w:themeColor="text1"/>
        </w:rPr>
        <w:t>55</w:t>
      </w:r>
      <w:r w:rsidR="00F81C47" w:rsidRPr="00D6259F">
        <w:rPr>
          <w:i/>
          <w:iCs/>
          <w:color w:val="000000" w:themeColor="text1"/>
        </w:rPr>
        <w:t xml:space="preserve"> and </w:t>
      </w:r>
      <w:r w:rsidR="00B96F44" w:rsidRPr="00D6259F">
        <w:rPr>
          <w:i/>
          <w:iCs/>
          <w:color w:val="000000" w:themeColor="text1"/>
        </w:rPr>
        <w:t>56</w:t>
      </w:r>
      <w:r w:rsidR="00F81C47" w:rsidRPr="00D6259F">
        <w:rPr>
          <w:color w:val="000000" w:themeColor="text1"/>
        </w:rPr>
        <w:t>.</w:t>
      </w:r>
      <w:r w:rsidRPr="00D6259F">
        <w:rPr>
          <w:color w:val="000000" w:themeColor="text1"/>
        </w:rPr>
        <w:t xml:space="preserve"> </w:t>
      </w:r>
    </w:p>
    <w:p w14:paraId="1CC0E24D" w14:textId="3F818D76" w:rsidR="00D422B1" w:rsidRPr="00D6259F" w:rsidRDefault="000F20D8" w:rsidP="00C034D8">
      <w:pPr>
        <w:rPr>
          <w:color w:val="000000" w:themeColor="text1"/>
        </w:rPr>
      </w:pPr>
      <w:r w:rsidRPr="00D6259F">
        <w:rPr>
          <w:noProof/>
          <w:color w:val="000000" w:themeColor="text1"/>
          <w:lang w:val="en-US"/>
        </w:rPr>
        <w:object w:dxaOrig="9915" w:dyaOrig="3045" w14:anchorId="272E0BF6">
          <v:shape id="_x0000_i1088" type="#_x0000_t75" style="width:440pt;height:160pt" o:ole="">
            <v:imagedata r:id="rId138" o:title=""/>
          </v:shape>
          <o:OLEObject Type="Link" ProgID="Excel.Sheet.12" ShapeID="_x0000_i1088" DrawAspect="Content" r:id="rId139" UpdateMode="Always">
            <o:LinkType>EnhancedMetaFile</o:LinkType>
            <o:LockedField>false</o:LockedField>
          </o:OLEObject>
        </w:object>
      </w:r>
    </w:p>
    <w:p w14:paraId="2EB65D98" w14:textId="27028FE9" w:rsidR="00D422B1" w:rsidRPr="00D6259F" w:rsidRDefault="00D422B1" w:rsidP="00C034D8">
      <w:pPr>
        <w:pStyle w:val="Heading3"/>
        <w:rPr>
          <w:rFonts w:ascii="Arial" w:eastAsiaTheme="majorEastAsia" w:hAnsi="Arial"/>
          <w:bCs w:val="0"/>
          <w:i/>
          <w:iCs/>
          <w:sz w:val="26"/>
          <w:szCs w:val="26"/>
          <w:lang w:eastAsia="en-GB"/>
        </w:rPr>
      </w:pPr>
      <w:bookmarkStart w:id="157" w:name="_Toc121217147"/>
      <w:r w:rsidRPr="00D6259F">
        <w:rPr>
          <w:rFonts w:ascii="Arial" w:eastAsiaTheme="majorEastAsia" w:hAnsi="Arial"/>
          <w:bCs w:val="0"/>
          <w:i/>
          <w:iCs/>
          <w:sz w:val="26"/>
          <w:szCs w:val="26"/>
          <w:lang w:eastAsia="en-GB"/>
        </w:rPr>
        <w:t>Background</w:t>
      </w:r>
      <w:r w:rsidR="00864749" w:rsidRPr="00D6259F">
        <w:rPr>
          <w:rFonts w:ascii="Arial" w:eastAsiaTheme="majorEastAsia" w:hAnsi="Arial"/>
          <w:bCs w:val="0"/>
          <w:i/>
          <w:iCs/>
          <w:sz w:val="26"/>
          <w:szCs w:val="26"/>
          <w:lang w:eastAsia="en-GB"/>
        </w:rPr>
        <w:t xml:space="preserve"> to </w:t>
      </w:r>
      <w:r w:rsidR="007A0570" w:rsidRPr="00D6259F">
        <w:rPr>
          <w:rFonts w:ascii="Arial" w:eastAsiaTheme="majorEastAsia" w:hAnsi="Arial"/>
          <w:bCs w:val="0"/>
          <w:i/>
          <w:iCs/>
          <w:sz w:val="26"/>
          <w:szCs w:val="26"/>
          <w:lang w:eastAsia="en-GB"/>
        </w:rPr>
        <w:t xml:space="preserve">the </w:t>
      </w:r>
      <w:r w:rsidR="007717AF" w:rsidRPr="00D6259F">
        <w:rPr>
          <w:rFonts w:ascii="Arial" w:eastAsiaTheme="majorEastAsia" w:hAnsi="Arial"/>
          <w:bCs w:val="0"/>
          <w:i/>
          <w:iCs/>
          <w:sz w:val="26"/>
          <w:szCs w:val="26"/>
          <w:lang w:eastAsia="en-GB"/>
        </w:rPr>
        <w:t>l</w:t>
      </w:r>
      <w:r w:rsidR="007A0570" w:rsidRPr="00D6259F">
        <w:rPr>
          <w:rFonts w:ascii="Arial" w:eastAsiaTheme="majorEastAsia" w:hAnsi="Arial"/>
          <w:bCs w:val="0"/>
          <w:i/>
          <w:iCs/>
          <w:sz w:val="26"/>
          <w:szCs w:val="26"/>
          <w:lang w:eastAsia="en-GB"/>
        </w:rPr>
        <w:t>andfill po</w:t>
      </w:r>
      <w:r w:rsidR="00BE4A97" w:rsidRPr="00D6259F">
        <w:rPr>
          <w:rFonts w:ascii="Arial" w:eastAsiaTheme="majorEastAsia" w:hAnsi="Arial"/>
          <w:bCs w:val="0"/>
          <w:i/>
          <w:iCs/>
          <w:sz w:val="26"/>
          <w:szCs w:val="26"/>
          <w:lang w:eastAsia="en-GB"/>
        </w:rPr>
        <w:t>st-</w:t>
      </w:r>
      <w:r w:rsidR="007A0570" w:rsidRPr="00D6259F">
        <w:rPr>
          <w:rFonts w:ascii="Arial" w:eastAsiaTheme="majorEastAsia" w:hAnsi="Arial"/>
          <w:bCs w:val="0"/>
          <w:i/>
          <w:iCs/>
          <w:sz w:val="26"/>
          <w:szCs w:val="26"/>
          <w:lang w:eastAsia="en-GB"/>
        </w:rPr>
        <w:t xml:space="preserve">closure </w:t>
      </w:r>
      <w:r w:rsidR="007F2288" w:rsidRPr="00D6259F">
        <w:rPr>
          <w:rFonts w:ascii="Arial" w:eastAsiaTheme="majorEastAsia" w:hAnsi="Arial"/>
          <w:bCs w:val="0"/>
          <w:i/>
          <w:iCs/>
          <w:sz w:val="26"/>
          <w:szCs w:val="26"/>
          <w:lang w:eastAsia="en-GB"/>
        </w:rPr>
        <w:t xml:space="preserve">costs </w:t>
      </w:r>
      <w:r w:rsidR="007A0570" w:rsidRPr="00D6259F">
        <w:rPr>
          <w:rFonts w:ascii="Arial" w:eastAsiaTheme="majorEastAsia" w:hAnsi="Arial"/>
          <w:bCs w:val="0"/>
          <w:i/>
          <w:iCs/>
          <w:sz w:val="26"/>
          <w:szCs w:val="26"/>
          <w:lang w:eastAsia="en-GB"/>
        </w:rPr>
        <w:t>provision</w:t>
      </w:r>
      <w:bookmarkEnd w:id="157"/>
    </w:p>
    <w:p w14:paraId="25315DD9" w14:textId="18B5455E" w:rsidR="00D422B1" w:rsidRPr="00D6259F" w:rsidRDefault="00D422B1" w:rsidP="00C034D8">
      <w:pPr>
        <w:rPr>
          <w:color w:val="000000" w:themeColor="text1"/>
        </w:rPr>
      </w:pPr>
      <w:r w:rsidRPr="00D6259F">
        <w:rPr>
          <w:color w:val="000000" w:themeColor="text1"/>
        </w:rPr>
        <w:t>The Council operates the Southern Landfill (Stage 3) and has a 21.5</w:t>
      </w:r>
      <w:r w:rsidR="00FA6D44" w:rsidRPr="00D6259F">
        <w:rPr>
          <w:color w:val="000000" w:themeColor="text1"/>
        </w:rPr>
        <w:t xml:space="preserve"> percent</w:t>
      </w:r>
      <w:r w:rsidRPr="00D6259F">
        <w:rPr>
          <w:color w:val="000000" w:themeColor="text1"/>
        </w:rPr>
        <w:t xml:space="preserve"> joint </w:t>
      </w:r>
      <w:r w:rsidR="00DE68C3" w:rsidRPr="00D6259F">
        <w:rPr>
          <w:color w:val="000000" w:themeColor="text1"/>
        </w:rPr>
        <w:t>operation</w:t>
      </w:r>
      <w:r w:rsidRPr="00D6259F">
        <w:rPr>
          <w:color w:val="000000" w:themeColor="text1"/>
        </w:rPr>
        <w:t xml:space="preserve"> interest in the Spicer Valley Landfill. It also manages </w:t>
      </w:r>
      <w:r w:rsidR="009C780A" w:rsidRPr="00D6259F">
        <w:rPr>
          <w:color w:val="000000" w:themeColor="text1"/>
        </w:rPr>
        <w:t>several</w:t>
      </w:r>
      <w:r w:rsidRPr="00D6259F">
        <w:rPr>
          <w:color w:val="000000" w:themeColor="text1"/>
        </w:rPr>
        <w:t xml:space="preserve"> closed landfill sites around Wellington. The Council has responsibility for the closure of its landfills and to provide ongoing maintenance and monitoring of the landfills after they are closed.</w:t>
      </w:r>
    </w:p>
    <w:p w14:paraId="71EA0833" w14:textId="77777777" w:rsidR="00D422B1" w:rsidRPr="00D6259F" w:rsidRDefault="00D422B1" w:rsidP="00C034D8">
      <w:pPr>
        <w:rPr>
          <w:color w:val="000000" w:themeColor="text1"/>
        </w:rPr>
      </w:pPr>
      <w:r w:rsidRPr="00D6259F">
        <w:rPr>
          <w:color w:val="000000" w:themeColor="text1"/>
        </w:rPr>
        <w:t>As part of the closure of landfills, or landfill stages, the Council’s responsibilities include:</w:t>
      </w:r>
    </w:p>
    <w:p w14:paraId="3A497979" w14:textId="5409E661" w:rsidR="00D422B1" w:rsidRPr="00D6259F" w:rsidRDefault="00D422B1" w:rsidP="00E76A2E">
      <w:pPr>
        <w:pStyle w:val="ListParagraph"/>
        <w:numPr>
          <w:ilvl w:val="0"/>
          <w:numId w:val="18"/>
        </w:numPr>
        <w:rPr>
          <w:color w:val="000000" w:themeColor="text1"/>
        </w:rPr>
      </w:pPr>
      <w:r w:rsidRPr="00D6259F">
        <w:rPr>
          <w:color w:val="000000" w:themeColor="text1"/>
        </w:rPr>
        <w:lastRenderedPageBreak/>
        <w:t xml:space="preserve">final cover application and </w:t>
      </w:r>
      <w:r w:rsidR="00C113E4" w:rsidRPr="00D6259F">
        <w:rPr>
          <w:color w:val="000000" w:themeColor="text1"/>
        </w:rPr>
        <w:t>vegetation</w:t>
      </w:r>
    </w:p>
    <w:p w14:paraId="2FC5F4FE" w14:textId="1AD7F8CC" w:rsidR="00D422B1" w:rsidRPr="00D6259F" w:rsidRDefault="00D422B1" w:rsidP="00E76A2E">
      <w:pPr>
        <w:pStyle w:val="ListParagraph"/>
        <w:numPr>
          <w:ilvl w:val="0"/>
          <w:numId w:val="18"/>
        </w:numPr>
        <w:rPr>
          <w:color w:val="000000" w:themeColor="text1"/>
        </w:rPr>
      </w:pPr>
      <w:r w:rsidRPr="00D6259F">
        <w:rPr>
          <w:color w:val="000000" w:themeColor="text1"/>
        </w:rPr>
        <w:t>incremental drainage control features</w:t>
      </w:r>
    </w:p>
    <w:p w14:paraId="58548C8A" w14:textId="365981F9" w:rsidR="00D422B1" w:rsidRPr="00D6259F" w:rsidRDefault="00D422B1" w:rsidP="00E76A2E">
      <w:pPr>
        <w:pStyle w:val="ListParagraph"/>
        <w:numPr>
          <w:ilvl w:val="0"/>
          <w:numId w:val="18"/>
        </w:numPr>
        <w:rPr>
          <w:color w:val="000000" w:themeColor="text1"/>
        </w:rPr>
      </w:pPr>
      <w:r w:rsidRPr="00D6259F">
        <w:rPr>
          <w:color w:val="000000" w:themeColor="text1"/>
        </w:rPr>
        <w:t>completing facilities for post</w:t>
      </w:r>
      <w:r w:rsidR="007F2288" w:rsidRPr="00D6259F">
        <w:rPr>
          <w:color w:val="000000" w:themeColor="text1"/>
        </w:rPr>
        <w:t>-</w:t>
      </w:r>
      <w:r w:rsidRPr="00D6259F">
        <w:rPr>
          <w:color w:val="000000" w:themeColor="text1"/>
        </w:rPr>
        <w:t>closure responsibilities.</w:t>
      </w:r>
    </w:p>
    <w:p w14:paraId="3EA062EC" w14:textId="58E329AA" w:rsidR="00D422B1" w:rsidRPr="00D6259F" w:rsidRDefault="00D422B1" w:rsidP="00C034D8">
      <w:pPr>
        <w:rPr>
          <w:color w:val="000000" w:themeColor="text1"/>
        </w:rPr>
      </w:pPr>
      <w:r w:rsidRPr="00D6259F">
        <w:rPr>
          <w:color w:val="000000" w:themeColor="text1"/>
        </w:rPr>
        <w:t>Post</w:t>
      </w:r>
      <w:r w:rsidR="007F2288" w:rsidRPr="00D6259F">
        <w:rPr>
          <w:color w:val="000000" w:themeColor="text1"/>
        </w:rPr>
        <w:t>-</w:t>
      </w:r>
      <w:r w:rsidRPr="00D6259F">
        <w:rPr>
          <w:color w:val="000000" w:themeColor="text1"/>
        </w:rPr>
        <w:t>closure responsibilities include:</w:t>
      </w:r>
    </w:p>
    <w:p w14:paraId="29FFDAF1" w14:textId="6A70709D" w:rsidR="00D422B1" w:rsidRPr="00D6259F" w:rsidRDefault="00D422B1" w:rsidP="00E76A2E">
      <w:pPr>
        <w:pStyle w:val="ListParagraph"/>
        <w:numPr>
          <w:ilvl w:val="0"/>
          <w:numId w:val="19"/>
        </w:numPr>
        <w:rPr>
          <w:color w:val="000000" w:themeColor="text1"/>
        </w:rPr>
      </w:pPr>
      <w:r w:rsidRPr="00D6259F">
        <w:rPr>
          <w:color w:val="000000" w:themeColor="text1"/>
        </w:rPr>
        <w:t xml:space="preserve">treatment and monitoring of </w:t>
      </w:r>
      <w:r w:rsidR="00C113E4" w:rsidRPr="00D6259F">
        <w:rPr>
          <w:color w:val="000000" w:themeColor="text1"/>
        </w:rPr>
        <w:t>leachate</w:t>
      </w:r>
    </w:p>
    <w:p w14:paraId="577F15E8" w14:textId="769D3450" w:rsidR="00D422B1" w:rsidRPr="00D6259F" w:rsidRDefault="00D422B1" w:rsidP="00E76A2E">
      <w:pPr>
        <w:pStyle w:val="ListParagraph"/>
        <w:numPr>
          <w:ilvl w:val="0"/>
          <w:numId w:val="19"/>
        </w:numPr>
        <w:rPr>
          <w:color w:val="000000" w:themeColor="text1"/>
        </w:rPr>
      </w:pPr>
      <w:r w:rsidRPr="00D6259F">
        <w:rPr>
          <w:color w:val="000000" w:themeColor="text1"/>
        </w:rPr>
        <w:t xml:space="preserve">ground water and surface </w:t>
      </w:r>
      <w:proofErr w:type="gramStart"/>
      <w:r w:rsidR="00C113E4" w:rsidRPr="00D6259F">
        <w:rPr>
          <w:color w:val="000000" w:themeColor="text1"/>
        </w:rPr>
        <w:t>monitoring</w:t>
      </w:r>
      <w:proofErr w:type="gramEnd"/>
      <w:r w:rsidRPr="00D6259F">
        <w:rPr>
          <w:color w:val="000000" w:themeColor="text1"/>
        </w:rPr>
        <w:t xml:space="preserve"> </w:t>
      </w:r>
    </w:p>
    <w:p w14:paraId="417854A0" w14:textId="23D5D31C" w:rsidR="00D422B1" w:rsidRPr="00D6259F" w:rsidRDefault="00D422B1" w:rsidP="00E76A2E">
      <w:pPr>
        <w:pStyle w:val="ListParagraph"/>
        <w:numPr>
          <w:ilvl w:val="0"/>
          <w:numId w:val="19"/>
        </w:numPr>
        <w:rPr>
          <w:color w:val="000000" w:themeColor="text1"/>
        </w:rPr>
      </w:pPr>
      <w:r w:rsidRPr="00D6259F">
        <w:rPr>
          <w:color w:val="000000" w:themeColor="text1"/>
        </w:rPr>
        <w:t xml:space="preserve">gas monitoring and </w:t>
      </w:r>
      <w:r w:rsidR="00C113E4" w:rsidRPr="00D6259F">
        <w:rPr>
          <w:color w:val="000000" w:themeColor="text1"/>
        </w:rPr>
        <w:t>recovery</w:t>
      </w:r>
    </w:p>
    <w:p w14:paraId="405354D1" w14:textId="5D109FC1" w:rsidR="00D422B1" w:rsidRPr="00D6259F" w:rsidRDefault="00D422B1" w:rsidP="00E76A2E">
      <w:pPr>
        <w:pStyle w:val="ListParagraph"/>
        <w:numPr>
          <w:ilvl w:val="0"/>
          <w:numId w:val="19"/>
        </w:numPr>
        <w:rPr>
          <w:color w:val="000000" w:themeColor="text1"/>
        </w:rPr>
      </w:pPr>
      <w:r w:rsidRPr="00D6259F">
        <w:rPr>
          <w:color w:val="000000" w:themeColor="text1"/>
        </w:rPr>
        <w:t xml:space="preserve">implementation of remedial measures such as needed for cover and control </w:t>
      </w:r>
      <w:proofErr w:type="gramStart"/>
      <w:r w:rsidRPr="00D6259F">
        <w:rPr>
          <w:color w:val="000000" w:themeColor="text1"/>
        </w:rPr>
        <w:t>systems</w:t>
      </w:r>
      <w:proofErr w:type="gramEnd"/>
    </w:p>
    <w:p w14:paraId="57E9B5D5" w14:textId="77777777" w:rsidR="00D422B1" w:rsidRPr="00D6259F" w:rsidRDefault="00D422B1" w:rsidP="00E76A2E">
      <w:pPr>
        <w:pStyle w:val="ListParagraph"/>
        <w:numPr>
          <w:ilvl w:val="0"/>
          <w:numId w:val="19"/>
        </w:numPr>
        <w:rPr>
          <w:color w:val="000000" w:themeColor="text1"/>
        </w:rPr>
      </w:pPr>
      <w:r w:rsidRPr="00D6259F">
        <w:rPr>
          <w:color w:val="000000" w:themeColor="text1"/>
        </w:rPr>
        <w:t xml:space="preserve">on-going site maintenance for drainage systems, final </w:t>
      </w:r>
      <w:proofErr w:type="gramStart"/>
      <w:r w:rsidRPr="00D6259F">
        <w:rPr>
          <w:color w:val="000000" w:themeColor="text1"/>
        </w:rPr>
        <w:t>cover</w:t>
      </w:r>
      <w:proofErr w:type="gramEnd"/>
      <w:r w:rsidRPr="00D6259F">
        <w:rPr>
          <w:color w:val="000000" w:themeColor="text1"/>
        </w:rPr>
        <w:t xml:space="preserve"> and vegetation. </w:t>
      </w:r>
    </w:p>
    <w:p w14:paraId="3E96C2E9" w14:textId="77777777" w:rsidR="00D422B1" w:rsidRPr="00D6259F" w:rsidRDefault="00D422B1" w:rsidP="00C034D8">
      <w:pPr>
        <w:rPr>
          <w:color w:val="000000" w:themeColor="text1"/>
        </w:rPr>
      </w:pPr>
      <w:r w:rsidRPr="00D6259F">
        <w:rPr>
          <w:color w:val="000000" w:themeColor="text1"/>
        </w:rPr>
        <w:t xml:space="preserve">The Council, as operator of the Southern Landfill, has a legal obligation to apply for resource consents when the landfill or landfill stages reach the end of their operating life and are to be closed. These resource consents will set out the closure requirements and the requirements for ongoing maintenance and monitoring services at the landfill site after closure. </w:t>
      </w:r>
    </w:p>
    <w:p w14:paraId="38C02ADA" w14:textId="2DC9E268" w:rsidR="00D422B1" w:rsidRPr="00D6259F" w:rsidRDefault="00D422B1" w:rsidP="00C034D8">
      <w:pPr>
        <w:pStyle w:val="Heading3"/>
      </w:pPr>
      <w:bookmarkStart w:id="158" w:name="_Toc121217148"/>
      <w:r w:rsidRPr="00D6259F">
        <w:t xml:space="preserve">Relevant significant accounting policies </w:t>
      </w:r>
      <w:r w:rsidR="00864749" w:rsidRPr="00D6259F">
        <w:t>–</w:t>
      </w:r>
      <w:r w:rsidRPr="00D6259F">
        <w:t xml:space="preserve"> </w:t>
      </w:r>
      <w:r w:rsidR="007717AF" w:rsidRPr="00D6259F">
        <w:t>l</w:t>
      </w:r>
      <w:r w:rsidR="00BE4A97" w:rsidRPr="00D6259F">
        <w:t xml:space="preserve">andfill post-closure </w:t>
      </w:r>
      <w:r w:rsidR="00BB68EC" w:rsidRPr="00D6259F">
        <w:t xml:space="preserve">costs </w:t>
      </w:r>
      <w:r w:rsidR="00BE4A97" w:rsidRPr="00D6259F">
        <w:t>specific</w:t>
      </w:r>
      <w:bookmarkEnd w:id="158"/>
    </w:p>
    <w:p w14:paraId="3F38CE9A" w14:textId="77777777" w:rsidR="00D422B1" w:rsidRPr="00D6259F" w:rsidRDefault="00D422B1" w:rsidP="00C034D8">
      <w:pPr>
        <w:rPr>
          <w:color w:val="000000" w:themeColor="text1"/>
        </w:rPr>
      </w:pPr>
      <w:r w:rsidRPr="00D6259F">
        <w:rPr>
          <w:color w:val="000000" w:themeColor="text1"/>
        </w:rPr>
        <w:t>A provision for post-closure costs is recognised as a liability when the obligation for post-closure arises, which is when each stage of the landfill is commissioned, and refuse begins to accumulate.</w:t>
      </w:r>
    </w:p>
    <w:p w14:paraId="015AC8E2" w14:textId="456287AC" w:rsidR="00D422B1" w:rsidRPr="00D6259F" w:rsidRDefault="00D422B1" w:rsidP="00C034D8">
      <w:pPr>
        <w:rPr>
          <w:color w:val="000000" w:themeColor="text1"/>
        </w:rPr>
      </w:pPr>
      <w:r w:rsidRPr="00D6259F">
        <w:rPr>
          <w:color w:val="000000" w:themeColor="text1"/>
        </w:rPr>
        <w:t xml:space="preserve">The provision is measured based on the present value of future cash flows expected to be incurred, </w:t>
      </w:r>
      <w:proofErr w:type="gramStart"/>
      <w:r w:rsidRPr="00D6259F">
        <w:rPr>
          <w:color w:val="000000" w:themeColor="text1"/>
        </w:rPr>
        <w:t>taking into account</w:t>
      </w:r>
      <w:proofErr w:type="gramEnd"/>
      <w:r w:rsidRPr="00D6259F">
        <w:rPr>
          <w:color w:val="000000" w:themeColor="text1"/>
        </w:rPr>
        <w:t xml:space="preserve"> future events including known changes to legal requirements and known </w:t>
      </w:r>
      <w:r w:rsidR="007B25AA" w:rsidRPr="00D6259F">
        <w:rPr>
          <w:color w:val="000000" w:themeColor="text1"/>
        </w:rPr>
        <w:t>technological improvements</w:t>
      </w:r>
      <w:r w:rsidRPr="00D6259F">
        <w:rPr>
          <w:color w:val="000000" w:themeColor="text1"/>
        </w:rPr>
        <w:t xml:space="preserve">. </w:t>
      </w:r>
    </w:p>
    <w:p w14:paraId="12D93EE6" w14:textId="28A10BD8" w:rsidR="00D422B1" w:rsidRPr="00D6259F" w:rsidRDefault="00D422B1" w:rsidP="00C034D8">
      <w:pPr>
        <w:rPr>
          <w:color w:val="000000" w:themeColor="text1"/>
        </w:rPr>
      </w:pPr>
      <w:r w:rsidRPr="00D6259F">
        <w:rPr>
          <w:color w:val="000000" w:themeColor="text1"/>
        </w:rPr>
        <w:t>Amounts provided for landfill post-closure</w:t>
      </w:r>
      <w:r w:rsidR="00B11432" w:rsidRPr="00D6259F">
        <w:rPr>
          <w:color w:val="000000" w:themeColor="text1"/>
        </w:rPr>
        <w:t xml:space="preserve"> costs</w:t>
      </w:r>
      <w:r w:rsidRPr="00D6259F">
        <w:rPr>
          <w:color w:val="000000" w:themeColor="text1"/>
        </w:rPr>
        <w:t xml:space="preserve"> are capitalised to the landfill asset. The capitalised landfill asset is depreciated over the life of the landfill based on the capacity used.</w:t>
      </w:r>
    </w:p>
    <w:p w14:paraId="334ECB42" w14:textId="77777777" w:rsidR="00D422B1" w:rsidRPr="00D6259F" w:rsidRDefault="00D422B1" w:rsidP="00C034D8">
      <w:pPr>
        <w:pStyle w:val="Heading3"/>
      </w:pPr>
      <w:bookmarkStart w:id="159" w:name="_Toc121217149"/>
      <w:r w:rsidRPr="00D6259F">
        <w:t>Estimations</w:t>
      </w:r>
      <w:bookmarkEnd w:id="159"/>
    </w:p>
    <w:p w14:paraId="70D86FD0" w14:textId="4550306A" w:rsidR="00D422B1" w:rsidRPr="00D6259F" w:rsidRDefault="00D422B1" w:rsidP="00C034D8">
      <w:pPr>
        <w:rPr>
          <w:color w:val="000000" w:themeColor="text1"/>
        </w:rPr>
      </w:pPr>
      <w:r w:rsidRPr="00D6259F">
        <w:rPr>
          <w:color w:val="000000" w:themeColor="text1"/>
        </w:rPr>
        <w:t xml:space="preserve">The long-term nature of the liability means there are inherent uncertainties in estimating costs that will be incurred. The provision has been estimated using </w:t>
      </w:r>
      <w:r w:rsidR="007F2288" w:rsidRPr="00D6259F">
        <w:rPr>
          <w:color w:val="000000" w:themeColor="text1"/>
        </w:rPr>
        <w:t xml:space="preserve">known changes to legal requirements and known </w:t>
      </w:r>
      <w:r w:rsidR="007B25AA" w:rsidRPr="00D6259F">
        <w:rPr>
          <w:color w:val="000000" w:themeColor="text1"/>
        </w:rPr>
        <w:t xml:space="preserve">technological </w:t>
      </w:r>
      <w:r w:rsidR="007F2288" w:rsidRPr="00D6259F">
        <w:rPr>
          <w:color w:val="000000" w:themeColor="text1"/>
        </w:rPr>
        <w:t>improvements.</w:t>
      </w:r>
      <w:r w:rsidRPr="00D6259F">
        <w:rPr>
          <w:color w:val="000000" w:themeColor="text1"/>
        </w:rPr>
        <w:t xml:space="preserve"> Future cash flows are discounted using the Treasury risk free rate of</w:t>
      </w:r>
      <w:r w:rsidR="00320465" w:rsidRPr="00D6259F">
        <w:rPr>
          <w:color w:val="000000" w:themeColor="text1"/>
        </w:rPr>
        <w:t xml:space="preserve"> 5.2</w:t>
      </w:r>
      <w:r w:rsidR="00FA6D44" w:rsidRPr="00D6259F">
        <w:rPr>
          <w:color w:val="000000" w:themeColor="text1"/>
          <w:highlight w:val="yellow"/>
        </w:rPr>
        <w:t xml:space="preserve"> </w:t>
      </w:r>
      <w:r w:rsidR="00FA6D44" w:rsidRPr="00D6259F">
        <w:rPr>
          <w:color w:val="000000" w:themeColor="text1"/>
        </w:rPr>
        <w:t>percent</w:t>
      </w:r>
      <w:r w:rsidR="00AC6918" w:rsidRPr="00D6259F">
        <w:rPr>
          <w:color w:val="000000" w:themeColor="text1"/>
        </w:rPr>
        <w:t xml:space="preserve"> for open landfills and between</w:t>
      </w:r>
      <w:r w:rsidR="00320465" w:rsidRPr="00D6259F">
        <w:rPr>
          <w:color w:val="000000" w:themeColor="text1"/>
        </w:rPr>
        <w:t xml:space="preserve"> 4.</w:t>
      </w:r>
      <w:r w:rsidR="008A269A" w:rsidRPr="00D6259F">
        <w:rPr>
          <w:color w:val="000000" w:themeColor="text1"/>
        </w:rPr>
        <w:t>9</w:t>
      </w:r>
      <w:r w:rsidR="00320465" w:rsidRPr="00D6259F">
        <w:rPr>
          <w:color w:val="000000" w:themeColor="text1"/>
        </w:rPr>
        <w:t xml:space="preserve"> and 5.0 </w:t>
      </w:r>
      <w:r w:rsidR="00FA6D44" w:rsidRPr="00D6259F">
        <w:rPr>
          <w:color w:val="000000" w:themeColor="text1"/>
        </w:rPr>
        <w:t>percent</w:t>
      </w:r>
      <w:r w:rsidRPr="00D6259F">
        <w:rPr>
          <w:color w:val="000000" w:themeColor="text1"/>
        </w:rPr>
        <w:t xml:space="preserve"> </w:t>
      </w:r>
      <w:r w:rsidR="00932FAE" w:rsidRPr="00D6259F">
        <w:rPr>
          <w:color w:val="000000" w:themeColor="text1"/>
        </w:rPr>
        <w:t xml:space="preserve">for closed landfills </w:t>
      </w:r>
      <w:r w:rsidR="00AC6918" w:rsidRPr="00D6259F">
        <w:rPr>
          <w:color w:val="000000" w:themeColor="text1"/>
        </w:rPr>
        <w:t xml:space="preserve">depending on how long </w:t>
      </w:r>
      <w:r w:rsidRPr="00D6259F">
        <w:rPr>
          <w:color w:val="000000" w:themeColor="text1"/>
        </w:rPr>
        <w:t xml:space="preserve">landfills </w:t>
      </w:r>
      <w:r w:rsidR="00AC6918" w:rsidRPr="00D6259F">
        <w:rPr>
          <w:color w:val="000000" w:themeColor="text1"/>
        </w:rPr>
        <w:t>have been closed</w:t>
      </w:r>
      <w:r w:rsidRPr="00D6259F">
        <w:rPr>
          <w:color w:val="000000" w:themeColor="text1"/>
        </w:rPr>
        <w:t>. The gross provision (inflation adjusted at</w:t>
      </w:r>
      <w:r w:rsidR="00320465" w:rsidRPr="00D6259F">
        <w:rPr>
          <w:color w:val="000000" w:themeColor="text1"/>
        </w:rPr>
        <w:t xml:space="preserve"> 2.</w:t>
      </w:r>
      <w:r w:rsidR="008A269A" w:rsidRPr="00D6259F">
        <w:rPr>
          <w:color w:val="000000" w:themeColor="text1"/>
        </w:rPr>
        <w:t>1</w:t>
      </w:r>
      <w:r w:rsidR="00CC5A07" w:rsidRPr="00D6259F">
        <w:rPr>
          <w:color w:val="000000" w:themeColor="text1"/>
        </w:rPr>
        <w:t xml:space="preserve"> </w:t>
      </w:r>
      <w:r w:rsidR="00FA6D44" w:rsidRPr="00D6259F">
        <w:rPr>
          <w:color w:val="000000" w:themeColor="text1"/>
        </w:rPr>
        <w:t>percent</w:t>
      </w:r>
      <w:r w:rsidR="003951A1" w:rsidRPr="00D6259F">
        <w:rPr>
          <w:color w:val="000000" w:themeColor="text1"/>
        </w:rPr>
        <w:t xml:space="preserve"> </w:t>
      </w:r>
      <w:r w:rsidR="00AC6918" w:rsidRPr="00D6259F">
        <w:rPr>
          <w:color w:val="000000" w:themeColor="text1"/>
        </w:rPr>
        <w:t xml:space="preserve">for </w:t>
      </w:r>
      <w:r w:rsidR="00BB68EC" w:rsidRPr="00D6259F">
        <w:rPr>
          <w:color w:val="000000" w:themeColor="text1"/>
        </w:rPr>
        <w:t xml:space="preserve">both </w:t>
      </w:r>
      <w:r w:rsidR="00AC6918" w:rsidRPr="00D6259F">
        <w:rPr>
          <w:color w:val="000000" w:themeColor="text1"/>
        </w:rPr>
        <w:t xml:space="preserve">open </w:t>
      </w:r>
      <w:r w:rsidR="00BB68EC" w:rsidRPr="00D6259F">
        <w:rPr>
          <w:color w:val="000000" w:themeColor="text1"/>
        </w:rPr>
        <w:t xml:space="preserve">and closed </w:t>
      </w:r>
      <w:r w:rsidR="00AC6918" w:rsidRPr="00D6259F">
        <w:rPr>
          <w:color w:val="000000" w:themeColor="text1"/>
        </w:rPr>
        <w:t>landfills</w:t>
      </w:r>
      <w:r w:rsidR="00B11432" w:rsidRPr="00D6259F">
        <w:rPr>
          <w:color w:val="000000" w:themeColor="text1"/>
        </w:rPr>
        <w:t>)</w:t>
      </w:r>
      <w:r w:rsidR="00AC6918" w:rsidRPr="00D6259F">
        <w:rPr>
          <w:color w:val="000000" w:themeColor="text1"/>
        </w:rPr>
        <w:t>,</w:t>
      </w:r>
      <w:r w:rsidRPr="00D6259F">
        <w:rPr>
          <w:color w:val="000000" w:themeColor="text1"/>
        </w:rPr>
        <w:t xml:space="preserve"> before discounting, is $</w:t>
      </w:r>
      <w:r w:rsidR="00320465" w:rsidRPr="00D6259F">
        <w:rPr>
          <w:color w:val="000000" w:themeColor="text1"/>
        </w:rPr>
        <w:t>20.7m</w:t>
      </w:r>
      <w:r w:rsidR="007A5378" w:rsidRPr="00D6259F">
        <w:rPr>
          <w:color w:val="000000" w:themeColor="text1"/>
          <w:lang w:eastAsia="en-GB"/>
        </w:rPr>
        <w:t xml:space="preserve"> </w:t>
      </w:r>
      <w:r w:rsidR="007A5378" w:rsidRPr="00D6259F">
        <w:rPr>
          <w:color w:val="000000" w:themeColor="text1"/>
        </w:rPr>
        <w:t>(</w:t>
      </w:r>
      <w:r w:rsidRPr="00D6259F">
        <w:rPr>
          <w:color w:val="000000" w:themeColor="text1"/>
        </w:rPr>
        <w:t>20</w:t>
      </w:r>
      <w:r w:rsidR="00BE4A97" w:rsidRPr="00D6259F">
        <w:rPr>
          <w:color w:val="000000" w:themeColor="text1"/>
        </w:rPr>
        <w:t>2</w:t>
      </w:r>
      <w:r w:rsidR="007F61A1" w:rsidRPr="00D6259F">
        <w:rPr>
          <w:color w:val="000000" w:themeColor="text1"/>
        </w:rPr>
        <w:t>3</w:t>
      </w:r>
      <w:r w:rsidRPr="00D6259F">
        <w:rPr>
          <w:color w:val="000000" w:themeColor="text1"/>
        </w:rPr>
        <w:t>: $</w:t>
      </w:r>
      <w:r w:rsidR="007F61A1" w:rsidRPr="00D6259F">
        <w:rPr>
          <w:color w:val="000000" w:themeColor="text1"/>
        </w:rPr>
        <w:t>22.</w:t>
      </w:r>
      <w:r w:rsidR="00D803C9" w:rsidRPr="00D6259F">
        <w:rPr>
          <w:color w:val="000000" w:themeColor="text1"/>
        </w:rPr>
        <w:t>3</w:t>
      </w:r>
      <w:r w:rsidR="007F61A1" w:rsidRPr="00D6259F">
        <w:rPr>
          <w:color w:val="000000" w:themeColor="text1"/>
        </w:rPr>
        <w:t>m</w:t>
      </w:r>
      <w:r w:rsidRPr="00D6259F">
        <w:rPr>
          <w:color w:val="000000" w:themeColor="text1"/>
        </w:rPr>
        <w:t>). This represents the Council’s projection of the amount required to settle the obligation at the estimated time of the cash outflow.</w:t>
      </w:r>
    </w:p>
    <w:p w14:paraId="330D3029" w14:textId="77777777" w:rsidR="006C4499" w:rsidRPr="00D6259F" w:rsidRDefault="006C4499" w:rsidP="00C034D8">
      <w:pPr>
        <w:rPr>
          <w:color w:val="000000" w:themeColor="text1"/>
        </w:rPr>
      </w:pPr>
    </w:p>
    <w:p w14:paraId="3A467609" w14:textId="6F51E00C" w:rsidR="00D422B1" w:rsidRPr="00D6259F" w:rsidRDefault="00D422B1" w:rsidP="00C034D8">
      <w:pPr>
        <w:rPr>
          <w:color w:val="000000" w:themeColor="text1"/>
        </w:rPr>
      </w:pPr>
      <w:r w:rsidRPr="00D6259F">
        <w:rPr>
          <w:color w:val="000000" w:themeColor="text1"/>
        </w:rPr>
        <w:t>Stage 3 of the Southern Landfill has an estimated remaining capacity of</w:t>
      </w:r>
      <w:r w:rsidR="007F61A1" w:rsidRPr="00D6259F">
        <w:rPr>
          <w:color w:val="000000" w:themeColor="text1"/>
        </w:rPr>
        <w:t xml:space="preserve"> </w:t>
      </w:r>
      <w:r w:rsidR="00676852" w:rsidRPr="00D6259F">
        <w:rPr>
          <w:color w:val="000000" w:themeColor="text1"/>
          <w:lang w:eastAsia="en-GB"/>
        </w:rPr>
        <w:t>407,000m</w:t>
      </w:r>
      <w:r w:rsidR="00676852" w:rsidRPr="00D6259F">
        <w:rPr>
          <w:color w:val="000000" w:themeColor="text1"/>
          <w:vertAlign w:val="superscript"/>
          <w:lang w:eastAsia="en-GB"/>
        </w:rPr>
        <w:t>3</w:t>
      </w:r>
      <w:r w:rsidR="00676852" w:rsidRPr="00D6259F">
        <w:rPr>
          <w:color w:val="000000" w:themeColor="text1"/>
          <w:lang w:eastAsia="en-GB"/>
        </w:rPr>
        <w:t xml:space="preserve"> </w:t>
      </w:r>
      <w:r w:rsidR="007A5378" w:rsidRPr="00D6259F">
        <w:rPr>
          <w:color w:val="000000" w:themeColor="text1"/>
        </w:rPr>
        <w:t>(</w:t>
      </w:r>
      <w:r w:rsidRPr="00D6259F">
        <w:rPr>
          <w:color w:val="000000" w:themeColor="text1"/>
        </w:rPr>
        <w:t>20</w:t>
      </w:r>
      <w:r w:rsidR="00BE4A97" w:rsidRPr="00D6259F">
        <w:rPr>
          <w:color w:val="000000" w:themeColor="text1"/>
        </w:rPr>
        <w:t>2</w:t>
      </w:r>
      <w:r w:rsidR="007F61A1" w:rsidRPr="00D6259F">
        <w:rPr>
          <w:color w:val="000000" w:themeColor="text1"/>
        </w:rPr>
        <w:t>3</w:t>
      </w:r>
      <w:r w:rsidRPr="00D6259F">
        <w:rPr>
          <w:color w:val="000000" w:themeColor="text1"/>
        </w:rPr>
        <w:t xml:space="preserve">: </w:t>
      </w:r>
      <w:r w:rsidR="007F61A1" w:rsidRPr="00D6259F">
        <w:rPr>
          <w:color w:val="000000" w:themeColor="text1"/>
        </w:rPr>
        <w:t>240,000m</w:t>
      </w:r>
      <w:r w:rsidR="007F61A1" w:rsidRPr="00D6259F">
        <w:rPr>
          <w:color w:val="000000" w:themeColor="text1"/>
          <w:vertAlign w:val="superscript"/>
        </w:rPr>
        <w:t>3</w:t>
      </w:r>
      <w:r w:rsidRPr="00D6259F">
        <w:rPr>
          <w:color w:val="000000" w:themeColor="text1"/>
        </w:rPr>
        <w:t>) and is expected to close in 202</w:t>
      </w:r>
      <w:r w:rsidR="002256D0" w:rsidRPr="00D6259F">
        <w:rPr>
          <w:color w:val="000000" w:themeColor="text1"/>
        </w:rPr>
        <w:t>6</w:t>
      </w:r>
      <w:r w:rsidR="00E51E0F" w:rsidRPr="00D6259F">
        <w:rPr>
          <w:color w:val="000000" w:themeColor="text1"/>
        </w:rPr>
        <w:t xml:space="preserve"> when its resource consent expires</w:t>
      </w:r>
      <w:r w:rsidRPr="00D6259F">
        <w:rPr>
          <w:color w:val="000000" w:themeColor="text1"/>
        </w:rPr>
        <w:t xml:space="preserve">. </w:t>
      </w:r>
      <w:r w:rsidR="00676852" w:rsidRPr="00D6259F">
        <w:rPr>
          <w:color w:val="000000" w:themeColor="text1"/>
        </w:rPr>
        <w:t>The increased capacity results from</w:t>
      </w:r>
      <w:r w:rsidR="00714A63" w:rsidRPr="00D6259F">
        <w:rPr>
          <w:color w:val="000000" w:themeColor="text1"/>
        </w:rPr>
        <w:t xml:space="preserve"> a reassessment of the available space for waste. </w:t>
      </w:r>
      <w:r w:rsidR="001877CF" w:rsidRPr="00D6259F">
        <w:rPr>
          <w:color w:val="000000" w:themeColor="text1"/>
        </w:rPr>
        <w:t>These</w:t>
      </w:r>
      <w:r w:rsidRPr="00D6259F">
        <w:rPr>
          <w:color w:val="000000" w:themeColor="text1"/>
        </w:rPr>
        <w:t xml:space="preserve"> estimates have been made by the Council’s </w:t>
      </w:r>
      <w:r w:rsidR="004F64CD" w:rsidRPr="00D6259F">
        <w:rPr>
          <w:color w:val="000000" w:themeColor="text1"/>
        </w:rPr>
        <w:t xml:space="preserve">contracted </w:t>
      </w:r>
      <w:r w:rsidRPr="00D6259F">
        <w:rPr>
          <w:color w:val="000000" w:themeColor="text1"/>
        </w:rPr>
        <w:t>engineers based on expected future and historical volume information.</w:t>
      </w:r>
    </w:p>
    <w:p w14:paraId="3C2B160E" w14:textId="33783815" w:rsidR="00D422B1" w:rsidRPr="00D6259F" w:rsidRDefault="00D422B1" w:rsidP="00C034D8">
      <w:pPr>
        <w:rPr>
          <w:color w:val="000000" w:themeColor="text1"/>
        </w:rPr>
      </w:pPr>
      <w:r w:rsidRPr="00D6259F">
        <w:rPr>
          <w:color w:val="000000" w:themeColor="text1"/>
        </w:rPr>
        <w:t>The Spicer Valley Landfill has a remaining life out to 205</w:t>
      </w:r>
      <w:r w:rsidR="00CC5A07" w:rsidRPr="00D6259F">
        <w:rPr>
          <w:color w:val="000000" w:themeColor="text1"/>
        </w:rPr>
        <w:t>3</w:t>
      </w:r>
      <w:r w:rsidRPr="00D6259F">
        <w:rPr>
          <w:color w:val="000000" w:themeColor="text1"/>
        </w:rPr>
        <w:t xml:space="preserve">. </w:t>
      </w:r>
    </w:p>
    <w:p w14:paraId="5BF9E84F" w14:textId="27B96225" w:rsidR="00D422B1" w:rsidRPr="00D6259F" w:rsidRDefault="000F20D8" w:rsidP="00C034D8">
      <w:pPr>
        <w:rPr>
          <w:color w:val="000000" w:themeColor="text1"/>
        </w:rPr>
      </w:pPr>
      <w:r w:rsidRPr="00D6259F">
        <w:rPr>
          <w:noProof/>
          <w:color w:val="000000" w:themeColor="text1"/>
        </w:rPr>
        <w:object w:dxaOrig="9915" w:dyaOrig="3015" w14:anchorId="4EC7BFA6">
          <v:shape id="_x0000_i1089" type="#_x0000_t75" style="width:470pt;height:152pt" o:ole="">
            <v:imagedata r:id="rId140" o:title=""/>
          </v:shape>
          <o:OLEObject Type="Link" ProgID="Excel.Sheet.12" ShapeID="_x0000_i1089" DrawAspect="Content" r:id="rId141" UpdateMode="Always">
            <o:LinkType>EnhancedMetaFile</o:LinkType>
            <o:LockedField>false</o:LockedField>
          </o:OLEObject>
        </w:object>
      </w:r>
    </w:p>
    <w:p w14:paraId="1D51F4A5" w14:textId="341F2C47" w:rsidR="00D422B1" w:rsidRPr="00D6259F" w:rsidRDefault="00D422B1" w:rsidP="00C034D8">
      <w:pPr>
        <w:pStyle w:val="Heading3"/>
        <w:rPr>
          <w:rFonts w:ascii="Arial" w:eastAsiaTheme="majorEastAsia" w:hAnsi="Arial"/>
          <w:bCs w:val="0"/>
          <w:i/>
          <w:iCs/>
          <w:sz w:val="26"/>
          <w:szCs w:val="26"/>
          <w:lang w:eastAsia="en-GB"/>
        </w:rPr>
      </w:pPr>
      <w:bookmarkStart w:id="160" w:name="_Toc121217150"/>
      <w:r w:rsidRPr="00D6259F">
        <w:rPr>
          <w:rFonts w:ascii="Arial" w:eastAsiaTheme="majorEastAsia" w:hAnsi="Arial"/>
          <w:bCs w:val="0"/>
          <w:i/>
          <w:iCs/>
          <w:sz w:val="26"/>
          <w:szCs w:val="26"/>
          <w:lang w:eastAsia="en-GB"/>
        </w:rPr>
        <w:t>Background</w:t>
      </w:r>
      <w:r w:rsidR="00864749" w:rsidRPr="00D6259F">
        <w:rPr>
          <w:rFonts w:ascii="Arial" w:eastAsiaTheme="majorEastAsia" w:hAnsi="Arial"/>
          <w:bCs w:val="0"/>
          <w:i/>
          <w:iCs/>
          <w:sz w:val="26"/>
          <w:szCs w:val="26"/>
          <w:lang w:eastAsia="en-GB"/>
        </w:rPr>
        <w:t xml:space="preserve"> to </w:t>
      </w:r>
      <w:r w:rsidR="00BE4A97" w:rsidRPr="00D6259F">
        <w:rPr>
          <w:rFonts w:ascii="Arial" w:eastAsiaTheme="majorEastAsia" w:hAnsi="Arial"/>
          <w:bCs w:val="0"/>
          <w:i/>
          <w:iCs/>
          <w:sz w:val="26"/>
          <w:szCs w:val="26"/>
          <w:lang w:eastAsia="en-GB"/>
        </w:rPr>
        <w:t xml:space="preserve">the </w:t>
      </w:r>
      <w:r w:rsidR="00B545FE" w:rsidRPr="00D6259F">
        <w:rPr>
          <w:rFonts w:ascii="Arial" w:eastAsiaTheme="majorEastAsia" w:hAnsi="Arial"/>
          <w:bCs w:val="0"/>
          <w:i/>
          <w:iCs/>
          <w:sz w:val="26"/>
          <w:szCs w:val="26"/>
          <w:lang w:eastAsia="en-GB"/>
        </w:rPr>
        <w:t>W</w:t>
      </w:r>
      <w:r w:rsidR="00BE4A97" w:rsidRPr="00D6259F">
        <w:rPr>
          <w:rFonts w:ascii="Arial" w:eastAsiaTheme="majorEastAsia" w:hAnsi="Arial"/>
          <w:bCs w:val="0"/>
          <w:i/>
          <w:iCs/>
          <w:sz w:val="26"/>
          <w:szCs w:val="26"/>
          <w:lang w:eastAsia="en-GB"/>
        </w:rPr>
        <w:t>eathertight homes provision</w:t>
      </w:r>
      <w:bookmarkEnd w:id="160"/>
    </w:p>
    <w:p w14:paraId="6C231E87" w14:textId="77777777" w:rsidR="00D422B1" w:rsidRPr="00D6259F" w:rsidRDefault="00D422B1" w:rsidP="00C034D8">
      <w:pPr>
        <w:rPr>
          <w:color w:val="000000" w:themeColor="text1"/>
        </w:rPr>
      </w:pPr>
      <w:r w:rsidRPr="00D6259F">
        <w:rPr>
          <w:color w:val="000000" w:themeColor="text1"/>
        </w:rPr>
        <w:t xml:space="preserve">This provision represents the Council’s estimated liability relating to the settlement of claims arising in relation to the Weathertight Homes Resolution Services (WHRS) Act 2006 and civil proceedings for weathertightness. </w:t>
      </w:r>
    </w:p>
    <w:p w14:paraId="1A5710EA" w14:textId="59BDB830" w:rsidR="00D422B1" w:rsidRPr="00D6259F" w:rsidRDefault="00D422B1" w:rsidP="00C034D8">
      <w:pPr>
        <w:rPr>
          <w:color w:val="000000" w:themeColor="text1"/>
        </w:rPr>
      </w:pPr>
      <w:r w:rsidRPr="00D6259F">
        <w:rPr>
          <w:color w:val="000000" w:themeColor="text1"/>
        </w:rPr>
        <w:t>A provision has been recognised for the potential net settlement of all known claims, including those claims that are being actively managed by the Council as well as claims lodged with WHRS but not yet being actively managed. The provision also includes a</w:t>
      </w:r>
      <w:r w:rsidR="000B7D17" w:rsidRPr="00D6259F">
        <w:rPr>
          <w:color w:val="000000" w:themeColor="text1"/>
        </w:rPr>
        <w:t xml:space="preserve"> net</w:t>
      </w:r>
      <w:r w:rsidRPr="00D6259F">
        <w:rPr>
          <w:color w:val="000000" w:themeColor="text1"/>
        </w:rPr>
        <w:t xml:space="preserve"> amount of </w:t>
      </w:r>
      <w:r w:rsidR="00BE4A97" w:rsidRPr="00D6259F">
        <w:rPr>
          <w:color w:val="000000" w:themeColor="text1"/>
        </w:rPr>
        <w:t>$</w:t>
      </w:r>
      <w:r w:rsidR="00320465" w:rsidRPr="00D6259F">
        <w:rPr>
          <w:color w:val="000000" w:themeColor="text1"/>
        </w:rPr>
        <w:t>13.8m</w:t>
      </w:r>
      <w:r w:rsidR="007A5378" w:rsidRPr="00D6259F">
        <w:rPr>
          <w:color w:val="000000" w:themeColor="text1"/>
          <w:lang w:eastAsia="en-GB"/>
        </w:rPr>
        <w:t xml:space="preserve"> </w:t>
      </w:r>
      <w:r w:rsidR="007A5378" w:rsidRPr="00D6259F">
        <w:rPr>
          <w:color w:val="000000" w:themeColor="text1"/>
        </w:rPr>
        <w:t>(</w:t>
      </w:r>
      <w:r w:rsidRPr="00D6259F">
        <w:rPr>
          <w:color w:val="000000" w:themeColor="text1"/>
        </w:rPr>
        <w:t>20</w:t>
      </w:r>
      <w:r w:rsidR="00BE4A97" w:rsidRPr="00D6259F">
        <w:rPr>
          <w:color w:val="000000" w:themeColor="text1"/>
        </w:rPr>
        <w:t>2</w:t>
      </w:r>
      <w:r w:rsidR="00FF287B" w:rsidRPr="00D6259F">
        <w:rPr>
          <w:color w:val="000000" w:themeColor="text1"/>
        </w:rPr>
        <w:t>3</w:t>
      </w:r>
      <w:r w:rsidRPr="00D6259F">
        <w:rPr>
          <w:color w:val="000000" w:themeColor="text1"/>
        </w:rPr>
        <w:t>: $</w:t>
      </w:r>
      <w:r w:rsidR="00FF287B" w:rsidRPr="00D6259F">
        <w:rPr>
          <w:color w:val="000000" w:themeColor="text1"/>
        </w:rPr>
        <w:t>13.</w:t>
      </w:r>
      <w:r w:rsidR="000A0761" w:rsidRPr="00D6259F">
        <w:rPr>
          <w:color w:val="000000" w:themeColor="text1"/>
        </w:rPr>
        <w:t>0</w:t>
      </w:r>
      <w:r w:rsidR="00FF287B" w:rsidRPr="00D6259F">
        <w:rPr>
          <w:color w:val="000000" w:themeColor="text1"/>
        </w:rPr>
        <w:t>m</w:t>
      </w:r>
      <w:r w:rsidRPr="00D6259F">
        <w:rPr>
          <w:color w:val="000000" w:themeColor="text1"/>
        </w:rPr>
        <w:t xml:space="preserve">) as a provision for </w:t>
      </w:r>
      <w:r w:rsidR="00CA0458" w:rsidRPr="00D6259F">
        <w:rPr>
          <w:color w:val="000000" w:themeColor="text1"/>
        </w:rPr>
        <w:t>unreported claims relating to weathertight</w:t>
      </w:r>
      <w:r w:rsidR="00D4087D" w:rsidRPr="00D6259F">
        <w:rPr>
          <w:color w:val="000000" w:themeColor="text1"/>
        </w:rPr>
        <w:t>ness</w:t>
      </w:r>
      <w:r w:rsidR="00CA0458" w:rsidRPr="00D6259F">
        <w:rPr>
          <w:color w:val="000000" w:themeColor="text1"/>
        </w:rPr>
        <w:t xml:space="preserve"> issues</w:t>
      </w:r>
      <w:r w:rsidR="006C7F71" w:rsidRPr="00D6259F">
        <w:rPr>
          <w:color w:val="000000" w:themeColor="text1"/>
        </w:rPr>
        <w:t>, which have not yet been notified to the Council.</w:t>
      </w:r>
      <w:r w:rsidRPr="00D6259F">
        <w:rPr>
          <w:color w:val="000000" w:themeColor="text1"/>
        </w:rPr>
        <w:t xml:space="preserve"> </w:t>
      </w:r>
    </w:p>
    <w:p w14:paraId="19309BD4" w14:textId="77777777" w:rsidR="00D422B1" w:rsidRPr="00D6259F" w:rsidRDefault="00D422B1" w:rsidP="00C034D8">
      <w:pPr>
        <w:pStyle w:val="Heading3"/>
      </w:pPr>
      <w:bookmarkStart w:id="161" w:name="_Toc121217151"/>
      <w:r w:rsidRPr="00D6259F">
        <w:t>Movement in the provision</w:t>
      </w:r>
      <w:bookmarkEnd w:id="161"/>
    </w:p>
    <w:p w14:paraId="78D6DE0B" w14:textId="44E7329C" w:rsidR="00D422B1" w:rsidRPr="00D6259F" w:rsidRDefault="00D422B1" w:rsidP="00C034D8">
      <w:pPr>
        <w:rPr>
          <w:color w:val="000000" w:themeColor="text1"/>
        </w:rPr>
      </w:pPr>
      <w:r w:rsidRPr="00D6259F">
        <w:rPr>
          <w:color w:val="000000" w:themeColor="text1"/>
        </w:rPr>
        <w:t>During the year $</w:t>
      </w:r>
      <w:r w:rsidR="00320465" w:rsidRPr="00D6259F">
        <w:rPr>
          <w:color w:val="000000" w:themeColor="text1"/>
        </w:rPr>
        <w:t>0.9m</w:t>
      </w:r>
      <w:r w:rsidR="007A5378" w:rsidRPr="00D6259F">
        <w:rPr>
          <w:color w:val="000000" w:themeColor="text1"/>
          <w:lang w:eastAsia="en-GB"/>
        </w:rPr>
        <w:t xml:space="preserve"> </w:t>
      </w:r>
      <w:r w:rsidR="007A5378" w:rsidRPr="00D6259F">
        <w:rPr>
          <w:color w:val="000000" w:themeColor="text1"/>
        </w:rPr>
        <w:t>(</w:t>
      </w:r>
      <w:r w:rsidR="000B7D17" w:rsidRPr="00D6259F">
        <w:rPr>
          <w:color w:val="000000" w:themeColor="text1"/>
        </w:rPr>
        <w:t>202</w:t>
      </w:r>
      <w:r w:rsidR="00FF287B" w:rsidRPr="00D6259F">
        <w:rPr>
          <w:color w:val="000000" w:themeColor="text1"/>
        </w:rPr>
        <w:t>3</w:t>
      </w:r>
      <w:r w:rsidR="000B7D17" w:rsidRPr="00D6259F">
        <w:rPr>
          <w:color w:val="000000" w:themeColor="text1"/>
        </w:rPr>
        <w:t>: $</w:t>
      </w:r>
      <w:r w:rsidR="00FF287B" w:rsidRPr="00D6259F">
        <w:rPr>
          <w:color w:val="000000" w:themeColor="text1"/>
        </w:rPr>
        <w:t>1.8m</w:t>
      </w:r>
      <w:r w:rsidR="000B7D17" w:rsidRPr="00D6259F">
        <w:rPr>
          <w:color w:val="000000" w:themeColor="text1"/>
        </w:rPr>
        <w:t>)</w:t>
      </w:r>
      <w:r w:rsidRPr="00D6259F">
        <w:rPr>
          <w:color w:val="000000" w:themeColor="text1"/>
        </w:rPr>
        <w:t xml:space="preserve"> was paid as either part or full settlement of claims. $</w:t>
      </w:r>
      <w:r w:rsidR="00320465" w:rsidRPr="00D6259F">
        <w:rPr>
          <w:color w:val="000000" w:themeColor="text1"/>
        </w:rPr>
        <w:t xml:space="preserve">1.7m </w:t>
      </w:r>
      <w:r w:rsidR="007A5378" w:rsidRPr="00D6259F">
        <w:rPr>
          <w:color w:val="000000" w:themeColor="text1"/>
        </w:rPr>
        <w:t>was</w:t>
      </w:r>
      <w:r w:rsidR="00320465" w:rsidRPr="00D6259F">
        <w:rPr>
          <w:color w:val="000000" w:themeColor="text1"/>
        </w:rPr>
        <w:t xml:space="preserve"> released from the </w:t>
      </w:r>
      <w:r w:rsidR="00D64624" w:rsidRPr="00D6259F">
        <w:rPr>
          <w:color w:val="000000" w:themeColor="text1"/>
        </w:rPr>
        <w:t xml:space="preserve">provision </w:t>
      </w:r>
      <w:r w:rsidR="002079E5" w:rsidRPr="00D6259F">
        <w:rPr>
          <w:color w:val="000000" w:themeColor="text1"/>
        </w:rPr>
        <w:t>(202</w:t>
      </w:r>
      <w:r w:rsidR="00FF287B" w:rsidRPr="00D6259F">
        <w:rPr>
          <w:color w:val="000000" w:themeColor="text1"/>
        </w:rPr>
        <w:t>3</w:t>
      </w:r>
      <w:r w:rsidR="002079E5" w:rsidRPr="00D6259F">
        <w:rPr>
          <w:color w:val="000000" w:themeColor="text1"/>
        </w:rPr>
        <w:t>: $</w:t>
      </w:r>
      <w:r w:rsidR="00FF287B" w:rsidRPr="00D6259F">
        <w:rPr>
          <w:color w:val="000000" w:themeColor="text1"/>
        </w:rPr>
        <w:t>1.2m</w:t>
      </w:r>
      <w:r w:rsidR="00320465" w:rsidRPr="00D6259F">
        <w:rPr>
          <w:color w:val="000000" w:themeColor="text1"/>
        </w:rPr>
        <w:t xml:space="preserve"> added to the provision</w:t>
      </w:r>
      <w:r w:rsidR="00D64624" w:rsidRPr="00D6259F">
        <w:rPr>
          <w:color w:val="000000" w:themeColor="text1"/>
        </w:rPr>
        <w:t>)</w:t>
      </w:r>
      <w:r w:rsidRPr="00D6259F">
        <w:rPr>
          <w:color w:val="000000" w:themeColor="text1"/>
        </w:rPr>
        <w:t xml:space="preserve"> after an actuarial re-assessment of the likely future costs to be incurred as explained below. The current/non-current split </w:t>
      </w:r>
      <w:r w:rsidR="007F2288" w:rsidRPr="00D6259F">
        <w:rPr>
          <w:color w:val="000000" w:themeColor="text1"/>
        </w:rPr>
        <w:t xml:space="preserve">in </w:t>
      </w:r>
      <w:r w:rsidR="007F2288" w:rsidRPr="00D6259F">
        <w:rPr>
          <w:i/>
          <w:iCs/>
          <w:color w:val="000000" w:themeColor="text1"/>
        </w:rPr>
        <w:t xml:space="preserve">Table </w:t>
      </w:r>
      <w:r w:rsidR="00B96F44" w:rsidRPr="00D6259F">
        <w:rPr>
          <w:i/>
          <w:iCs/>
          <w:color w:val="000000" w:themeColor="text1"/>
        </w:rPr>
        <w:t>54</w:t>
      </w:r>
      <w:r w:rsidR="007F2288" w:rsidRPr="00D6259F">
        <w:rPr>
          <w:color w:val="000000" w:themeColor="text1"/>
        </w:rPr>
        <w:t xml:space="preserve"> </w:t>
      </w:r>
      <w:r w:rsidRPr="00D6259F">
        <w:rPr>
          <w:color w:val="000000" w:themeColor="text1"/>
        </w:rPr>
        <w:t>reflects the expected timing of payments but is reassessed each year to take account of delays in claim negotiations and any mediation outcomes.</w:t>
      </w:r>
    </w:p>
    <w:p w14:paraId="66113784" w14:textId="32E7C55A" w:rsidR="00D422B1" w:rsidRPr="00D6259F" w:rsidRDefault="00D422B1" w:rsidP="00C034D8">
      <w:pPr>
        <w:pStyle w:val="Heading3"/>
      </w:pPr>
      <w:bookmarkStart w:id="162" w:name="_Toc121217152"/>
      <w:r w:rsidRPr="00D6259F">
        <w:t>Estimation</w:t>
      </w:r>
      <w:bookmarkEnd w:id="162"/>
      <w:r w:rsidR="00A61D35" w:rsidRPr="00D6259F">
        <w:t>s</w:t>
      </w:r>
    </w:p>
    <w:p w14:paraId="3D8BB5F8" w14:textId="77777777" w:rsidR="00D422B1" w:rsidRPr="00D6259F" w:rsidRDefault="00D422B1" w:rsidP="00C034D8">
      <w:pPr>
        <w:rPr>
          <w:color w:val="000000" w:themeColor="text1"/>
        </w:rPr>
      </w:pPr>
      <w:r w:rsidRPr="00D6259F">
        <w:rPr>
          <w:color w:val="000000" w:themeColor="text1"/>
        </w:rPr>
        <w:t xml:space="preserve">The Council has provided for the expected future costs of reported claims. The provision for active claims is based on the best estimate of the Council’s expected future costs to settle these claims and is reviewed on a </w:t>
      </w:r>
      <w:r w:rsidR="00904554" w:rsidRPr="00D6259F">
        <w:rPr>
          <w:color w:val="000000" w:themeColor="text1"/>
        </w:rPr>
        <w:t>case-by-case</w:t>
      </w:r>
      <w:r w:rsidRPr="00D6259F">
        <w:rPr>
          <w:color w:val="000000" w:themeColor="text1"/>
        </w:rPr>
        <w:t xml:space="preserve"> basis. The estimate for claims which have been notified and are not yet actively managed and unreported claims is based on actuarial assessments and other information on these claims. The nature of the liability means there are significant inherent uncertainties in estimating the likely costs that will be incurred in the future. This represents the Council’s best estimate of the amount required to settle the obligation at the estimated time of the cash outflow. Future cash flows are inflation adjusted and discounted using the Treasury’s risk-free rate. The provision is net of any third-party contributions including insurance, where applicable. </w:t>
      </w:r>
    </w:p>
    <w:p w14:paraId="33D0BDF7" w14:textId="3FAD1D12" w:rsidR="00D422B1" w:rsidRPr="00D6259F" w:rsidRDefault="00D422B1" w:rsidP="00C034D8">
      <w:pPr>
        <w:rPr>
          <w:color w:val="000000" w:themeColor="text1"/>
        </w:rPr>
      </w:pPr>
      <w:r w:rsidRPr="00D6259F">
        <w:rPr>
          <w:color w:val="000000" w:themeColor="text1"/>
        </w:rPr>
        <w:t>The provision is based on best estimates and actuarial assessments and therefore actual costs incurred may vary significantly from those included in this provision, especially for future claims relating to weathertightness issues not yet identified or not yet reported.</w:t>
      </w:r>
      <w:r w:rsidR="006C7F71" w:rsidRPr="00D6259F">
        <w:rPr>
          <w:color w:val="000000" w:themeColor="text1"/>
        </w:rPr>
        <w:t xml:space="preserve"> </w:t>
      </w:r>
    </w:p>
    <w:p w14:paraId="6F411F44" w14:textId="512D5721" w:rsidR="006C7F71" w:rsidRPr="00D6259F" w:rsidRDefault="006C7F71" w:rsidP="00C034D8">
      <w:pPr>
        <w:rPr>
          <w:color w:val="000000" w:themeColor="text1"/>
        </w:rPr>
      </w:pPr>
      <w:r w:rsidRPr="00D6259F">
        <w:rPr>
          <w:color w:val="000000" w:themeColor="text1"/>
        </w:rPr>
        <w:t xml:space="preserve">The weathertight homes provision was assessed as </w:t>
      </w:r>
      <w:proofErr w:type="gramStart"/>
      <w:r w:rsidRPr="00D6259F">
        <w:rPr>
          <w:color w:val="000000" w:themeColor="text1"/>
        </w:rPr>
        <w:t>at</w:t>
      </w:r>
      <w:proofErr w:type="gramEnd"/>
      <w:r w:rsidRPr="00D6259F">
        <w:rPr>
          <w:color w:val="000000" w:themeColor="text1"/>
        </w:rPr>
        <w:t xml:space="preserve"> 30 June 202</w:t>
      </w:r>
      <w:r w:rsidR="00FF287B" w:rsidRPr="00D6259F">
        <w:rPr>
          <w:color w:val="000000" w:themeColor="text1"/>
        </w:rPr>
        <w:t>4</w:t>
      </w:r>
      <w:r w:rsidRPr="00D6259F">
        <w:rPr>
          <w:color w:val="000000" w:themeColor="text1"/>
        </w:rPr>
        <w:t xml:space="preserve"> by an independent actuary, Craig Lough, (Fellow of the NZ Society of Actuaries) for Melville Jessup Weaver.</w:t>
      </w:r>
    </w:p>
    <w:p w14:paraId="6A148285" w14:textId="77777777" w:rsidR="00D422B1" w:rsidRPr="00D6259F" w:rsidRDefault="00D422B1" w:rsidP="00C034D8">
      <w:pPr>
        <w:rPr>
          <w:color w:val="000000" w:themeColor="text1"/>
        </w:rPr>
      </w:pPr>
      <w:r w:rsidRPr="00D6259F">
        <w:rPr>
          <w:color w:val="000000" w:themeColor="text1"/>
        </w:rPr>
        <w:t>The significant assumptions used in the calculation of the weathertight homes provision are as follows:</w:t>
      </w:r>
    </w:p>
    <w:p w14:paraId="2FE027B2" w14:textId="77777777" w:rsidR="00D422B1" w:rsidRPr="00D6259F" w:rsidRDefault="00D422B1" w:rsidP="00C034D8">
      <w:pPr>
        <w:pStyle w:val="Heading4"/>
      </w:pPr>
      <w:r w:rsidRPr="00D6259F">
        <w:lastRenderedPageBreak/>
        <w:t xml:space="preserve">Amount </w:t>
      </w:r>
      <w:proofErr w:type="gramStart"/>
      <w:r w:rsidRPr="00D6259F">
        <w:t>claimed</w:t>
      </w:r>
      <w:proofErr w:type="gramEnd"/>
    </w:p>
    <w:p w14:paraId="455FA969" w14:textId="77777777" w:rsidR="00D422B1" w:rsidRPr="00D6259F" w:rsidRDefault="00D422B1" w:rsidP="00C034D8">
      <w:pPr>
        <w:rPr>
          <w:color w:val="000000" w:themeColor="text1"/>
        </w:rPr>
      </w:pPr>
      <w:r w:rsidRPr="00D6259F">
        <w:rPr>
          <w:color w:val="000000" w:themeColor="text1"/>
        </w:rPr>
        <w:t>Represents the expected amount claimed by the homeowner and is based on the actual amounts for claims already settled.</w:t>
      </w:r>
    </w:p>
    <w:p w14:paraId="01F30182" w14:textId="77777777" w:rsidR="00D422B1" w:rsidRPr="00D6259F" w:rsidRDefault="00D422B1" w:rsidP="00C034D8">
      <w:pPr>
        <w:pStyle w:val="Heading4"/>
      </w:pPr>
      <w:r w:rsidRPr="00D6259F">
        <w:t>Settlement amount</w:t>
      </w:r>
    </w:p>
    <w:p w14:paraId="628D7BF7" w14:textId="77777777" w:rsidR="00D422B1" w:rsidRPr="00D6259F" w:rsidRDefault="00D422B1" w:rsidP="00C034D8">
      <w:pPr>
        <w:rPr>
          <w:color w:val="000000" w:themeColor="text1"/>
        </w:rPr>
      </w:pPr>
      <w:r w:rsidRPr="00D6259F">
        <w:rPr>
          <w:color w:val="000000" w:themeColor="text1"/>
        </w:rPr>
        <w:t>Represents the expected amount of awarded settlement and is based on the actual amounts for claims already settled.</w:t>
      </w:r>
    </w:p>
    <w:p w14:paraId="68D9A539" w14:textId="7667A7B8" w:rsidR="00D422B1" w:rsidRPr="00D6259F" w:rsidRDefault="007B40A7" w:rsidP="00C034D8">
      <w:pPr>
        <w:pStyle w:val="Heading4"/>
      </w:pPr>
      <w:r w:rsidRPr="00D6259F">
        <w:t>Council contribution to settlement</w:t>
      </w:r>
    </w:p>
    <w:p w14:paraId="00A45B2B" w14:textId="5884FF71" w:rsidR="00D422B1" w:rsidRPr="00D6259F" w:rsidRDefault="00D422B1" w:rsidP="00C034D8">
      <w:pPr>
        <w:rPr>
          <w:color w:val="000000" w:themeColor="text1"/>
        </w:rPr>
      </w:pPr>
      <w:r w:rsidRPr="00D6259F">
        <w:rPr>
          <w:color w:val="000000" w:themeColor="text1"/>
        </w:rPr>
        <w:t>Represents the amount expected to be paid by the Council out of any awarded settlement amount and is based on the actual amounts for claims already settled. This figure has been increasing over the last few years as it is becoming more common for the other parties involved in a claim to be either in liquidation</w:t>
      </w:r>
      <w:r w:rsidR="00183330" w:rsidRPr="00D6259F">
        <w:rPr>
          <w:color w:val="000000" w:themeColor="text1"/>
        </w:rPr>
        <w:t>,</w:t>
      </w:r>
      <w:r w:rsidRPr="00D6259F">
        <w:rPr>
          <w:color w:val="000000" w:themeColor="text1"/>
        </w:rPr>
        <w:t xml:space="preserve"> bankrupt or have limited funds and be unable to contribute to settlement. </w:t>
      </w:r>
    </w:p>
    <w:p w14:paraId="3C4A43D5" w14:textId="77777777" w:rsidR="00D422B1" w:rsidRPr="00D6259F" w:rsidRDefault="00D422B1" w:rsidP="00C034D8">
      <w:pPr>
        <w:pStyle w:val="Heading4"/>
      </w:pPr>
      <w:r w:rsidRPr="00D6259F">
        <w:t xml:space="preserve">Percentage of homeowners who will make a successful </w:t>
      </w:r>
      <w:proofErr w:type="gramStart"/>
      <w:r w:rsidRPr="00D6259F">
        <w:t>claim</w:t>
      </w:r>
      <w:proofErr w:type="gramEnd"/>
    </w:p>
    <w:p w14:paraId="0819199A" w14:textId="019A422C" w:rsidR="00D422B1" w:rsidRPr="00D6259F" w:rsidRDefault="00D422B1" w:rsidP="00C034D8">
      <w:pPr>
        <w:rPr>
          <w:color w:val="000000" w:themeColor="text1"/>
        </w:rPr>
      </w:pPr>
      <w:r w:rsidRPr="00D6259F">
        <w:rPr>
          <w:color w:val="000000" w:themeColor="text1"/>
        </w:rPr>
        <w:t xml:space="preserve">Historical data collected on the number of claims lodged has enabled assumptions to be made on the percentage of homes built in the last 10 years which may experience weathertightness </w:t>
      </w:r>
      <w:r w:rsidR="00183330" w:rsidRPr="00D6259F">
        <w:rPr>
          <w:color w:val="000000" w:themeColor="text1"/>
        </w:rPr>
        <w:t>issues</w:t>
      </w:r>
      <w:r w:rsidRPr="00D6259F">
        <w:rPr>
          <w:color w:val="000000" w:themeColor="text1"/>
        </w:rPr>
        <w:t xml:space="preserve"> and therefore the percentage of homeowner</w:t>
      </w:r>
      <w:r w:rsidR="007B40A7" w:rsidRPr="00D6259F">
        <w:rPr>
          <w:color w:val="000000" w:themeColor="text1"/>
        </w:rPr>
        <w:t>s</w:t>
      </w:r>
      <w:r w:rsidRPr="00D6259F">
        <w:rPr>
          <w:color w:val="000000" w:themeColor="text1"/>
        </w:rPr>
        <w:t xml:space="preserve"> who may make a successful claim.</w:t>
      </w:r>
    </w:p>
    <w:p w14:paraId="7384DADE" w14:textId="3C5E4F57" w:rsidR="00D422B1" w:rsidRPr="00D6259F" w:rsidRDefault="00D422B1" w:rsidP="00C034D8">
      <w:pPr>
        <w:pStyle w:val="Heading3"/>
        <w:rPr>
          <w:rFonts w:asciiTheme="majorHAnsi" w:eastAsia="MS Gothic" w:hAnsiTheme="majorHAnsi"/>
          <w:sz w:val="24"/>
          <w:szCs w:val="26"/>
        </w:rPr>
      </w:pPr>
      <w:bookmarkStart w:id="163" w:name="_Toc121217153"/>
      <w:r w:rsidRPr="00D6259F">
        <w:t>Sensitivity</w:t>
      </w:r>
      <w:bookmarkEnd w:id="163"/>
    </w:p>
    <w:p w14:paraId="4ACD5D86" w14:textId="6095C880" w:rsidR="00D422B1" w:rsidRPr="00D6259F" w:rsidRDefault="0088157A" w:rsidP="00C034D8">
      <w:pPr>
        <w:rPr>
          <w:color w:val="000000" w:themeColor="text1"/>
        </w:rPr>
      </w:pPr>
      <w:r w:rsidRPr="00D6259F">
        <w:rPr>
          <w:i/>
          <w:color w:val="000000" w:themeColor="text1"/>
        </w:rPr>
        <w:t xml:space="preserve">Table </w:t>
      </w:r>
      <w:r w:rsidR="00B96F44" w:rsidRPr="00D6259F">
        <w:rPr>
          <w:i/>
          <w:color w:val="000000" w:themeColor="text1"/>
        </w:rPr>
        <w:t>57</w:t>
      </w:r>
      <w:r w:rsidR="00D422B1" w:rsidRPr="00D6259F">
        <w:rPr>
          <w:color w:val="000000" w:themeColor="text1"/>
        </w:rPr>
        <w:t xml:space="preserve"> illustrates the potential impact on</w:t>
      </w:r>
      <w:r w:rsidR="00EC6D66" w:rsidRPr="00D6259F">
        <w:rPr>
          <w:color w:val="000000" w:themeColor="text1"/>
        </w:rPr>
        <w:t xml:space="preserve"> the </w:t>
      </w:r>
      <w:r w:rsidR="00D422B1" w:rsidRPr="00D6259F">
        <w:rPr>
          <w:color w:val="000000" w:themeColor="text1"/>
        </w:rPr>
        <w:t>surplus or deficit of changes in some of the assumptions listed above.</w:t>
      </w:r>
    </w:p>
    <w:p w14:paraId="4389C6A8" w14:textId="110BAC3F" w:rsidR="00D422B1" w:rsidRPr="00D6259F" w:rsidRDefault="000F20D8" w:rsidP="00C034D8">
      <w:pPr>
        <w:rPr>
          <w:noProof/>
          <w:color w:val="000000" w:themeColor="text1"/>
        </w:rPr>
      </w:pPr>
      <w:r w:rsidRPr="00D6259F">
        <w:rPr>
          <w:noProof/>
          <w:color w:val="000000" w:themeColor="text1"/>
        </w:rPr>
        <w:object w:dxaOrig="11115" w:dyaOrig="4800" w14:anchorId="0B9BC97A">
          <v:shape id="_x0000_i1090" type="#_x0000_t75" style="width:494pt;height:239pt" o:ole="">
            <v:imagedata r:id="rId142" o:title=""/>
          </v:shape>
          <o:OLEObject Type="Link" ProgID="Excel.Sheet.12" ShapeID="_x0000_i1090" DrawAspect="Content" r:id="rId143" UpdateMode="Always">
            <o:LinkType>EnhancedMetaFile</o:LinkType>
            <o:LockedField>false</o:LockedField>
          </o:OLEObject>
        </w:object>
      </w:r>
    </w:p>
    <w:p w14:paraId="58A93321" w14:textId="77777777" w:rsidR="006C4499" w:rsidRPr="00D6259F" w:rsidRDefault="006C4499" w:rsidP="00C034D8">
      <w:pPr>
        <w:rPr>
          <w:color w:val="000000" w:themeColor="text1"/>
        </w:rPr>
      </w:pPr>
    </w:p>
    <w:p w14:paraId="1796E0DE" w14:textId="7684185A" w:rsidR="00D422B1" w:rsidRPr="00D6259F" w:rsidRDefault="00D422B1" w:rsidP="00C034D8">
      <w:pPr>
        <w:pStyle w:val="Heading3"/>
      </w:pPr>
      <w:bookmarkStart w:id="164" w:name="_Toc121217154"/>
      <w:r w:rsidRPr="00D6259F">
        <w:t>Funding of weathertight homes settlements</w:t>
      </w:r>
      <w:bookmarkEnd w:id="164"/>
    </w:p>
    <w:p w14:paraId="123D6337" w14:textId="00CA71B0" w:rsidR="00D422B1" w:rsidRPr="00D6259F" w:rsidRDefault="00845225" w:rsidP="00C034D8">
      <w:pPr>
        <w:rPr>
          <w:color w:val="000000" w:themeColor="text1"/>
          <w:sz w:val="20"/>
          <w:szCs w:val="20"/>
          <w:lang w:eastAsia="en-GB"/>
        </w:rPr>
      </w:pPr>
      <w:r w:rsidRPr="00D6259F">
        <w:rPr>
          <w:color w:val="000000" w:themeColor="text1"/>
        </w:rPr>
        <w:t xml:space="preserve">The </w:t>
      </w:r>
      <w:r w:rsidR="00D422B1" w:rsidRPr="00D6259F">
        <w:rPr>
          <w:color w:val="000000" w:themeColor="text1"/>
        </w:rPr>
        <w:t>Council uses borrowings in the first instance to meet the cost of settlements with the associated borrowings subsequently being repaid through rates funding. To ensure that the funding of weathertight homes is fully transparent the associated settlement costs, borrowings and rates funding is reported annually</w:t>
      </w:r>
      <w:r w:rsidR="00D422B1" w:rsidRPr="00D6259F">
        <w:rPr>
          <w:color w:val="000000" w:themeColor="text1"/>
          <w:sz w:val="20"/>
          <w:szCs w:val="20"/>
          <w:lang w:eastAsia="en-GB"/>
        </w:rPr>
        <w:t>.</w:t>
      </w:r>
    </w:p>
    <w:p w14:paraId="58140228" w14:textId="739C95FC" w:rsidR="00D422B1" w:rsidRPr="00D6259F" w:rsidRDefault="000F20D8" w:rsidP="00C034D8">
      <w:pPr>
        <w:rPr>
          <w:noProof/>
          <w:color w:val="000000" w:themeColor="text1"/>
        </w:rPr>
      </w:pPr>
      <w:r w:rsidRPr="00D6259F">
        <w:rPr>
          <w:b/>
          <w:bCs/>
          <w:noProof/>
          <w:color w:val="000000" w:themeColor="text1"/>
          <w:lang w:val="en-US"/>
        </w:rPr>
        <w:object w:dxaOrig="9915" w:dyaOrig="3015" w14:anchorId="63723397">
          <v:shape id="_x0000_i1091" type="#_x0000_t75" style="width:497pt;height:152pt" o:ole="">
            <v:imagedata r:id="rId144" o:title=""/>
          </v:shape>
          <o:OLEObject Type="Link" ProgID="Excel.Sheet.12" ShapeID="_x0000_i1091" DrawAspect="Content" r:id="rId145" UpdateMode="Always">
            <o:LinkType>EnhancedMetaFile</o:LinkType>
            <o:LockedField>false</o:LockedField>
          </o:OLEObject>
        </w:object>
      </w:r>
    </w:p>
    <w:p w14:paraId="12A395D2" w14:textId="77777777" w:rsidR="00D422B1" w:rsidRPr="00D6259F" w:rsidRDefault="00D422B1" w:rsidP="00C034D8">
      <w:pPr>
        <w:pStyle w:val="Heading2"/>
      </w:pPr>
      <w:bookmarkStart w:id="165" w:name="_Toc55482670"/>
      <w:bookmarkStart w:id="166" w:name="_Toc179890313"/>
      <w:r w:rsidRPr="00D6259F">
        <w:t>Note 2</w:t>
      </w:r>
      <w:r w:rsidR="00273688" w:rsidRPr="00D6259F">
        <w:t>7</w:t>
      </w:r>
      <w:r w:rsidRPr="00D6259F">
        <w:t xml:space="preserve">: Deferred </w:t>
      </w:r>
      <w:proofErr w:type="gramStart"/>
      <w:r w:rsidRPr="00D6259F">
        <w:t>tax</w:t>
      </w:r>
      <w:bookmarkEnd w:id="165"/>
      <w:bookmarkEnd w:id="166"/>
      <w:proofErr w:type="gramEnd"/>
      <w:r w:rsidRPr="00D6259F">
        <w:t xml:space="preserve"> </w:t>
      </w:r>
    </w:p>
    <w:p w14:paraId="28B7523C" w14:textId="77777777" w:rsidR="00D422B1" w:rsidRPr="00D6259F" w:rsidRDefault="00D422B1" w:rsidP="00C034D8">
      <w:pPr>
        <w:pStyle w:val="Heading3"/>
      </w:pPr>
      <w:bookmarkStart w:id="167" w:name="_Toc121217156"/>
      <w:r w:rsidRPr="00D6259F">
        <w:t xml:space="preserve">Recognised temporary differences and tax </w:t>
      </w:r>
      <w:proofErr w:type="gramStart"/>
      <w:r w:rsidRPr="00D6259F">
        <w:t>losses</w:t>
      </w:r>
      <w:bookmarkEnd w:id="167"/>
      <w:proofErr w:type="gramEnd"/>
    </w:p>
    <w:p w14:paraId="1BDAA370" w14:textId="11A8C37C" w:rsidR="00D422B1" w:rsidRPr="00D6259F" w:rsidRDefault="000F20D8" w:rsidP="00C034D8">
      <w:pPr>
        <w:rPr>
          <w:color w:val="000000" w:themeColor="text1"/>
        </w:rPr>
      </w:pPr>
      <w:r w:rsidRPr="00D6259F">
        <w:rPr>
          <w:color w:val="000000" w:themeColor="text1"/>
        </w:rPr>
        <w:object w:dxaOrig="9735" w:dyaOrig="8730" w14:anchorId="60928320">
          <v:shape id="_x0000_i1092" type="#_x0000_t75" style="width:490pt;height:395pt" o:ole="">
            <v:imagedata r:id="rId146" o:title=""/>
          </v:shape>
          <o:OLEObject Type="Link" ProgID="Excel.Sheet.12" ShapeID="_x0000_i1092" DrawAspect="Content" r:id="rId147" UpdateMode="Always">
            <o:LinkType>EnhancedMetaFile</o:LinkType>
            <o:LockedField>false</o:LockedField>
          </o:OLEObject>
        </w:object>
      </w:r>
    </w:p>
    <w:p w14:paraId="2DBCB8C9" w14:textId="760EE667" w:rsidR="00D422B1" w:rsidRPr="00D6259F" w:rsidRDefault="00D422B1" w:rsidP="00C034D8">
      <w:pPr>
        <w:pStyle w:val="Heading3"/>
      </w:pPr>
      <w:bookmarkStart w:id="168" w:name="_Toc121217157"/>
      <w:r w:rsidRPr="00D6259F">
        <w:t>Unrecognised tax losses</w:t>
      </w:r>
      <w:bookmarkEnd w:id="168"/>
    </w:p>
    <w:p w14:paraId="3C09BA3B" w14:textId="77777777" w:rsidR="00D422B1" w:rsidRPr="00D6259F" w:rsidRDefault="00D422B1" w:rsidP="00C034D8">
      <w:pPr>
        <w:rPr>
          <w:color w:val="000000" w:themeColor="text1"/>
          <w:lang w:eastAsia="en-GB"/>
        </w:rPr>
      </w:pPr>
      <w:r w:rsidRPr="00D6259F">
        <w:rPr>
          <w:color w:val="000000" w:themeColor="text1"/>
          <w:lang w:eastAsia="en-GB"/>
        </w:rPr>
        <w:t>Under current income tax legislation, the unrecognised tax losses do not expire.</w:t>
      </w:r>
    </w:p>
    <w:p w14:paraId="5C3A40A6" w14:textId="650E2997" w:rsidR="00D422B1" w:rsidRPr="00D6259F" w:rsidRDefault="00AB1858" w:rsidP="00C034D8">
      <w:pPr>
        <w:rPr>
          <w:color w:val="000000" w:themeColor="text1"/>
          <w:lang w:eastAsia="en-GB"/>
        </w:rPr>
      </w:pPr>
      <w:r w:rsidRPr="00D6259F">
        <w:rPr>
          <w:color w:val="000000" w:themeColor="text1"/>
          <w:lang w:eastAsia="en-GB"/>
        </w:rPr>
        <w:t>The</w:t>
      </w:r>
      <w:r w:rsidR="00D422B1" w:rsidRPr="00D6259F">
        <w:rPr>
          <w:color w:val="000000" w:themeColor="text1"/>
          <w:lang w:eastAsia="en-GB"/>
        </w:rPr>
        <w:t xml:space="preserve"> Council </w:t>
      </w:r>
      <w:r w:rsidRPr="00D6259F">
        <w:rPr>
          <w:color w:val="000000" w:themeColor="text1"/>
          <w:lang w:eastAsia="en-GB"/>
        </w:rPr>
        <w:t xml:space="preserve">has tax losses to carry forward </w:t>
      </w:r>
      <w:r w:rsidR="00D422B1" w:rsidRPr="00D6259F">
        <w:rPr>
          <w:color w:val="000000" w:themeColor="text1"/>
          <w:lang w:eastAsia="en-GB"/>
        </w:rPr>
        <w:t xml:space="preserve">of </w:t>
      </w:r>
      <w:r w:rsidR="00FB42A7" w:rsidRPr="00D6259F">
        <w:rPr>
          <w:color w:val="000000" w:themeColor="text1"/>
          <w:lang w:eastAsia="en-GB"/>
        </w:rPr>
        <w:t>$0.</w:t>
      </w:r>
      <w:r w:rsidRPr="00D6259F">
        <w:rPr>
          <w:color w:val="000000" w:themeColor="text1"/>
          <w:lang w:eastAsia="en-GB"/>
        </w:rPr>
        <w:t>2</w:t>
      </w:r>
      <w:r w:rsidR="00FB42A7" w:rsidRPr="00D6259F">
        <w:rPr>
          <w:color w:val="000000" w:themeColor="text1"/>
          <w:lang w:eastAsia="en-GB"/>
        </w:rPr>
        <w:t>m</w:t>
      </w:r>
      <w:r w:rsidR="007A5378" w:rsidRPr="00D6259F">
        <w:rPr>
          <w:color w:val="000000" w:themeColor="text1"/>
          <w:lang w:eastAsia="en-GB"/>
        </w:rPr>
        <w:t xml:space="preserve"> </w:t>
      </w:r>
      <w:r w:rsidR="00D422B1" w:rsidRPr="00D6259F">
        <w:rPr>
          <w:color w:val="000000" w:themeColor="text1"/>
          <w:lang w:eastAsia="en-GB"/>
        </w:rPr>
        <w:t>(20</w:t>
      </w:r>
      <w:r w:rsidR="00982821" w:rsidRPr="00D6259F">
        <w:rPr>
          <w:color w:val="000000" w:themeColor="text1"/>
          <w:lang w:eastAsia="en-GB"/>
        </w:rPr>
        <w:t>2</w:t>
      </w:r>
      <w:r w:rsidR="00E863BF" w:rsidRPr="00D6259F">
        <w:rPr>
          <w:color w:val="000000" w:themeColor="text1"/>
          <w:lang w:eastAsia="en-GB"/>
        </w:rPr>
        <w:t>3</w:t>
      </w:r>
      <w:r w:rsidR="00D422B1" w:rsidRPr="00D6259F">
        <w:rPr>
          <w:color w:val="000000" w:themeColor="text1"/>
          <w:lang w:eastAsia="en-GB"/>
        </w:rPr>
        <w:t>: $</w:t>
      </w:r>
      <w:r w:rsidR="00E863BF" w:rsidRPr="00D6259F">
        <w:rPr>
          <w:color w:val="000000" w:themeColor="text1"/>
          <w:lang w:eastAsia="en-GB"/>
        </w:rPr>
        <w:t>0.1m</w:t>
      </w:r>
      <w:r w:rsidR="00D422B1" w:rsidRPr="00D6259F">
        <w:rPr>
          <w:color w:val="000000" w:themeColor="text1"/>
          <w:lang w:eastAsia="en-GB"/>
        </w:rPr>
        <w:t>)</w:t>
      </w:r>
      <w:r w:rsidRPr="00D6259F">
        <w:rPr>
          <w:color w:val="000000" w:themeColor="text1"/>
          <w:lang w:eastAsia="en-GB"/>
        </w:rPr>
        <w:t xml:space="preserve"> for which no deferred tax asset has been recognised.</w:t>
      </w:r>
    </w:p>
    <w:p w14:paraId="41CF0AA1" w14:textId="77777777" w:rsidR="00D422B1" w:rsidRPr="00D6259F" w:rsidRDefault="00D422B1" w:rsidP="00C034D8">
      <w:pPr>
        <w:rPr>
          <w:color w:val="000000" w:themeColor="text1"/>
          <w:lang w:eastAsia="en-GB"/>
        </w:rPr>
      </w:pPr>
      <w:r w:rsidRPr="00D6259F">
        <w:rPr>
          <w:color w:val="000000" w:themeColor="text1"/>
          <w:lang w:eastAsia="en-GB"/>
        </w:rPr>
        <w:lastRenderedPageBreak/>
        <w:t>Deferred tax assets have not been recognised in respect of these items as it is not probable that future taxable profits will be available against which the benefit of the losses can be utilised.</w:t>
      </w:r>
    </w:p>
    <w:p w14:paraId="3ED792A9" w14:textId="77777777" w:rsidR="00D422B1" w:rsidRPr="00D6259F" w:rsidRDefault="00D422B1" w:rsidP="00C034D8">
      <w:pPr>
        <w:pStyle w:val="Heading3"/>
      </w:pPr>
      <w:bookmarkStart w:id="169" w:name="_Toc121217158"/>
      <w:r w:rsidRPr="00D6259F">
        <w:t>Relevant significant accounting policies</w:t>
      </w:r>
      <w:bookmarkEnd w:id="169"/>
    </w:p>
    <w:p w14:paraId="6F2244DE" w14:textId="2DC4A204" w:rsidR="00D422B1" w:rsidRPr="00D6259F" w:rsidRDefault="00D422B1" w:rsidP="00704FA9">
      <w:pPr>
        <w:rPr>
          <w:color w:val="000000" w:themeColor="text1"/>
          <w:lang w:eastAsia="en-GB"/>
        </w:rPr>
      </w:pPr>
      <w:r w:rsidRPr="00D6259F">
        <w:rPr>
          <w:color w:val="000000" w:themeColor="text1"/>
          <w:lang w:eastAsia="en-GB"/>
        </w:rPr>
        <w:t>Deferred tax is provided using the balance sheet liability method, providing for temporary differences between the carrying amounts of assets and liabilities for financial reporting purposes and amounts used for taxation purposes. The amount of deferred tax provided is based on the expected manner of realisation or settlement of the assets and liabilities, and the unused tax losses using tax rates enacted or substantively enacted at the end of the reporting period. Deferred income tax assets are recognised to the extent that it is probable that future taxable profit will be available against which they can be utilised.</w:t>
      </w:r>
    </w:p>
    <w:p w14:paraId="0A92C629" w14:textId="77777777" w:rsidR="00AD2314" w:rsidRPr="00D6259F" w:rsidRDefault="00AD2314">
      <w:pPr>
        <w:rPr>
          <w:rFonts w:ascii="Cambria" w:eastAsiaTheme="majorEastAsia" w:hAnsi="Cambria"/>
          <w:b/>
          <w:bCs/>
          <w:color w:val="000000" w:themeColor="text1"/>
          <w:sz w:val="60"/>
          <w:szCs w:val="60"/>
        </w:rPr>
      </w:pPr>
      <w:bookmarkStart w:id="170" w:name="_Toc55482671"/>
      <w:bookmarkStart w:id="171" w:name="_Toc61862887"/>
      <w:r w:rsidRPr="00D6259F">
        <w:rPr>
          <w:color w:val="000000" w:themeColor="text1"/>
        </w:rPr>
        <w:br w:type="page"/>
      </w:r>
    </w:p>
    <w:p w14:paraId="55FAA929" w14:textId="22EEA34B" w:rsidR="00A75435" w:rsidRPr="00D6259F" w:rsidRDefault="00C720AF" w:rsidP="00D6259F">
      <w:pPr>
        <w:pStyle w:val="Heading1"/>
        <w:rPr>
          <w:noProof/>
          <w:lang w:val="en-US"/>
        </w:rPr>
      </w:pPr>
      <w:bookmarkStart w:id="172" w:name="_Toc179890314"/>
      <w:r w:rsidRPr="00D6259F">
        <w:lastRenderedPageBreak/>
        <w:t>S</w:t>
      </w:r>
      <w:r w:rsidR="00D422B1" w:rsidRPr="00D6259F">
        <w:t xml:space="preserve">tatement of </w:t>
      </w:r>
      <w:r w:rsidR="00446596" w:rsidRPr="00D6259F">
        <w:t>C</w:t>
      </w:r>
      <w:r w:rsidR="00D422B1" w:rsidRPr="00D6259F">
        <w:t xml:space="preserve">hanges in </w:t>
      </w:r>
      <w:r w:rsidR="00446596" w:rsidRPr="00D6259F">
        <w:t>E</w:t>
      </w:r>
      <w:r w:rsidR="00D422B1" w:rsidRPr="00D6259F">
        <w:t>quity</w:t>
      </w:r>
      <w:bookmarkEnd w:id="170"/>
      <w:bookmarkEnd w:id="171"/>
      <w:bookmarkEnd w:id="172"/>
      <w:r w:rsidR="00D422B1" w:rsidRPr="00D6259F">
        <w:t xml:space="preserve"> </w:t>
      </w:r>
    </w:p>
    <w:p w14:paraId="41BE7208" w14:textId="69071D7A" w:rsidR="00346BB9" w:rsidRPr="00D6259F" w:rsidRDefault="000F20D8" w:rsidP="00A7162C">
      <w:pPr>
        <w:rPr>
          <w:color w:val="000000" w:themeColor="text1"/>
          <w:lang w:val="en-US"/>
        </w:rPr>
      </w:pPr>
      <w:r w:rsidRPr="00D6259F">
        <w:rPr>
          <w:color w:val="000000" w:themeColor="text1"/>
          <w:lang w:val="en-US"/>
        </w:rPr>
        <w:object w:dxaOrig="12075" w:dyaOrig="12855" w14:anchorId="0F8320DD">
          <v:shape id="_x0000_i1093" type="#_x0000_t75" style="width:511pt;height:640pt" o:ole="">
            <v:imagedata r:id="rId148" o:title=""/>
          </v:shape>
          <o:OLEObject Type="Link" ProgID="Excel.Sheet.12" ShapeID="_x0000_i1093" DrawAspect="Content" r:id="rId149" UpdateMode="Always">
            <o:LinkType>EnhancedMetaFile</o:LinkType>
            <o:LockedField>false</o:LockedField>
          </o:OLEObject>
        </w:object>
      </w:r>
    </w:p>
    <w:p w14:paraId="1F648273" w14:textId="77777777" w:rsidR="00B96F44" w:rsidRPr="00D6259F" w:rsidRDefault="00B96F44" w:rsidP="00B96F44">
      <w:pPr>
        <w:rPr>
          <w:color w:val="000000" w:themeColor="text1"/>
          <w:sz w:val="20"/>
          <w:szCs w:val="20"/>
        </w:rPr>
      </w:pPr>
      <w:r w:rsidRPr="00D6259F">
        <w:rPr>
          <w:color w:val="000000" w:themeColor="text1"/>
          <w:sz w:val="20"/>
          <w:szCs w:val="20"/>
        </w:rPr>
        <w:t>The notes on page 14</w:t>
      </w:r>
      <w:r w:rsidRPr="00D6259F">
        <w:rPr>
          <w:color w:val="000000" w:themeColor="text1"/>
          <w:sz w:val="20"/>
          <w:szCs w:val="20"/>
          <w:lang w:eastAsia="en-NZ"/>
        </w:rPr>
        <w:t xml:space="preserve"> to 122 </w:t>
      </w:r>
      <w:r w:rsidRPr="00D6259F">
        <w:rPr>
          <w:color w:val="000000" w:themeColor="text1"/>
          <w:sz w:val="20"/>
          <w:szCs w:val="20"/>
        </w:rPr>
        <w:t>form part of and should be read in conjunction with the financial statements.</w:t>
      </w:r>
    </w:p>
    <w:p w14:paraId="0EF7BD47" w14:textId="18142AC2" w:rsidR="00CC39B1" w:rsidRPr="00D6259F" w:rsidRDefault="000F20D8" w:rsidP="007D7117">
      <w:pPr>
        <w:spacing w:after="0"/>
        <w:rPr>
          <w:color w:val="000000" w:themeColor="text1"/>
        </w:rPr>
      </w:pPr>
      <w:r w:rsidRPr="00D6259F">
        <w:rPr>
          <w:color w:val="000000" w:themeColor="text1"/>
        </w:rPr>
        <w:object w:dxaOrig="12075" w:dyaOrig="1215" w14:anchorId="2AE116BB">
          <v:shape id="_x0000_i1094" type="#_x0000_t75" style="width:472pt;height:61pt" o:ole="">
            <v:imagedata r:id="rId150" o:title=""/>
          </v:shape>
          <o:OLEObject Type="Link" ProgID="Excel.Sheet.12" ShapeID="_x0000_i1094" DrawAspect="Content" r:id="rId151" UpdateMode="Always">
            <o:LinkType>EnhancedMetaFile</o:LinkType>
            <o:LockedField>false</o:LockedField>
          </o:OLEObject>
        </w:object>
      </w:r>
    </w:p>
    <w:p w14:paraId="583D0EA4" w14:textId="27910D57" w:rsidR="00CC39B1" w:rsidRPr="00D6259F" w:rsidRDefault="000F20D8" w:rsidP="00C034D8">
      <w:pPr>
        <w:rPr>
          <w:color w:val="000000" w:themeColor="text1"/>
        </w:rPr>
      </w:pPr>
      <w:r w:rsidRPr="00D6259F">
        <w:rPr>
          <w:color w:val="000000" w:themeColor="text1"/>
        </w:rPr>
        <w:object w:dxaOrig="12075" w:dyaOrig="4410" w14:anchorId="00E74FBB">
          <v:shape id="_x0000_i1095" type="#_x0000_t75" style="width:473pt;height:221pt" o:ole="">
            <v:imagedata r:id="rId152" o:title=""/>
          </v:shape>
          <o:OLEObject Type="Link" ProgID="Excel.Sheet.12" ShapeID="_x0000_i1095" DrawAspect="Content" r:id="rId153" UpdateMode="Always">
            <o:LinkType>EnhancedMetaFile</o:LinkType>
            <o:LockedField>false</o:LockedField>
          </o:OLEObject>
        </w:object>
      </w:r>
    </w:p>
    <w:p w14:paraId="0C387319" w14:textId="349EAF8B" w:rsidR="00D422B1" w:rsidRPr="00D6259F" w:rsidRDefault="00D422B1" w:rsidP="00C034D8">
      <w:pPr>
        <w:rPr>
          <w:color w:val="000000" w:themeColor="text1"/>
          <w:sz w:val="20"/>
          <w:szCs w:val="20"/>
        </w:rPr>
      </w:pPr>
      <w:r w:rsidRPr="00D6259F">
        <w:rPr>
          <w:color w:val="000000" w:themeColor="text1"/>
          <w:sz w:val="20"/>
          <w:szCs w:val="20"/>
        </w:rPr>
        <w:t xml:space="preserve">The notes on </w:t>
      </w:r>
      <w:r w:rsidR="006F6060" w:rsidRPr="00D6259F">
        <w:rPr>
          <w:color w:val="000000" w:themeColor="text1"/>
          <w:sz w:val="20"/>
          <w:szCs w:val="20"/>
        </w:rPr>
        <w:t>page</w:t>
      </w:r>
      <w:r w:rsidR="000119DD" w:rsidRPr="00D6259F">
        <w:rPr>
          <w:color w:val="000000" w:themeColor="text1"/>
          <w:sz w:val="20"/>
          <w:szCs w:val="20"/>
        </w:rPr>
        <w:t xml:space="preserve"> </w:t>
      </w:r>
      <w:r w:rsidR="00B96F44" w:rsidRPr="00D6259F">
        <w:rPr>
          <w:color w:val="000000" w:themeColor="text1"/>
          <w:sz w:val="20"/>
          <w:szCs w:val="20"/>
        </w:rPr>
        <w:t>14</w:t>
      </w:r>
      <w:r w:rsidR="00DE7CAD" w:rsidRPr="00D6259F">
        <w:rPr>
          <w:color w:val="000000" w:themeColor="text1"/>
          <w:sz w:val="20"/>
          <w:szCs w:val="20"/>
          <w:lang w:eastAsia="en-NZ"/>
        </w:rPr>
        <w:t xml:space="preserve"> to </w:t>
      </w:r>
      <w:r w:rsidR="00B96F44" w:rsidRPr="00D6259F">
        <w:rPr>
          <w:color w:val="000000" w:themeColor="text1"/>
          <w:sz w:val="20"/>
          <w:szCs w:val="20"/>
          <w:lang w:eastAsia="en-NZ"/>
        </w:rPr>
        <w:t>122</w:t>
      </w:r>
      <w:r w:rsidR="00802748" w:rsidRPr="00D6259F">
        <w:rPr>
          <w:color w:val="000000" w:themeColor="text1"/>
          <w:sz w:val="20"/>
          <w:szCs w:val="20"/>
          <w:lang w:eastAsia="en-NZ"/>
        </w:rPr>
        <w:t xml:space="preserve"> </w:t>
      </w:r>
      <w:r w:rsidRPr="00D6259F">
        <w:rPr>
          <w:color w:val="000000" w:themeColor="text1"/>
          <w:sz w:val="20"/>
          <w:szCs w:val="20"/>
        </w:rPr>
        <w:t xml:space="preserve">form part of and should be read in conjunction with the financial </w:t>
      </w:r>
      <w:r w:rsidR="00E20DEB" w:rsidRPr="00D6259F">
        <w:rPr>
          <w:color w:val="000000" w:themeColor="text1"/>
          <w:sz w:val="20"/>
          <w:szCs w:val="20"/>
        </w:rPr>
        <w:t>statements.</w:t>
      </w:r>
    </w:p>
    <w:p w14:paraId="29791E5C" w14:textId="77777777" w:rsidR="006C4499" w:rsidRPr="00D6259F" w:rsidRDefault="006C4499" w:rsidP="00C034D8">
      <w:pPr>
        <w:rPr>
          <w:color w:val="000000" w:themeColor="text1"/>
        </w:rPr>
      </w:pPr>
    </w:p>
    <w:p w14:paraId="6CA43A74" w14:textId="260A8BC7" w:rsidR="00D422B1" w:rsidRPr="00D6259F" w:rsidRDefault="00D422B1" w:rsidP="00391BA5">
      <w:pPr>
        <w:pStyle w:val="Heading2"/>
        <w:rPr>
          <w:rFonts w:eastAsiaTheme="minorEastAsia" w:cs="Calibri"/>
          <w:sz w:val="40"/>
          <w:lang w:eastAsia="en-NZ"/>
        </w:rPr>
      </w:pPr>
      <w:bookmarkStart w:id="173" w:name="_Toc55482672"/>
      <w:bookmarkStart w:id="174" w:name="_Toc179890315"/>
      <w:r w:rsidRPr="00D6259F">
        <w:rPr>
          <w:rFonts w:eastAsiaTheme="minorEastAsia" w:cs="Calibri"/>
          <w:sz w:val="40"/>
          <w:lang w:eastAsia="en-NZ"/>
        </w:rPr>
        <w:t xml:space="preserve">Statement of </w:t>
      </w:r>
      <w:r w:rsidR="00357BF0" w:rsidRPr="00D6259F">
        <w:rPr>
          <w:rFonts w:eastAsiaTheme="minorEastAsia" w:cs="Calibri"/>
          <w:sz w:val="40"/>
          <w:lang w:eastAsia="en-NZ"/>
        </w:rPr>
        <w:t>C</w:t>
      </w:r>
      <w:r w:rsidRPr="00D6259F">
        <w:rPr>
          <w:rFonts w:eastAsiaTheme="minorEastAsia" w:cs="Calibri"/>
          <w:sz w:val="40"/>
          <w:lang w:eastAsia="en-NZ"/>
        </w:rPr>
        <w:t xml:space="preserve">hanges in </w:t>
      </w:r>
      <w:r w:rsidR="00357BF0" w:rsidRPr="00D6259F">
        <w:rPr>
          <w:rFonts w:eastAsiaTheme="minorEastAsia" w:cs="Calibri"/>
          <w:sz w:val="40"/>
          <w:lang w:eastAsia="en-NZ"/>
        </w:rPr>
        <w:t>E</w:t>
      </w:r>
      <w:r w:rsidRPr="00D6259F">
        <w:rPr>
          <w:rFonts w:eastAsiaTheme="minorEastAsia" w:cs="Calibri"/>
          <w:sz w:val="40"/>
          <w:lang w:eastAsia="en-NZ"/>
        </w:rPr>
        <w:t>quity – Major budget variations</w:t>
      </w:r>
      <w:bookmarkEnd w:id="173"/>
      <w:bookmarkEnd w:id="174"/>
    </w:p>
    <w:p w14:paraId="7F68692C" w14:textId="1DCD862D" w:rsidR="00C94508" w:rsidRPr="00D6259F" w:rsidRDefault="00C94508" w:rsidP="00C94508">
      <w:pPr>
        <w:rPr>
          <w:color w:val="000000" w:themeColor="text1"/>
          <w:lang w:eastAsia="en-NZ"/>
        </w:rPr>
      </w:pPr>
      <w:r w:rsidRPr="00D6259F">
        <w:rPr>
          <w:color w:val="000000" w:themeColor="text1"/>
          <w:lang w:eastAsia="en-NZ"/>
        </w:rPr>
        <w:t xml:space="preserve">Budget figures are for </w:t>
      </w:r>
      <w:r w:rsidR="00E20D58" w:rsidRPr="00D6259F">
        <w:rPr>
          <w:color w:val="000000" w:themeColor="text1"/>
          <w:lang w:eastAsia="en-NZ"/>
        </w:rPr>
        <w:t xml:space="preserve">the </w:t>
      </w:r>
      <w:r w:rsidRPr="00D6259F">
        <w:rPr>
          <w:color w:val="000000" w:themeColor="text1"/>
          <w:lang w:eastAsia="en-NZ"/>
        </w:rPr>
        <w:t>Council only and not the</w:t>
      </w:r>
      <w:r w:rsidR="006020F7" w:rsidRPr="00D6259F">
        <w:rPr>
          <w:color w:val="000000" w:themeColor="text1"/>
          <w:lang w:eastAsia="en-NZ"/>
        </w:rPr>
        <w:t xml:space="preserve"> Group</w:t>
      </w:r>
      <w:r w:rsidRPr="00D6259F">
        <w:rPr>
          <w:color w:val="000000" w:themeColor="text1"/>
          <w:lang w:eastAsia="en-NZ"/>
        </w:rPr>
        <w:t>.</w:t>
      </w:r>
    </w:p>
    <w:p w14:paraId="73637311" w14:textId="77777777" w:rsidR="00D422B1" w:rsidRPr="00D6259F" w:rsidRDefault="00D422B1" w:rsidP="00D70968">
      <w:pPr>
        <w:pStyle w:val="Heading4"/>
      </w:pPr>
      <w:r w:rsidRPr="00D6259F">
        <w:t>Significant variations from budgeted changes in equity are as follows:</w:t>
      </w:r>
    </w:p>
    <w:p w14:paraId="28B08F54" w14:textId="77777777" w:rsidR="00B94792" w:rsidRPr="00D6259F" w:rsidRDefault="00B94792" w:rsidP="0089734C">
      <w:pPr>
        <w:spacing w:after="0"/>
        <w:rPr>
          <w:color w:val="000000" w:themeColor="text1"/>
        </w:rPr>
      </w:pPr>
    </w:p>
    <w:p w14:paraId="23A9EA69" w14:textId="456FC3A3" w:rsidR="008F275A" w:rsidRPr="00D6259F" w:rsidRDefault="008F275A" w:rsidP="0089734C">
      <w:pPr>
        <w:spacing w:after="0"/>
        <w:rPr>
          <w:color w:val="000000" w:themeColor="text1"/>
        </w:rPr>
      </w:pPr>
      <w:r w:rsidRPr="00D6259F">
        <w:rPr>
          <w:color w:val="000000" w:themeColor="text1"/>
        </w:rPr>
        <w:t>Opening equity is $</w:t>
      </w:r>
      <w:r w:rsidR="00CC5E47" w:rsidRPr="00D6259F">
        <w:rPr>
          <w:color w:val="000000" w:themeColor="text1"/>
        </w:rPr>
        <w:t>195</w:t>
      </w:r>
      <w:r w:rsidR="00346BB9" w:rsidRPr="00D6259F">
        <w:rPr>
          <w:color w:val="000000" w:themeColor="text1"/>
        </w:rPr>
        <w:t>.0</w:t>
      </w:r>
      <w:r w:rsidR="00CC5E47" w:rsidRPr="00D6259F">
        <w:rPr>
          <w:color w:val="000000" w:themeColor="text1"/>
        </w:rPr>
        <w:t xml:space="preserve">m below </w:t>
      </w:r>
      <w:r w:rsidRPr="00D6259F">
        <w:rPr>
          <w:color w:val="000000" w:themeColor="text1"/>
        </w:rPr>
        <w:t>budget. The major variances included:</w:t>
      </w:r>
    </w:p>
    <w:p w14:paraId="77CDD81C" w14:textId="77777777" w:rsidR="00CC5E47" w:rsidRPr="00D6259F" w:rsidRDefault="00CC5E47" w:rsidP="0089734C">
      <w:pPr>
        <w:spacing w:after="0"/>
        <w:rPr>
          <w:color w:val="000000" w:themeColor="text1"/>
        </w:rPr>
      </w:pPr>
    </w:p>
    <w:p w14:paraId="1AA1FB5D" w14:textId="34856101" w:rsidR="008C2777" w:rsidRPr="00D6259F" w:rsidRDefault="008C2777" w:rsidP="00BB0BEE">
      <w:pPr>
        <w:pStyle w:val="ListParagraph"/>
        <w:numPr>
          <w:ilvl w:val="0"/>
          <w:numId w:val="44"/>
        </w:numPr>
        <w:spacing w:after="0"/>
        <w:rPr>
          <w:color w:val="000000" w:themeColor="text1"/>
        </w:rPr>
      </w:pPr>
      <w:r w:rsidRPr="00D6259F">
        <w:rPr>
          <w:color w:val="000000" w:themeColor="text1"/>
        </w:rPr>
        <w:t>Opening revaluation reserves were $213.4m below budget. This was due to</w:t>
      </w:r>
      <w:r w:rsidR="00346BB9" w:rsidRPr="00D6259F">
        <w:rPr>
          <w:color w:val="000000" w:themeColor="text1"/>
        </w:rPr>
        <w:t xml:space="preserve"> previous years’ </w:t>
      </w:r>
      <w:r w:rsidR="006F255E" w:rsidRPr="00D6259F">
        <w:rPr>
          <w:color w:val="000000" w:themeColor="text1"/>
        </w:rPr>
        <w:t xml:space="preserve">property, </w:t>
      </w:r>
      <w:proofErr w:type="gramStart"/>
      <w:r w:rsidR="006F255E" w:rsidRPr="00D6259F">
        <w:rPr>
          <w:color w:val="000000" w:themeColor="text1"/>
        </w:rPr>
        <w:t>plant</w:t>
      </w:r>
      <w:proofErr w:type="gramEnd"/>
      <w:r w:rsidR="006F255E" w:rsidRPr="00D6259F">
        <w:rPr>
          <w:color w:val="000000" w:themeColor="text1"/>
        </w:rPr>
        <w:t xml:space="preserve"> and equipment </w:t>
      </w:r>
      <w:r w:rsidR="00346BB9" w:rsidRPr="00D6259F">
        <w:rPr>
          <w:color w:val="000000" w:themeColor="text1"/>
        </w:rPr>
        <w:t>revaluations.</w:t>
      </w:r>
    </w:p>
    <w:p w14:paraId="2126621C" w14:textId="322B60A4" w:rsidR="008F275A" w:rsidRPr="00D6259F" w:rsidRDefault="008C2777" w:rsidP="00BB0BEE">
      <w:pPr>
        <w:pStyle w:val="ListParagraph"/>
        <w:numPr>
          <w:ilvl w:val="0"/>
          <w:numId w:val="44"/>
        </w:numPr>
        <w:spacing w:after="0"/>
        <w:rPr>
          <w:color w:val="000000" w:themeColor="text1"/>
        </w:rPr>
      </w:pPr>
      <w:r w:rsidRPr="00D6259F">
        <w:rPr>
          <w:color w:val="000000" w:themeColor="text1"/>
        </w:rPr>
        <w:t xml:space="preserve">Opening hedging reserves were $15.6m above budget due to </w:t>
      </w:r>
      <w:r w:rsidR="00860F28" w:rsidRPr="00D6259F">
        <w:rPr>
          <w:color w:val="000000" w:themeColor="text1"/>
        </w:rPr>
        <w:t xml:space="preserve">fair value movement gains on cash flow hedges in 2022/23. No budget is assumed for fair value movements on cash flow hedges.  </w:t>
      </w:r>
    </w:p>
    <w:p w14:paraId="588E8B69" w14:textId="77777777" w:rsidR="008F275A" w:rsidRPr="00D6259F" w:rsidRDefault="008F275A" w:rsidP="0089734C">
      <w:pPr>
        <w:spacing w:after="0"/>
        <w:rPr>
          <w:color w:val="000000" w:themeColor="text1"/>
        </w:rPr>
      </w:pPr>
    </w:p>
    <w:p w14:paraId="6F8720AB" w14:textId="0069F016" w:rsidR="008F275A" w:rsidRPr="00D6259F" w:rsidRDefault="008F275A" w:rsidP="0089734C">
      <w:pPr>
        <w:spacing w:after="0"/>
        <w:rPr>
          <w:color w:val="000000" w:themeColor="text1"/>
        </w:rPr>
      </w:pPr>
      <w:r w:rsidRPr="00D6259F">
        <w:rPr>
          <w:color w:val="000000" w:themeColor="text1"/>
        </w:rPr>
        <w:t>Changes in equity were $</w:t>
      </w:r>
      <w:r w:rsidR="00F52C25" w:rsidRPr="00D6259F">
        <w:rPr>
          <w:color w:val="000000" w:themeColor="text1"/>
        </w:rPr>
        <w:t>650.2</w:t>
      </w:r>
      <w:r w:rsidR="00803498" w:rsidRPr="00D6259F">
        <w:rPr>
          <w:color w:val="000000" w:themeColor="text1"/>
        </w:rPr>
        <w:t xml:space="preserve">m above </w:t>
      </w:r>
      <w:r w:rsidRPr="00D6259F">
        <w:rPr>
          <w:color w:val="000000" w:themeColor="text1"/>
        </w:rPr>
        <w:t>budget</w:t>
      </w:r>
      <w:r w:rsidR="00803498" w:rsidRPr="00D6259F">
        <w:rPr>
          <w:color w:val="000000" w:themeColor="text1"/>
        </w:rPr>
        <w:t xml:space="preserve">. </w:t>
      </w:r>
      <w:r w:rsidRPr="00D6259F">
        <w:rPr>
          <w:color w:val="000000" w:themeColor="text1"/>
        </w:rPr>
        <w:t>The major variances included:</w:t>
      </w:r>
    </w:p>
    <w:p w14:paraId="5820FAA1" w14:textId="77777777" w:rsidR="00803498" w:rsidRPr="00D6259F" w:rsidRDefault="00803498" w:rsidP="0089734C">
      <w:pPr>
        <w:spacing w:after="0"/>
        <w:rPr>
          <w:color w:val="000000" w:themeColor="text1"/>
        </w:rPr>
      </w:pPr>
    </w:p>
    <w:p w14:paraId="2A7023E6" w14:textId="0BEA3067" w:rsidR="008F275A" w:rsidRPr="00D6259F" w:rsidRDefault="00803498" w:rsidP="00BB0BEE">
      <w:pPr>
        <w:pStyle w:val="ListParagraph"/>
        <w:numPr>
          <w:ilvl w:val="0"/>
          <w:numId w:val="44"/>
        </w:numPr>
        <w:spacing w:after="0"/>
        <w:rPr>
          <w:color w:val="000000" w:themeColor="text1"/>
        </w:rPr>
      </w:pPr>
      <w:r w:rsidRPr="00D6259F">
        <w:rPr>
          <w:color w:val="000000" w:themeColor="text1"/>
        </w:rPr>
        <w:t>A</w:t>
      </w:r>
      <w:r w:rsidR="003C3332" w:rsidRPr="00D6259F">
        <w:rPr>
          <w:color w:val="000000" w:themeColor="text1"/>
        </w:rPr>
        <w:t xml:space="preserve">n increase in the </w:t>
      </w:r>
      <w:r w:rsidRPr="00D6259F">
        <w:rPr>
          <w:color w:val="000000" w:themeColor="text1"/>
        </w:rPr>
        <w:t>revaluation reserve of $</w:t>
      </w:r>
      <w:r w:rsidR="00F52C25" w:rsidRPr="00D6259F">
        <w:rPr>
          <w:color w:val="000000" w:themeColor="text1"/>
        </w:rPr>
        <w:t>713.8</w:t>
      </w:r>
      <w:r w:rsidRPr="00D6259F">
        <w:rPr>
          <w:color w:val="000000" w:themeColor="text1"/>
        </w:rPr>
        <w:t xml:space="preserve">m </w:t>
      </w:r>
      <w:r w:rsidR="003C3332" w:rsidRPr="00D6259F">
        <w:rPr>
          <w:color w:val="000000" w:themeColor="text1"/>
        </w:rPr>
        <w:t xml:space="preserve">driven from the </w:t>
      </w:r>
      <w:r w:rsidRPr="00D6259F">
        <w:rPr>
          <w:color w:val="000000" w:themeColor="text1"/>
        </w:rPr>
        <w:t xml:space="preserve">revaluation of </w:t>
      </w:r>
      <w:r w:rsidR="006F255E" w:rsidRPr="00D6259F">
        <w:rPr>
          <w:color w:val="000000" w:themeColor="text1"/>
        </w:rPr>
        <w:t xml:space="preserve">infrastructure </w:t>
      </w:r>
      <w:r w:rsidRPr="00D6259F">
        <w:rPr>
          <w:color w:val="000000" w:themeColor="text1"/>
        </w:rPr>
        <w:t>assets during the year.</w:t>
      </w:r>
      <w:r w:rsidR="00346BB9" w:rsidRPr="00D6259F">
        <w:rPr>
          <w:color w:val="000000" w:themeColor="text1"/>
        </w:rPr>
        <w:t xml:space="preserve"> These revaluations were completed </w:t>
      </w:r>
      <w:r w:rsidR="00D4087D" w:rsidRPr="00D6259F">
        <w:rPr>
          <w:color w:val="000000" w:themeColor="text1"/>
        </w:rPr>
        <w:t xml:space="preserve">in year 2 of the </w:t>
      </w:r>
      <w:r w:rsidR="00346BB9" w:rsidRPr="00D6259F">
        <w:rPr>
          <w:color w:val="000000" w:themeColor="text1"/>
        </w:rPr>
        <w:t xml:space="preserve">normal </w:t>
      </w:r>
      <w:r w:rsidR="00B90F16" w:rsidRPr="00D6259F">
        <w:rPr>
          <w:color w:val="000000" w:themeColor="text1"/>
        </w:rPr>
        <w:t>3-year</w:t>
      </w:r>
      <w:r w:rsidR="006F255E" w:rsidRPr="00D6259F">
        <w:rPr>
          <w:color w:val="000000" w:themeColor="text1"/>
        </w:rPr>
        <w:t>ly</w:t>
      </w:r>
      <w:r w:rsidR="00346BB9" w:rsidRPr="00D6259F">
        <w:rPr>
          <w:color w:val="000000" w:themeColor="text1"/>
        </w:rPr>
        <w:t xml:space="preserve"> cycle</w:t>
      </w:r>
      <w:r w:rsidR="006F255E" w:rsidRPr="00D6259F">
        <w:rPr>
          <w:color w:val="000000" w:themeColor="text1"/>
        </w:rPr>
        <w:t xml:space="preserve"> and therefore not budgeted for</w:t>
      </w:r>
      <w:r w:rsidR="00346BB9" w:rsidRPr="00D6259F">
        <w:rPr>
          <w:color w:val="000000" w:themeColor="text1"/>
        </w:rPr>
        <w:t xml:space="preserve">. </w:t>
      </w:r>
      <w:r w:rsidRPr="00D6259F">
        <w:rPr>
          <w:color w:val="000000" w:themeColor="text1"/>
        </w:rPr>
        <w:t xml:space="preserve"> </w:t>
      </w:r>
    </w:p>
    <w:p w14:paraId="0F143F5F" w14:textId="2BFAA61A" w:rsidR="00803498" w:rsidRPr="00D6259F" w:rsidRDefault="003C3332" w:rsidP="00BB0BEE">
      <w:pPr>
        <w:pStyle w:val="ListParagraph"/>
        <w:numPr>
          <w:ilvl w:val="0"/>
          <w:numId w:val="44"/>
        </w:numPr>
        <w:spacing w:after="0"/>
        <w:rPr>
          <w:color w:val="000000" w:themeColor="text1"/>
        </w:rPr>
      </w:pPr>
      <w:r w:rsidRPr="00D6259F">
        <w:rPr>
          <w:color w:val="000000" w:themeColor="text1"/>
        </w:rPr>
        <w:t>A decrease in retained earnings of $5</w:t>
      </w:r>
      <w:r w:rsidR="00346BB9" w:rsidRPr="00D6259F">
        <w:rPr>
          <w:color w:val="000000" w:themeColor="text1"/>
        </w:rPr>
        <w:t>3.9</w:t>
      </w:r>
      <w:r w:rsidRPr="00D6259F">
        <w:rPr>
          <w:color w:val="000000" w:themeColor="text1"/>
        </w:rPr>
        <w:t xml:space="preserve">m mainly due to the lower surplus than budget. </w:t>
      </w:r>
    </w:p>
    <w:p w14:paraId="70DA46A2" w14:textId="4332A2E2" w:rsidR="003C3332" w:rsidRPr="00D6259F" w:rsidRDefault="003C3332" w:rsidP="00BB0BEE">
      <w:pPr>
        <w:pStyle w:val="ListParagraph"/>
        <w:numPr>
          <w:ilvl w:val="0"/>
          <w:numId w:val="44"/>
        </w:numPr>
        <w:spacing w:after="0"/>
        <w:rPr>
          <w:color w:val="000000" w:themeColor="text1"/>
        </w:rPr>
      </w:pPr>
      <w:r w:rsidRPr="00D6259F">
        <w:rPr>
          <w:color w:val="000000" w:themeColor="text1"/>
        </w:rPr>
        <w:t>A decrease in hedging reserves of $</w:t>
      </w:r>
      <w:r w:rsidR="00346BB9" w:rsidRPr="00D6259F">
        <w:rPr>
          <w:color w:val="000000" w:themeColor="text1"/>
        </w:rPr>
        <w:t>7.9m</w:t>
      </w:r>
      <w:r w:rsidRPr="00D6259F">
        <w:rPr>
          <w:color w:val="000000" w:themeColor="text1"/>
        </w:rPr>
        <w:t xml:space="preserve"> </w:t>
      </w:r>
      <w:r w:rsidR="00346BB9" w:rsidRPr="00D6259F">
        <w:rPr>
          <w:color w:val="000000" w:themeColor="text1"/>
        </w:rPr>
        <w:t>resulting from movements in the fair value of cash flow hedges.</w:t>
      </w:r>
    </w:p>
    <w:p w14:paraId="5F56D31A" w14:textId="029D39A6" w:rsidR="00D422B1" w:rsidRPr="00D6259F" w:rsidRDefault="00D422B1" w:rsidP="00D70968">
      <w:pPr>
        <w:pStyle w:val="Heading3"/>
      </w:pPr>
      <w:bookmarkStart w:id="175" w:name="_Toc121217161"/>
      <w:r w:rsidRPr="00D6259F">
        <w:lastRenderedPageBreak/>
        <w:t>Equity</w:t>
      </w:r>
      <w:bookmarkEnd w:id="175"/>
    </w:p>
    <w:p w14:paraId="20ED7340" w14:textId="59E69737" w:rsidR="00D422B1" w:rsidRPr="00D6259F" w:rsidRDefault="00D422B1" w:rsidP="00D70968">
      <w:pPr>
        <w:rPr>
          <w:color w:val="000000" w:themeColor="text1"/>
        </w:rPr>
      </w:pPr>
      <w:r w:rsidRPr="00D6259F">
        <w:rPr>
          <w:color w:val="000000" w:themeColor="text1"/>
        </w:rPr>
        <w:t>Equity is the community’s interest in the Council and</w:t>
      </w:r>
      <w:r w:rsidR="006020F7" w:rsidRPr="00D6259F">
        <w:rPr>
          <w:color w:val="000000" w:themeColor="text1"/>
        </w:rPr>
        <w:t xml:space="preserve"> Group</w:t>
      </w:r>
      <w:r w:rsidRPr="00D6259F">
        <w:rPr>
          <w:color w:val="000000" w:themeColor="text1"/>
        </w:rPr>
        <w:t xml:space="preserve"> and is measured as the difference between total assets and total liabilities. Equity is broken down and classified into </w:t>
      </w:r>
      <w:r w:rsidR="00393B4B" w:rsidRPr="00D6259F">
        <w:rPr>
          <w:color w:val="000000" w:themeColor="text1"/>
        </w:rPr>
        <w:t>several</w:t>
      </w:r>
      <w:r w:rsidRPr="00D6259F">
        <w:rPr>
          <w:color w:val="000000" w:themeColor="text1"/>
        </w:rPr>
        <w:t xml:space="preserve"> components</w:t>
      </w:r>
      <w:r w:rsidR="00EE016A" w:rsidRPr="00D6259F">
        <w:rPr>
          <w:color w:val="000000" w:themeColor="text1"/>
        </w:rPr>
        <w:t xml:space="preserve"> including</w:t>
      </w:r>
      <w:r w:rsidRPr="00D6259F">
        <w:rPr>
          <w:color w:val="000000" w:themeColor="text1"/>
        </w:rPr>
        <w:t>:</w:t>
      </w:r>
    </w:p>
    <w:p w14:paraId="506B19D1" w14:textId="77777777" w:rsidR="00D422B1" w:rsidRPr="00D6259F" w:rsidRDefault="00D422B1" w:rsidP="00E76A2E">
      <w:pPr>
        <w:pStyle w:val="ListParagraph"/>
        <w:numPr>
          <w:ilvl w:val="0"/>
          <w:numId w:val="20"/>
        </w:numPr>
        <w:rPr>
          <w:color w:val="000000" w:themeColor="text1"/>
        </w:rPr>
      </w:pPr>
      <w:r w:rsidRPr="00D6259F">
        <w:rPr>
          <w:color w:val="000000" w:themeColor="text1"/>
        </w:rPr>
        <w:t xml:space="preserve">accumulated funds and retained </w:t>
      </w:r>
      <w:proofErr w:type="gramStart"/>
      <w:r w:rsidR="00982821" w:rsidRPr="00D6259F">
        <w:rPr>
          <w:color w:val="000000" w:themeColor="text1"/>
        </w:rPr>
        <w:t>earnings</w:t>
      </w:r>
      <w:proofErr w:type="gramEnd"/>
    </w:p>
    <w:p w14:paraId="37CA5047" w14:textId="77777777" w:rsidR="00D422B1" w:rsidRPr="00D6259F" w:rsidRDefault="00D422B1" w:rsidP="00E76A2E">
      <w:pPr>
        <w:pStyle w:val="ListParagraph"/>
        <w:numPr>
          <w:ilvl w:val="0"/>
          <w:numId w:val="20"/>
        </w:numPr>
        <w:rPr>
          <w:color w:val="000000" w:themeColor="text1"/>
        </w:rPr>
      </w:pPr>
      <w:r w:rsidRPr="00D6259F">
        <w:rPr>
          <w:color w:val="000000" w:themeColor="text1"/>
        </w:rPr>
        <w:t>revaluation reserves</w:t>
      </w:r>
    </w:p>
    <w:p w14:paraId="6776761A" w14:textId="77777777" w:rsidR="00D422B1" w:rsidRPr="00D6259F" w:rsidRDefault="00D422B1" w:rsidP="00E76A2E">
      <w:pPr>
        <w:pStyle w:val="ListParagraph"/>
        <w:numPr>
          <w:ilvl w:val="0"/>
          <w:numId w:val="20"/>
        </w:numPr>
        <w:rPr>
          <w:color w:val="000000" w:themeColor="text1"/>
        </w:rPr>
      </w:pPr>
      <w:r w:rsidRPr="00D6259F">
        <w:rPr>
          <w:color w:val="000000" w:themeColor="text1"/>
        </w:rPr>
        <w:t>hedging reserve</w:t>
      </w:r>
    </w:p>
    <w:p w14:paraId="3247D2E3" w14:textId="77777777" w:rsidR="00905B92" w:rsidRPr="00D6259F" w:rsidRDefault="00905B92" w:rsidP="00905B92">
      <w:pPr>
        <w:pStyle w:val="ListParagraph"/>
        <w:numPr>
          <w:ilvl w:val="0"/>
          <w:numId w:val="20"/>
        </w:numPr>
        <w:rPr>
          <w:color w:val="000000" w:themeColor="text1"/>
        </w:rPr>
      </w:pPr>
      <w:r w:rsidRPr="00D6259F">
        <w:rPr>
          <w:color w:val="000000" w:themeColor="text1"/>
        </w:rPr>
        <w:t>fair value through other comprehensive revenue and expense reserve</w:t>
      </w:r>
    </w:p>
    <w:p w14:paraId="4060EF30" w14:textId="10EA83E5" w:rsidR="00EA555A" w:rsidRPr="00D6259F" w:rsidRDefault="00EA555A" w:rsidP="00E76A2E">
      <w:pPr>
        <w:pStyle w:val="ListParagraph"/>
        <w:numPr>
          <w:ilvl w:val="0"/>
          <w:numId w:val="20"/>
        </w:numPr>
        <w:rPr>
          <w:color w:val="000000" w:themeColor="text1"/>
        </w:rPr>
      </w:pPr>
      <w:r w:rsidRPr="00D6259F">
        <w:rPr>
          <w:color w:val="000000" w:themeColor="text1"/>
        </w:rPr>
        <w:t>non-controlling interest</w:t>
      </w:r>
      <w:r w:rsidR="00616FC1" w:rsidRPr="00D6259F">
        <w:rPr>
          <w:color w:val="000000" w:themeColor="text1"/>
        </w:rPr>
        <w:t>; and</w:t>
      </w:r>
    </w:p>
    <w:p w14:paraId="2BFA7967" w14:textId="77777777" w:rsidR="00D422B1" w:rsidRPr="00D6259F" w:rsidRDefault="00D422B1" w:rsidP="00E76A2E">
      <w:pPr>
        <w:pStyle w:val="ListParagraph"/>
        <w:numPr>
          <w:ilvl w:val="0"/>
          <w:numId w:val="20"/>
        </w:numPr>
        <w:rPr>
          <w:color w:val="000000" w:themeColor="text1"/>
        </w:rPr>
      </w:pPr>
      <w:r w:rsidRPr="00D6259F">
        <w:rPr>
          <w:color w:val="000000" w:themeColor="text1"/>
        </w:rPr>
        <w:t>restricted funds.</w:t>
      </w:r>
    </w:p>
    <w:p w14:paraId="43103018" w14:textId="524BB92B" w:rsidR="00D422B1" w:rsidRPr="00D6259F" w:rsidRDefault="00D422B1" w:rsidP="00D70968">
      <w:pPr>
        <w:rPr>
          <w:color w:val="000000" w:themeColor="text1"/>
        </w:rPr>
      </w:pPr>
      <w:r w:rsidRPr="00D6259F">
        <w:rPr>
          <w:color w:val="000000" w:themeColor="text1"/>
        </w:rPr>
        <w:t>Restricted funds are those reserves that are subject to specific conditions of use, whether under statute or accepted as binding by the Council</w:t>
      </w:r>
      <w:r w:rsidR="00D4087D" w:rsidRPr="00D6259F">
        <w:rPr>
          <w:color w:val="000000" w:themeColor="text1"/>
        </w:rPr>
        <w:t xml:space="preserve"> or Group</w:t>
      </w:r>
      <w:r w:rsidRPr="00D6259F">
        <w:rPr>
          <w:color w:val="000000" w:themeColor="text1"/>
        </w:rPr>
        <w:t>, and that may not be revised without reference to the Courts or third parties. Transfers from these reserves may be made only for specified purposes or when certain specified conditions are met.</w:t>
      </w:r>
    </w:p>
    <w:p w14:paraId="5F11F417" w14:textId="77777777" w:rsidR="00D422B1" w:rsidRPr="00D6259F" w:rsidRDefault="00D422B1" w:rsidP="00D70968">
      <w:pPr>
        <w:pStyle w:val="Heading4"/>
      </w:pPr>
      <w:r w:rsidRPr="00D6259F">
        <w:t>Equity management</w:t>
      </w:r>
    </w:p>
    <w:p w14:paraId="4ECDFB5C" w14:textId="38FA4FFD" w:rsidR="00D422B1" w:rsidRPr="00D6259F" w:rsidRDefault="00D422B1" w:rsidP="00D70968">
      <w:pPr>
        <w:rPr>
          <w:color w:val="000000" w:themeColor="text1"/>
        </w:rPr>
      </w:pPr>
      <w:r w:rsidRPr="00D6259F">
        <w:rPr>
          <w:color w:val="000000" w:themeColor="text1"/>
        </w:rPr>
        <w:t xml:space="preserve">The </w:t>
      </w:r>
      <w:r w:rsidR="00F2150F" w:rsidRPr="00D6259F">
        <w:rPr>
          <w:color w:val="000000" w:themeColor="text1"/>
        </w:rPr>
        <w:t>LGA</w:t>
      </w:r>
      <w:r w:rsidRPr="00D6259F">
        <w:rPr>
          <w:color w:val="000000" w:themeColor="text1"/>
        </w:rPr>
        <w:t xml:space="preserve"> </w:t>
      </w:r>
      <w:r w:rsidR="00E20DEB" w:rsidRPr="00D6259F">
        <w:rPr>
          <w:color w:val="000000" w:themeColor="text1"/>
        </w:rPr>
        <w:t>2002 requires</w:t>
      </w:r>
      <w:r w:rsidRPr="00D6259F">
        <w:rPr>
          <w:color w:val="000000" w:themeColor="text1"/>
        </w:rPr>
        <w:t xml:space="preserve"> the Council to manage its revenues, expenses, assets, liabilities, investments, and general financial dealings prudently and in a manner that promotes the current and future interests of the community. Ratepayer funds are largely managed as a by-product of managing revenues, expenses, assets, liabilities, investments, and general financial dealings.</w:t>
      </w:r>
    </w:p>
    <w:p w14:paraId="4F30CC91" w14:textId="29C7ED6C" w:rsidR="00D422B1" w:rsidRPr="00D6259F" w:rsidRDefault="00D422B1" w:rsidP="00D70968">
      <w:pPr>
        <w:rPr>
          <w:color w:val="000000" w:themeColor="text1"/>
        </w:rPr>
      </w:pPr>
      <w:r w:rsidRPr="00D6259F">
        <w:rPr>
          <w:color w:val="000000" w:themeColor="text1"/>
        </w:rPr>
        <w:t xml:space="preserve">The objective of managing these items is to achieve intergenerational equity, which is a principle promoted in the </w:t>
      </w:r>
      <w:r w:rsidR="00E20DEB" w:rsidRPr="00D6259F">
        <w:rPr>
          <w:color w:val="000000" w:themeColor="text1"/>
        </w:rPr>
        <w:t xml:space="preserve">LGA 2002 </w:t>
      </w:r>
      <w:r w:rsidRPr="00D6259F">
        <w:rPr>
          <w:color w:val="000000" w:themeColor="text1"/>
        </w:rPr>
        <w:t xml:space="preserve">and applied by the Council. Intergenerational equity requires today’s ratepayers to meet the costs of utilising the Council’s assets but does not expect them to meet the full cost of long-term assets that will benefit ratepayers in future generations. Additionally, the Council has asset management plans in place for major classes of assets, detailing </w:t>
      </w:r>
      <w:proofErr w:type="gramStart"/>
      <w:r w:rsidRPr="00D6259F">
        <w:rPr>
          <w:color w:val="000000" w:themeColor="text1"/>
        </w:rPr>
        <w:t>renewal</w:t>
      </w:r>
      <w:proofErr w:type="gramEnd"/>
      <w:r w:rsidRPr="00D6259F">
        <w:rPr>
          <w:color w:val="000000" w:themeColor="text1"/>
        </w:rPr>
        <w:t xml:space="preserve"> and programmed maintenance. These plans ensure ratepayers in future generations are not required to meet the costs of deferred renewals and maintenance.</w:t>
      </w:r>
    </w:p>
    <w:p w14:paraId="1E24AFD8" w14:textId="6AE0A277" w:rsidR="00864749" w:rsidRPr="00D6259F" w:rsidRDefault="00D422B1" w:rsidP="00D70968">
      <w:pPr>
        <w:rPr>
          <w:color w:val="000000" w:themeColor="text1"/>
        </w:rPr>
      </w:pPr>
      <w:r w:rsidRPr="00D6259F">
        <w:rPr>
          <w:color w:val="000000" w:themeColor="text1"/>
        </w:rPr>
        <w:t xml:space="preserve">The </w:t>
      </w:r>
      <w:r w:rsidR="00E20DEB" w:rsidRPr="00D6259F">
        <w:rPr>
          <w:color w:val="000000" w:themeColor="text1"/>
        </w:rPr>
        <w:t>LGA 2002</w:t>
      </w:r>
      <w:r w:rsidRPr="00D6259F">
        <w:rPr>
          <w:color w:val="000000" w:themeColor="text1"/>
        </w:rPr>
        <w:t xml:space="preserve"> requires the Council to make adequate and effective provision in its LTP and in its </w:t>
      </w:r>
      <w:r w:rsidR="007717AF" w:rsidRPr="00D6259F">
        <w:rPr>
          <w:color w:val="000000" w:themeColor="text1"/>
        </w:rPr>
        <w:t>AP</w:t>
      </w:r>
      <w:r w:rsidRPr="00D6259F">
        <w:rPr>
          <w:color w:val="000000" w:themeColor="text1"/>
        </w:rPr>
        <w:t xml:space="preserve"> (where applicable) to meet the expenditure needs identified in those plans. The </w:t>
      </w:r>
      <w:r w:rsidR="00E20DEB" w:rsidRPr="00D6259F">
        <w:rPr>
          <w:color w:val="000000" w:themeColor="text1"/>
        </w:rPr>
        <w:t>LGA 2002</w:t>
      </w:r>
      <w:r w:rsidRPr="00D6259F">
        <w:rPr>
          <w:color w:val="000000" w:themeColor="text1"/>
        </w:rPr>
        <w:t xml:space="preserve"> sets out the factors that the Council is required to consider when determining the most appropriate sources of funding for each of its activities. The sources and levels of funding are set out in the funding and financial policies in the Council’s LTP.</w:t>
      </w:r>
      <w:r w:rsidR="00864749" w:rsidRPr="00D6259F">
        <w:rPr>
          <w:color w:val="000000" w:themeColor="text1"/>
        </w:rPr>
        <w:br w:type="page"/>
      </w:r>
    </w:p>
    <w:p w14:paraId="2F2BEB6A" w14:textId="03D4E9EB" w:rsidR="00BD0409" w:rsidRPr="00D6259F" w:rsidRDefault="00D422B1" w:rsidP="00736340">
      <w:pPr>
        <w:rPr>
          <w:color w:val="000000" w:themeColor="text1"/>
        </w:rPr>
      </w:pPr>
      <w:bookmarkStart w:id="176" w:name="_Toc55482673"/>
      <w:bookmarkStart w:id="177" w:name="_Toc179890316"/>
      <w:r w:rsidRPr="00D6259F">
        <w:rPr>
          <w:rStyle w:val="Heading2Char"/>
          <w:sz w:val="48"/>
        </w:rPr>
        <w:lastRenderedPageBreak/>
        <w:t>Note 2</w:t>
      </w:r>
      <w:r w:rsidR="00F63830" w:rsidRPr="00D6259F">
        <w:rPr>
          <w:rStyle w:val="Heading2Char"/>
          <w:sz w:val="48"/>
        </w:rPr>
        <w:t>8</w:t>
      </w:r>
      <w:r w:rsidRPr="00D6259F">
        <w:rPr>
          <w:rStyle w:val="Heading2Char"/>
          <w:sz w:val="48"/>
        </w:rPr>
        <w:t xml:space="preserve">: Revaluation </w:t>
      </w:r>
      <w:proofErr w:type="gramStart"/>
      <w:r w:rsidRPr="00D6259F">
        <w:rPr>
          <w:rStyle w:val="Heading2Char"/>
          <w:sz w:val="48"/>
        </w:rPr>
        <w:t>reserves</w:t>
      </w:r>
      <w:bookmarkEnd w:id="176"/>
      <w:bookmarkEnd w:id="177"/>
      <w:proofErr w:type="gramEnd"/>
      <w:r w:rsidRPr="00D6259F">
        <w:rPr>
          <w:color w:val="000000" w:themeColor="text1"/>
        </w:rPr>
        <w:t xml:space="preserve">  </w:t>
      </w:r>
    </w:p>
    <w:p w14:paraId="2283FDDE" w14:textId="5ABC51DA" w:rsidR="00FE5A2C" w:rsidRPr="00D6259F" w:rsidRDefault="000F20D8" w:rsidP="00736340">
      <w:pPr>
        <w:rPr>
          <w:color w:val="000000" w:themeColor="text1"/>
        </w:rPr>
      </w:pPr>
      <w:r w:rsidRPr="00D6259F">
        <w:rPr>
          <w:color w:val="000000" w:themeColor="text1"/>
        </w:rPr>
        <w:object w:dxaOrig="10650" w:dyaOrig="12525" w14:anchorId="373E2970">
          <v:shape id="_x0000_i1096" type="#_x0000_t75" style="width:479pt;height:626pt" o:ole="">
            <v:imagedata r:id="rId154" o:title=""/>
          </v:shape>
          <o:OLEObject Type="Link" ProgID="Excel.Sheet.12" ShapeID="_x0000_i1096" DrawAspect="Content" r:id="rId155" UpdateMode="Always">
            <o:LinkType>EnhancedMetaFile</o:LinkType>
            <o:LockedField>false</o:LockedField>
          </o:OLEObject>
        </w:object>
      </w:r>
    </w:p>
    <w:p w14:paraId="597851DC" w14:textId="77777777" w:rsidR="00FE5A2C" w:rsidRPr="00D6259F" w:rsidRDefault="00FE5A2C">
      <w:pPr>
        <w:rPr>
          <w:color w:val="000000" w:themeColor="text1"/>
        </w:rPr>
      </w:pPr>
      <w:r w:rsidRPr="00D6259F">
        <w:rPr>
          <w:color w:val="000000" w:themeColor="text1"/>
        </w:rPr>
        <w:br w:type="page"/>
      </w:r>
    </w:p>
    <w:p w14:paraId="7CF6DF7F" w14:textId="099CA526" w:rsidR="00D422B1" w:rsidRPr="00D6259F" w:rsidRDefault="00D422B1" w:rsidP="00736340">
      <w:pPr>
        <w:rPr>
          <w:b/>
          <w:bCs/>
          <w:iCs/>
          <w:color w:val="000000" w:themeColor="text1"/>
        </w:rPr>
      </w:pPr>
      <w:r w:rsidRPr="00D6259F">
        <w:rPr>
          <w:color w:val="000000" w:themeColor="text1"/>
        </w:rPr>
        <w:lastRenderedPageBreak/>
        <w:t>These revaluation reserve</w:t>
      </w:r>
      <w:r w:rsidR="003B10A5" w:rsidRPr="00D6259F">
        <w:rPr>
          <w:color w:val="000000" w:themeColor="text1"/>
        </w:rPr>
        <w:t xml:space="preserve"> movements</w:t>
      </w:r>
      <w:r w:rsidRPr="00D6259F">
        <w:rPr>
          <w:color w:val="000000" w:themeColor="text1"/>
        </w:rPr>
        <w:t xml:space="preserve"> are represented by:</w:t>
      </w:r>
    </w:p>
    <w:p w14:paraId="25E8FC5B" w14:textId="6AC7ECC6" w:rsidR="00D422B1" w:rsidRPr="00D6259F" w:rsidRDefault="000F20D8" w:rsidP="00736340">
      <w:pPr>
        <w:pStyle w:val="Body"/>
        <w:rPr>
          <w:color w:val="000000" w:themeColor="text1"/>
        </w:rPr>
      </w:pPr>
      <w:r w:rsidRPr="00D6259F">
        <w:rPr>
          <w:b/>
          <w:bCs/>
          <w:noProof/>
          <w:color w:val="000000" w:themeColor="text1"/>
          <w:lang w:val="en-US"/>
        </w:rPr>
        <w:object w:dxaOrig="10650" w:dyaOrig="2625" w14:anchorId="4E9B71A2">
          <v:shape id="_x0000_i1097" type="#_x0000_t75" style="width:489pt;height:123pt" o:ole="">
            <v:imagedata r:id="rId156" o:title=""/>
          </v:shape>
          <o:OLEObject Type="Link" ProgID="Excel.Sheet.12" ShapeID="_x0000_i1097" DrawAspect="Content" r:id="rId157" UpdateMode="Always">
            <o:LinkType>EnhancedMetaFile</o:LinkType>
            <o:LockedField>false</o:LockedField>
          </o:OLEObject>
        </w:object>
      </w:r>
    </w:p>
    <w:p w14:paraId="7625FFC1" w14:textId="77777777" w:rsidR="00687A45" w:rsidRPr="00D6259F" w:rsidRDefault="00687A45" w:rsidP="00736340">
      <w:pPr>
        <w:pStyle w:val="Body"/>
        <w:rPr>
          <w:color w:val="000000" w:themeColor="text1"/>
        </w:rPr>
      </w:pPr>
    </w:p>
    <w:p w14:paraId="2AD18102" w14:textId="4FCC1372" w:rsidR="00D422B1" w:rsidRPr="00D6259F" w:rsidRDefault="00D422B1" w:rsidP="00736340">
      <w:pPr>
        <w:rPr>
          <w:color w:val="000000" w:themeColor="text1"/>
        </w:rPr>
      </w:pPr>
      <w:r w:rsidRPr="00D6259F">
        <w:rPr>
          <w:color w:val="000000" w:themeColor="text1"/>
        </w:rPr>
        <w:t xml:space="preserve">The revaluation reserves are used to record accumulated increases and decreases in the fair value of </w:t>
      </w:r>
      <w:r w:rsidR="001877CF" w:rsidRPr="00D6259F">
        <w:rPr>
          <w:color w:val="000000" w:themeColor="text1"/>
        </w:rPr>
        <w:t>the relevant</w:t>
      </w:r>
      <w:r w:rsidRPr="00D6259F">
        <w:rPr>
          <w:color w:val="000000" w:themeColor="text1"/>
        </w:rPr>
        <w:t xml:space="preserve"> asset </w:t>
      </w:r>
      <w:r w:rsidR="003B10A5" w:rsidRPr="00D6259F">
        <w:rPr>
          <w:color w:val="000000" w:themeColor="text1"/>
        </w:rPr>
        <w:t>classes.</w:t>
      </w:r>
    </w:p>
    <w:p w14:paraId="5A0F7974" w14:textId="6295F8E7" w:rsidR="00D422B1" w:rsidRPr="00D6259F" w:rsidRDefault="00D422B1" w:rsidP="00736340">
      <w:pPr>
        <w:rPr>
          <w:color w:val="000000" w:themeColor="text1"/>
        </w:rPr>
      </w:pPr>
      <w:r w:rsidRPr="00D6259F">
        <w:rPr>
          <w:color w:val="000000" w:themeColor="text1"/>
        </w:rPr>
        <w:t xml:space="preserve">Revaluation movements are non-cash in nature and represent the restating of the Council’s assets, subject to revaluation, into current dollar values after </w:t>
      </w:r>
      <w:r w:rsidR="00503B3D" w:rsidRPr="00D6259F">
        <w:rPr>
          <w:color w:val="000000" w:themeColor="text1"/>
        </w:rPr>
        <w:t>considering</w:t>
      </w:r>
      <w:r w:rsidRPr="00D6259F">
        <w:rPr>
          <w:color w:val="000000" w:themeColor="text1"/>
        </w:rPr>
        <w:t xml:space="preserve"> the condition and remaining </w:t>
      </w:r>
      <w:r w:rsidR="003F541F" w:rsidRPr="00D6259F">
        <w:rPr>
          <w:color w:val="000000" w:themeColor="text1"/>
        </w:rPr>
        <w:t xml:space="preserve">useful </w:t>
      </w:r>
      <w:r w:rsidRPr="00D6259F">
        <w:rPr>
          <w:color w:val="000000" w:themeColor="text1"/>
        </w:rPr>
        <w:t>lives of the assets.</w:t>
      </w:r>
    </w:p>
    <w:p w14:paraId="1EB3375A" w14:textId="77777777" w:rsidR="00D422B1" w:rsidRPr="00D6259F" w:rsidRDefault="00D422B1" w:rsidP="00736340">
      <w:pPr>
        <w:pStyle w:val="Heading3"/>
      </w:pPr>
      <w:bookmarkStart w:id="178" w:name="_Toc121217163"/>
      <w:r w:rsidRPr="00D6259F">
        <w:t>Relevant significant accounting policies</w:t>
      </w:r>
      <w:bookmarkEnd w:id="178"/>
    </w:p>
    <w:p w14:paraId="5C5F33DD" w14:textId="03F4E6C9" w:rsidR="00D422B1" w:rsidRPr="00D6259F" w:rsidRDefault="00D422B1" w:rsidP="00736340">
      <w:pPr>
        <w:rPr>
          <w:color w:val="000000" w:themeColor="text1"/>
        </w:rPr>
      </w:pPr>
      <w:r w:rsidRPr="00D6259F">
        <w:rPr>
          <w:color w:val="000000" w:themeColor="text1"/>
        </w:rPr>
        <w:t>The result of any revaluation of the</w:t>
      </w:r>
      <w:r w:rsidR="006020F7" w:rsidRPr="00D6259F">
        <w:rPr>
          <w:color w:val="000000" w:themeColor="text1"/>
        </w:rPr>
        <w:t xml:space="preserve"> Group</w:t>
      </w:r>
      <w:r w:rsidRPr="00D6259F">
        <w:rPr>
          <w:color w:val="000000" w:themeColor="text1"/>
        </w:rPr>
        <w:t xml:space="preserve">’s property, plant and equipment is recognised within other comprehensive revenue and expense and taken to the asset revaluation reserve. Where this results in a debit balance in the reserve for a class of property, plant and equipment, the balance is included in the surplus or deficit. Any subsequent increase on revaluation that offsets a previous decrease in value recognised within </w:t>
      </w:r>
      <w:r w:rsidR="00EC6D66" w:rsidRPr="00D6259F">
        <w:rPr>
          <w:color w:val="000000" w:themeColor="text1"/>
        </w:rPr>
        <w:t xml:space="preserve">the </w:t>
      </w:r>
      <w:r w:rsidRPr="00D6259F">
        <w:rPr>
          <w:color w:val="000000" w:themeColor="text1"/>
        </w:rPr>
        <w:t xml:space="preserve">surplus or deficit will be recognised firstly, within </w:t>
      </w:r>
      <w:r w:rsidR="00EC6D66" w:rsidRPr="00D6259F">
        <w:rPr>
          <w:color w:val="000000" w:themeColor="text1"/>
        </w:rPr>
        <w:t xml:space="preserve">the </w:t>
      </w:r>
      <w:r w:rsidRPr="00D6259F">
        <w:rPr>
          <w:color w:val="000000" w:themeColor="text1"/>
        </w:rPr>
        <w:t xml:space="preserve">surplus or deficit up to the amount previously expensed, and with any remaining increase recognised within other comprehensive revenue and expense and in the revaluation reserve for that class of property, </w:t>
      </w:r>
      <w:proofErr w:type="gramStart"/>
      <w:r w:rsidRPr="00D6259F">
        <w:rPr>
          <w:color w:val="000000" w:themeColor="text1"/>
        </w:rPr>
        <w:t>plant</w:t>
      </w:r>
      <w:proofErr w:type="gramEnd"/>
      <w:r w:rsidRPr="00D6259F">
        <w:rPr>
          <w:color w:val="000000" w:themeColor="text1"/>
        </w:rPr>
        <w:t xml:space="preserve"> and equipment.</w:t>
      </w:r>
    </w:p>
    <w:p w14:paraId="4B5579A7" w14:textId="77777777" w:rsidR="00D422B1" w:rsidRPr="00D6259F" w:rsidRDefault="00D422B1" w:rsidP="00736340">
      <w:pPr>
        <w:rPr>
          <w:color w:val="000000" w:themeColor="text1"/>
        </w:rPr>
      </w:pPr>
      <w:r w:rsidRPr="00D6259F">
        <w:rPr>
          <w:color w:val="000000" w:themeColor="text1"/>
        </w:rPr>
        <w:t>Any impairment in a revalued class of asset is recognised within other comprehensive revenue and expense and taken to the asset revaluation reserve.</w:t>
      </w:r>
    </w:p>
    <w:p w14:paraId="2928E9BD" w14:textId="77777777" w:rsidR="00D422B1" w:rsidRPr="00D6259F" w:rsidRDefault="00D422B1" w:rsidP="00736340">
      <w:pPr>
        <w:rPr>
          <w:color w:val="000000" w:themeColor="text1"/>
        </w:rPr>
      </w:pPr>
      <w:r w:rsidRPr="00D6259F">
        <w:rPr>
          <w:color w:val="000000" w:themeColor="text1"/>
        </w:rPr>
        <w:t>Accumulated depreciation at the revaluation date is eliminated so that the carrying amount after revaluation equals the revalued amount.</w:t>
      </w:r>
    </w:p>
    <w:p w14:paraId="219BCAFC" w14:textId="622080DE" w:rsidR="00D422B1" w:rsidRPr="00D6259F" w:rsidRDefault="00D422B1" w:rsidP="00736340">
      <w:pPr>
        <w:rPr>
          <w:color w:val="000000" w:themeColor="text1"/>
        </w:rPr>
      </w:pPr>
      <w:r w:rsidRPr="00D6259F">
        <w:rPr>
          <w:color w:val="000000" w:themeColor="text1"/>
        </w:rPr>
        <w:t xml:space="preserve">While assumptions are used in all revaluations, the most significant of these are in infrastructure. For example, where stormwater, wastewater and water supply pipes are underground, the physical deterioration and condition of </w:t>
      </w:r>
      <w:r w:rsidR="00F04DDD" w:rsidRPr="00D6259F">
        <w:rPr>
          <w:color w:val="000000" w:themeColor="text1"/>
        </w:rPr>
        <w:t xml:space="preserve">the </w:t>
      </w:r>
      <w:r w:rsidRPr="00D6259F">
        <w:rPr>
          <w:color w:val="000000" w:themeColor="text1"/>
        </w:rPr>
        <w:t xml:space="preserve">assets </w:t>
      </w:r>
      <w:r w:rsidR="00F04DDD" w:rsidRPr="00D6259F">
        <w:rPr>
          <w:color w:val="000000" w:themeColor="text1"/>
        </w:rPr>
        <w:t xml:space="preserve">is </w:t>
      </w:r>
      <w:r w:rsidRPr="00D6259F">
        <w:rPr>
          <w:color w:val="000000" w:themeColor="text1"/>
        </w:rPr>
        <w:t xml:space="preserve">not visible and must therefore be estimated. Any revaluation risk is minimised by performing a combination of physical inspections and condition modelling </w:t>
      </w:r>
      <w:r w:rsidR="000E7DB6" w:rsidRPr="00D6259F">
        <w:rPr>
          <w:color w:val="000000" w:themeColor="text1"/>
        </w:rPr>
        <w:t>assessments.</w:t>
      </w:r>
    </w:p>
    <w:p w14:paraId="3C376F7C" w14:textId="77777777" w:rsidR="00DD5683" w:rsidRPr="00D6259F" w:rsidRDefault="00DD5683">
      <w:pPr>
        <w:rPr>
          <w:rFonts w:ascii="Cambria" w:eastAsiaTheme="majorEastAsia" w:hAnsi="Cambria"/>
          <w:b/>
          <w:bCs/>
          <w:color w:val="000000" w:themeColor="text1"/>
          <w:sz w:val="48"/>
          <w:szCs w:val="40"/>
        </w:rPr>
      </w:pPr>
      <w:bookmarkStart w:id="179" w:name="_Toc55482674"/>
      <w:r w:rsidRPr="00D6259F">
        <w:rPr>
          <w:color w:val="000000" w:themeColor="text1"/>
        </w:rPr>
        <w:br w:type="page"/>
      </w:r>
    </w:p>
    <w:p w14:paraId="70C6D86C" w14:textId="4964D475" w:rsidR="00D422B1" w:rsidRPr="00D6259F" w:rsidRDefault="00D422B1" w:rsidP="00736340">
      <w:pPr>
        <w:pStyle w:val="Heading2"/>
      </w:pPr>
      <w:bookmarkStart w:id="180" w:name="_Toc179890317"/>
      <w:r w:rsidRPr="00D6259F">
        <w:lastRenderedPageBreak/>
        <w:t>Note 2</w:t>
      </w:r>
      <w:r w:rsidR="00F63830" w:rsidRPr="00D6259F">
        <w:t>9</w:t>
      </w:r>
      <w:r w:rsidRPr="00D6259F">
        <w:t xml:space="preserve">: Hedging </w:t>
      </w:r>
      <w:proofErr w:type="gramStart"/>
      <w:r w:rsidRPr="00D6259F">
        <w:t>reserve</w:t>
      </w:r>
      <w:bookmarkEnd w:id="179"/>
      <w:bookmarkEnd w:id="180"/>
      <w:proofErr w:type="gramEnd"/>
    </w:p>
    <w:p w14:paraId="17698DE4" w14:textId="2075FEE8" w:rsidR="00D422B1" w:rsidRPr="00D6259F" w:rsidRDefault="000F20D8" w:rsidP="00736340">
      <w:pPr>
        <w:rPr>
          <w:color w:val="000000" w:themeColor="text1"/>
        </w:rPr>
      </w:pPr>
      <w:r w:rsidRPr="00D6259F">
        <w:rPr>
          <w:color w:val="000000" w:themeColor="text1"/>
        </w:rPr>
        <w:object w:dxaOrig="10530" w:dyaOrig="4740" w14:anchorId="51C308DA">
          <v:shape id="_x0000_i1098" type="#_x0000_t75" style="width:487pt;height:239pt" o:ole="">
            <v:imagedata r:id="rId158" o:title=""/>
          </v:shape>
          <o:OLEObject Type="Link" ProgID="Excel.Sheet.12" ShapeID="_x0000_i1098" DrawAspect="Content" r:id="rId159" UpdateMode="Always">
            <o:LinkType>EnhancedMetaFile</o:LinkType>
            <o:LockedField>false</o:LockedField>
          </o:OLEObject>
        </w:object>
      </w:r>
    </w:p>
    <w:p w14:paraId="713166D5" w14:textId="66B8E2A9" w:rsidR="00D422B1" w:rsidRPr="00D6259F" w:rsidRDefault="00A170B3" w:rsidP="00736340">
      <w:pPr>
        <w:rPr>
          <w:color w:val="000000" w:themeColor="text1"/>
        </w:rPr>
      </w:pPr>
      <w:r w:rsidRPr="00D6259F">
        <w:rPr>
          <w:color w:val="000000" w:themeColor="text1"/>
        </w:rPr>
        <w:t>Movements in the</w:t>
      </w:r>
      <w:r w:rsidR="00D422B1" w:rsidRPr="00D6259F">
        <w:rPr>
          <w:color w:val="000000" w:themeColor="text1"/>
        </w:rPr>
        <w:t xml:space="preserve"> hedging reserve show accumulated fair value changes for interest rate swaps which satisfy the criteria for hedge accounting and have operated as effective hedges during the period.</w:t>
      </w:r>
      <w:r w:rsidR="00EC44DC" w:rsidRPr="00D6259F">
        <w:rPr>
          <w:color w:val="000000" w:themeColor="text1"/>
        </w:rPr>
        <w:t xml:space="preserve"> Any ineffective portion of the gain or loss on the hedging instrument is recognised </w:t>
      </w:r>
      <w:r w:rsidR="006835DD" w:rsidRPr="00D6259F">
        <w:rPr>
          <w:color w:val="000000" w:themeColor="text1"/>
        </w:rPr>
        <w:t xml:space="preserve">directly </w:t>
      </w:r>
      <w:r w:rsidR="00EC44DC" w:rsidRPr="00D6259F">
        <w:rPr>
          <w:color w:val="000000" w:themeColor="text1"/>
        </w:rPr>
        <w:t xml:space="preserve">in </w:t>
      </w:r>
      <w:r w:rsidR="007D7117" w:rsidRPr="00D6259F">
        <w:rPr>
          <w:color w:val="000000" w:themeColor="text1"/>
        </w:rPr>
        <w:t xml:space="preserve">the </w:t>
      </w:r>
      <w:r w:rsidR="00EC44DC" w:rsidRPr="00D6259F">
        <w:rPr>
          <w:color w:val="000000" w:themeColor="text1"/>
        </w:rPr>
        <w:t>surplus or deficit</w:t>
      </w:r>
      <w:r w:rsidR="00983406" w:rsidRPr="00D6259F">
        <w:rPr>
          <w:color w:val="000000" w:themeColor="text1"/>
        </w:rPr>
        <w:t xml:space="preserve"> and transfers are made for discontinued hedges</w:t>
      </w:r>
      <w:r w:rsidR="00EC44DC" w:rsidRPr="00D6259F">
        <w:rPr>
          <w:color w:val="000000" w:themeColor="text1"/>
        </w:rPr>
        <w:t xml:space="preserve">. </w:t>
      </w:r>
      <w:r w:rsidR="00D422B1" w:rsidRPr="00D6259F">
        <w:rPr>
          <w:color w:val="000000" w:themeColor="text1"/>
        </w:rPr>
        <w:t xml:space="preserve">The Council uses interest rate swaps to fix interest rates on floating rate debt (floating rate notes and commercial paper) to give it certainty over interest costs.  </w:t>
      </w:r>
    </w:p>
    <w:p w14:paraId="0F42FF6E" w14:textId="00E38DD3" w:rsidR="00D422B1" w:rsidRPr="00D6259F" w:rsidRDefault="00D422B1" w:rsidP="00736340">
      <w:pPr>
        <w:rPr>
          <w:color w:val="000000" w:themeColor="text1"/>
        </w:rPr>
      </w:pPr>
      <w:r w:rsidRPr="00D6259F">
        <w:rPr>
          <w:color w:val="000000" w:themeColor="text1"/>
        </w:rPr>
        <w:t xml:space="preserve">The Council uses hedge accounting to recognise any fair value fluctuations in these swaps through this reserve within equity. Using hedge accounting prevents any significant </w:t>
      </w:r>
      <w:r w:rsidR="00777296" w:rsidRPr="00D6259F">
        <w:rPr>
          <w:color w:val="000000" w:themeColor="text1"/>
        </w:rPr>
        <w:t xml:space="preserve">volatility </w:t>
      </w:r>
      <w:r w:rsidRPr="00D6259F">
        <w:rPr>
          <w:color w:val="000000" w:themeColor="text1"/>
        </w:rPr>
        <w:t>in interest rate</w:t>
      </w:r>
      <w:r w:rsidR="00777296" w:rsidRPr="00D6259F">
        <w:rPr>
          <w:color w:val="000000" w:themeColor="text1"/>
        </w:rPr>
        <w:t>s</w:t>
      </w:r>
      <w:r w:rsidRPr="00D6259F">
        <w:rPr>
          <w:color w:val="000000" w:themeColor="text1"/>
        </w:rPr>
        <w:t xml:space="preserve"> significantly affecting the Council’s ability to meet its balanced budget </w:t>
      </w:r>
      <w:r w:rsidR="000E7DB6" w:rsidRPr="00D6259F">
        <w:rPr>
          <w:color w:val="000000" w:themeColor="text1"/>
        </w:rPr>
        <w:t>requirements.</w:t>
      </w:r>
    </w:p>
    <w:p w14:paraId="184DD0CA" w14:textId="300213DD" w:rsidR="00D422B1" w:rsidRPr="00D6259F" w:rsidRDefault="00D422B1" w:rsidP="00736340">
      <w:pPr>
        <w:rPr>
          <w:color w:val="000000" w:themeColor="text1"/>
        </w:rPr>
      </w:pPr>
      <w:r w:rsidRPr="00D6259F">
        <w:rPr>
          <w:color w:val="000000" w:themeColor="text1"/>
        </w:rPr>
        <w:t>The</w:t>
      </w:r>
      <w:r w:rsidR="006020F7" w:rsidRPr="00D6259F">
        <w:rPr>
          <w:color w:val="000000" w:themeColor="text1"/>
        </w:rPr>
        <w:t xml:space="preserve"> Group</w:t>
      </w:r>
      <w:r w:rsidRPr="00D6259F">
        <w:rPr>
          <w:color w:val="000000" w:themeColor="text1"/>
        </w:rPr>
        <w:t xml:space="preserve"> movement </w:t>
      </w:r>
      <w:r w:rsidR="00A170B3" w:rsidRPr="00D6259F">
        <w:rPr>
          <w:color w:val="000000" w:themeColor="text1"/>
        </w:rPr>
        <w:t>incorporates</w:t>
      </w:r>
      <w:r w:rsidRPr="00D6259F">
        <w:rPr>
          <w:color w:val="000000" w:themeColor="text1"/>
        </w:rPr>
        <w:t xml:space="preserve"> the hedging related to Wellington International Airport Limited</w:t>
      </w:r>
      <w:r w:rsidR="005636AE" w:rsidRPr="00D6259F">
        <w:rPr>
          <w:color w:val="000000" w:themeColor="text1"/>
        </w:rPr>
        <w:t>.</w:t>
      </w:r>
    </w:p>
    <w:p w14:paraId="7C4FA733" w14:textId="77777777" w:rsidR="00D422B1" w:rsidRPr="00D6259F" w:rsidRDefault="00D422B1" w:rsidP="00736340">
      <w:pPr>
        <w:pStyle w:val="Heading2"/>
      </w:pPr>
      <w:bookmarkStart w:id="181" w:name="_Toc55482675"/>
      <w:bookmarkStart w:id="182" w:name="_Toc179890318"/>
      <w:r w:rsidRPr="00D6259F">
        <w:lastRenderedPageBreak/>
        <w:t xml:space="preserve">Note </w:t>
      </w:r>
      <w:r w:rsidR="003753B8" w:rsidRPr="00D6259F">
        <w:t>30</w:t>
      </w:r>
      <w:r w:rsidRPr="00D6259F">
        <w:t xml:space="preserve">: Fair value through other comprehensive revenue and expense </w:t>
      </w:r>
      <w:proofErr w:type="gramStart"/>
      <w:r w:rsidRPr="00D6259F">
        <w:t>reserve</w:t>
      </w:r>
      <w:bookmarkEnd w:id="181"/>
      <w:bookmarkEnd w:id="182"/>
      <w:proofErr w:type="gramEnd"/>
    </w:p>
    <w:p w14:paraId="16CE5D38" w14:textId="44083820" w:rsidR="00D422B1" w:rsidRPr="00D6259F" w:rsidRDefault="000F20D8" w:rsidP="00736340">
      <w:pPr>
        <w:rPr>
          <w:color w:val="000000" w:themeColor="text1"/>
        </w:rPr>
      </w:pPr>
      <w:r w:rsidRPr="00D6259F">
        <w:rPr>
          <w:color w:val="000000" w:themeColor="text1"/>
        </w:rPr>
        <w:object w:dxaOrig="10950" w:dyaOrig="4140" w14:anchorId="060FDC67">
          <v:shape id="_x0000_i1099" type="#_x0000_t75" style="width:495pt;height:209pt" o:ole="">
            <v:imagedata r:id="rId160" o:title=""/>
          </v:shape>
          <o:OLEObject Type="Link" ProgID="Excel.Sheet.12" ShapeID="_x0000_i1099" DrawAspect="Content" r:id="rId161" UpdateMode="Always">
            <o:LinkType>EnhancedMetaFile</o:LinkType>
            <o:LockedField>false</o:LockedField>
          </o:OLEObject>
        </w:object>
      </w:r>
    </w:p>
    <w:p w14:paraId="05DAF368" w14:textId="29148959" w:rsidR="00D422B1" w:rsidRPr="00D6259F" w:rsidRDefault="005636AE" w:rsidP="00736340">
      <w:pPr>
        <w:rPr>
          <w:color w:val="000000" w:themeColor="text1"/>
        </w:rPr>
      </w:pPr>
      <w:r w:rsidRPr="00D6259F">
        <w:rPr>
          <w:color w:val="000000" w:themeColor="text1"/>
        </w:rPr>
        <w:t>For the Council, t</w:t>
      </w:r>
      <w:r w:rsidR="00D422B1" w:rsidRPr="00D6259F">
        <w:rPr>
          <w:color w:val="000000" w:themeColor="text1"/>
        </w:rPr>
        <w:t xml:space="preserve">his reserve reflects the accumulated fair value movement in the Council’s investment in Civic Financial Services Limited and the </w:t>
      </w:r>
      <w:r w:rsidR="00F2150F" w:rsidRPr="00D6259F">
        <w:rPr>
          <w:color w:val="000000" w:themeColor="text1"/>
        </w:rPr>
        <w:t>LGFA.</w:t>
      </w:r>
    </w:p>
    <w:p w14:paraId="3BB889E4" w14:textId="6E4AA13C" w:rsidR="00864749" w:rsidRPr="00D6259F" w:rsidRDefault="00D422B1" w:rsidP="00736340">
      <w:pPr>
        <w:rPr>
          <w:color w:val="000000" w:themeColor="text1"/>
        </w:rPr>
      </w:pPr>
      <w:r w:rsidRPr="00D6259F">
        <w:rPr>
          <w:color w:val="000000" w:themeColor="text1"/>
        </w:rPr>
        <w:t>In the</w:t>
      </w:r>
      <w:r w:rsidR="006020F7" w:rsidRPr="00D6259F">
        <w:rPr>
          <w:color w:val="000000" w:themeColor="text1"/>
        </w:rPr>
        <w:t xml:space="preserve"> Group</w:t>
      </w:r>
      <w:r w:rsidRPr="00D6259F">
        <w:rPr>
          <w:color w:val="000000" w:themeColor="text1"/>
        </w:rPr>
        <w:t xml:space="preserve">, Creative HQ, a controlled entity of WREDA, has small shareholdings in </w:t>
      </w:r>
      <w:r w:rsidR="000E0B1D" w:rsidRPr="00D6259F">
        <w:rPr>
          <w:color w:val="000000" w:themeColor="text1"/>
        </w:rPr>
        <w:t xml:space="preserve">various </w:t>
      </w:r>
      <w:r w:rsidRPr="00D6259F">
        <w:rPr>
          <w:color w:val="000000" w:themeColor="text1"/>
        </w:rPr>
        <w:t>incubator and accelerator programme companies. These shareholdings are fair valued annually and any movement is held within this reserve until the disposal of the shares.</w:t>
      </w:r>
    </w:p>
    <w:p w14:paraId="12F4F18A" w14:textId="59E2EDC8" w:rsidR="00DB4F2B" w:rsidRPr="00D6259F" w:rsidRDefault="00DB4F2B" w:rsidP="00DB4F2B">
      <w:pPr>
        <w:rPr>
          <w:color w:val="000000" w:themeColor="text1"/>
        </w:rPr>
      </w:pPr>
      <w:bookmarkStart w:id="183" w:name="_Toc55482676"/>
    </w:p>
    <w:p w14:paraId="318EB0A4" w14:textId="44BBD779" w:rsidR="00D422B1" w:rsidRPr="00D6259F" w:rsidRDefault="00D422B1" w:rsidP="00736340">
      <w:pPr>
        <w:pStyle w:val="Heading2"/>
      </w:pPr>
      <w:bookmarkStart w:id="184" w:name="_Toc179890319"/>
      <w:r w:rsidRPr="00D6259F">
        <w:t>Note 3</w:t>
      </w:r>
      <w:r w:rsidR="00FE1E30" w:rsidRPr="00D6259F">
        <w:t>1</w:t>
      </w:r>
      <w:r w:rsidRPr="00D6259F">
        <w:t xml:space="preserve">: Restricted </w:t>
      </w:r>
      <w:proofErr w:type="gramStart"/>
      <w:r w:rsidRPr="00D6259F">
        <w:t>funds</w:t>
      </w:r>
      <w:bookmarkEnd w:id="183"/>
      <w:bookmarkEnd w:id="184"/>
      <w:proofErr w:type="gramEnd"/>
    </w:p>
    <w:p w14:paraId="4A1B61FD" w14:textId="4CA92240" w:rsidR="00D422B1" w:rsidRPr="00D6259F" w:rsidRDefault="00D422B1" w:rsidP="00736340">
      <w:pPr>
        <w:rPr>
          <w:color w:val="000000" w:themeColor="text1"/>
        </w:rPr>
      </w:pPr>
      <w:r w:rsidRPr="00D6259F">
        <w:rPr>
          <w:color w:val="000000" w:themeColor="text1"/>
        </w:rPr>
        <w:t xml:space="preserve">Restricted funds are comprised of special reserves and funds that </w:t>
      </w:r>
      <w:r w:rsidR="00083D50" w:rsidRPr="00D6259F">
        <w:rPr>
          <w:color w:val="000000" w:themeColor="text1"/>
        </w:rPr>
        <w:t>the</w:t>
      </w:r>
      <w:r w:rsidR="008D2433" w:rsidRPr="00D6259F">
        <w:rPr>
          <w:color w:val="000000" w:themeColor="text1"/>
        </w:rPr>
        <w:t xml:space="preserve"> </w:t>
      </w:r>
      <w:r w:rsidRPr="00D6259F">
        <w:rPr>
          <w:color w:val="000000" w:themeColor="text1"/>
        </w:rPr>
        <w:t>Council holds for specific purposes</w:t>
      </w:r>
      <w:r w:rsidR="009554EF" w:rsidRPr="00D6259F">
        <w:rPr>
          <w:color w:val="000000" w:themeColor="text1"/>
        </w:rPr>
        <w:t>,</w:t>
      </w:r>
      <w:r w:rsidRPr="00D6259F">
        <w:rPr>
          <w:color w:val="000000" w:themeColor="text1"/>
        </w:rPr>
        <w:t xml:space="preserve"> and trusts and bequests that have been bestowed upon the Council for the benefit of all Wellingtonians.</w:t>
      </w:r>
      <w:r w:rsidR="00542424" w:rsidRPr="00D6259F">
        <w:rPr>
          <w:color w:val="000000" w:themeColor="text1"/>
        </w:rPr>
        <w:t xml:space="preserve"> </w:t>
      </w:r>
    </w:p>
    <w:p w14:paraId="4D18206E" w14:textId="189DB7E8" w:rsidR="005101ED" w:rsidRPr="00D6259F" w:rsidRDefault="000F20D8" w:rsidP="00736340">
      <w:pPr>
        <w:rPr>
          <w:color w:val="000000" w:themeColor="text1"/>
        </w:rPr>
      </w:pPr>
      <w:r w:rsidRPr="00D6259F">
        <w:rPr>
          <w:color w:val="000000" w:themeColor="text1"/>
        </w:rPr>
        <w:object w:dxaOrig="10290" w:dyaOrig="2430" w14:anchorId="1799A4AF">
          <v:shape id="_x0000_i1100" type="#_x0000_t75" style="width:509pt;height:124pt" o:ole="">
            <v:imagedata r:id="rId162" o:title=""/>
          </v:shape>
          <o:OLEObject Type="Link" ProgID="Excel.Sheet.12" ShapeID="_x0000_i1100" DrawAspect="Content" r:id="rId163" UpdateMode="Always">
            <o:LinkType>EnhancedMetaFile</o:LinkType>
            <o:LockedField>false</o:LockedField>
          </o:OLEObject>
        </w:object>
      </w:r>
    </w:p>
    <w:p w14:paraId="25B3BD74" w14:textId="1DC5FBBE" w:rsidR="00CB62CD" w:rsidRPr="00D6259F" w:rsidRDefault="00CB62CD" w:rsidP="00CB62CD">
      <w:pPr>
        <w:pStyle w:val="Heading4"/>
        <w:rPr>
          <w:rFonts w:ascii="Cambria" w:eastAsiaTheme="minorEastAsia" w:hAnsi="Cambria"/>
          <w:i w:val="0"/>
          <w:iCs w:val="0"/>
          <w:sz w:val="40"/>
          <w:szCs w:val="40"/>
        </w:rPr>
      </w:pPr>
      <w:r w:rsidRPr="00D6259F">
        <w:rPr>
          <w:rFonts w:ascii="Cambria" w:eastAsiaTheme="minorEastAsia" w:hAnsi="Cambria"/>
          <w:i w:val="0"/>
          <w:iCs w:val="0"/>
          <w:sz w:val="40"/>
          <w:szCs w:val="40"/>
        </w:rPr>
        <w:lastRenderedPageBreak/>
        <w:t>Special reserves and funds</w:t>
      </w:r>
    </w:p>
    <w:p w14:paraId="178AFBA8" w14:textId="1427ADF0" w:rsidR="00D422B1" w:rsidRPr="00D6259F" w:rsidRDefault="000F20D8" w:rsidP="00736340">
      <w:pPr>
        <w:rPr>
          <w:color w:val="000000" w:themeColor="text1"/>
        </w:rPr>
      </w:pPr>
      <w:r w:rsidRPr="00D6259F">
        <w:rPr>
          <w:b/>
          <w:bCs/>
          <w:noProof/>
          <w:color w:val="000000" w:themeColor="text1"/>
          <w:lang w:val="en-US"/>
        </w:rPr>
        <w:object w:dxaOrig="10290" w:dyaOrig="4230" w14:anchorId="4E0780C9">
          <v:shape id="_x0000_i1101" type="#_x0000_t75" style="width:470pt;height:226pt" o:ole="">
            <v:imagedata r:id="rId164" o:title=""/>
          </v:shape>
          <o:OLEObject Type="Link" ProgID="Excel.Sheet.12" ShapeID="_x0000_i1101" DrawAspect="Content" r:id="rId165" UpdateMode="Always">
            <o:LinkType>EnhancedMetaFile</o:LinkType>
            <o:LockedField>false</o:LockedField>
          </o:OLEObject>
        </w:object>
      </w:r>
    </w:p>
    <w:p w14:paraId="7611C30E" w14:textId="300781B1" w:rsidR="00D422B1" w:rsidRPr="00D6259F" w:rsidRDefault="00D422B1" w:rsidP="00F328FC">
      <w:pPr>
        <w:pStyle w:val="Heading4"/>
      </w:pPr>
      <w:bookmarkStart w:id="185" w:name="_Toc121217167"/>
      <w:bookmarkStart w:id="186" w:name="_Hlk95476150"/>
      <w:r w:rsidRPr="00D6259F">
        <w:t>Nature and purpose</w:t>
      </w:r>
      <w:bookmarkEnd w:id="185"/>
    </w:p>
    <w:p w14:paraId="2274F190" w14:textId="77777777" w:rsidR="008C603D" w:rsidRPr="00D6259F" w:rsidRDefault="00D422B1" w:rsidP="00736340">
      <w:pPr>
        <w:pStyle w:val="Heading4"/>
        <w:rPr>
          <w:bCs w:val="0"/>
          <w:sz w:val="26"/>
          <w:szCs w:val="26"/>
          <w:lang w:eastAsia="en-GB"/>
        </w:rPr>
      </w:pPr>
      <w:bookmarkStart w:id="187" w:name="_Hlk51755047"/>
      <w:r w:rsidRPr="00D6259F">
        <w:rPr>
          <w:bCs w:val="0"/>
          <w:sz w:val="26"/>
          <w:szCs w:val="26"/>
          <w:lang w:eastAsia="en-GB"/>
        </w:rPr>
        <w:t>City Growth fund</w:t>
      </w:r>
      <w:r w:rsidR="00A73FC4" w:rsidRPr="00D6259F">
        <w:rPr>
          <w:bCs w:val="0"/>
          <w:sz w:val="26"/>
          <w:szCs w:val="26"/>
          <w:lang w:eastAsia="en-GB"/>
        </w:rPr>
        <w:t xml:space="preserve"> </w:t>
      </w:r>
    </w:p>
    <w:p w14:paraId="7B63F65A" w14:textId="0EB8EC6C" w:rsidR="00D422B1" w:rsidRPr="00D6259F" w:rsidRDefault="00D422B1" w:rsidP="00736340">
      <w:pPr>
        <w:rPr>
          <w:color w:val="000000" w:themeColor="text1"/>
        </w:rPr>
      </w:pPr>
      <w:r w:rsidRPr="00D6259F">
        <w:rPr>
          <w:color w:val="000000" w:themeColor="text1"/>
        </w:rPr>
        <w:t xml:space="preserve">The City </w:t>
      </w:r>
      <w:r w:rsidR="00222389" w:rsidRPr="00D6259F">
        <w:rPr>
          <w:color w:val="000000" w:themeColor="text1"/>
        </w:rPr>
        <w:t>Growth fund</w:t>
      </w:r>
      <w:r w:rsidRPr="00D6259F">
        <w:rPr>
          <w:color w:val="000000" w:themeColor="text1"/>
        </w:rPr>
        <w:t xml:space="preserve"> </w:t>
      </w:r>
      <w:r w:rsidR="00387C65" w:rsidRPr="00D6259F">
        <w:rPr>
          <w:color w:val="000000" w:themeColor="text1"/>
        </w:rPr>
        <w:t xml:space="preserve">is used for </w:t>
      </w:r>
      <w:r w:rsidR="00FF0585" w:rsidRPr="00D6259F">
        <w:rPr>
          <w:color w:val="000000" w:themeColor="text1"/>
        </w:rPr>
        <w:t xml:space="preserve">economic development growth within </w:t>
      </w:r>
      <w:r w:rsidR="00A61D35" w:rsidRPr="00D6259F">
        <w:rPr>
          <w:color w:val="000000" w:themeColor="text1"/>
        </w:rPr>
        <w:t xml:space="preserve">Wellington </w:t>
      </w:r>
      <w:r w:rsidR="001877CF" w:rsidRPr="00D6259F">
        <w:rPr>
          <w:color w:val="000000" w:themeColor="text1"/>
        </w:rPr>
        <w:t>c</w:t>
      </w:r>
      <w:r w:rsidR="00FF0585" w:rsidRPr="00D6259F">
        <w:rPr>
          <w:color w:val="000000" w:themeColor="text1"/>
        </w:rPr>
        <w:t xml:space="preserve">ity. </w:t>
      </w:r>
    </w:p>
    <w:bookmarkEnd w:id="186"/>
    <w:bookmarkEnd w:id="187"/>
    <w:p w14:paraId="44EEE11E" w14:textId="77777777" w:rsidR="00D422B1" w:rsidRPr="00D6259F" w:rsidRDefault="00D422B1" w:rsidP="00736340">
      <w:pPr>
        <w:pStyle w:val="Heading4"/>
        <w:rPr>
          <w:bCs w:val="0"/>
          <w:sz w:val="26"/>
          <w:szCs w:val="26"/>
          <w:lang w:eastAsia="en-GB"/>
        </w:rPr>
      </w:pPr>
      <w:r w:rsidRPr="00D6259F">
        <w:rPr>
          <w:bCs w:val="0"/>
          <w:sz w:val="26"/>
          <w:szCs w:val="26"/>
          <w:lang w:eastAsia="en-GB"/>
        </w:rPr>
        <w:t xml:space="preserve">Reserve purchase and development </w:t>
      </w:r>
      <w:proofErr w:type="gramStart"/>
      <w:r w:rsidRPr="00D6259F">
        <w:rPr>
          <w:bCs w:val="0"/>
          <w:sz w:val="26"/>
          <w:szCs w:val="26"/>
          <w:lang w:eastAsia="en-GB"/>
        </w:rPr>
        <w:t>fund</w:t>
      </w:r>
      <w:proofErr w:type="gramEnd"/>
    </w:p>
    <w:p w14:paraId="1B3F10A5" w14:textId="27F304CA" w:rsidR="00D422B1" w:rsidRPr="00D6259F" w:rsidRDefault="00D422B1" w:rsidP="00736340">
      <w:pPr>
        <w:rPr>
          <w:color w:val="000000" w:themeColor="text1"/>
        </w:rPr>
      </w:pPr>
      <w:r w:rsidRPr="00D6259F">
        <w:rPr>
          <w:color w:val="000000" w:themeColor="text1"/>
        </w:rPr>
        <w:t xml:space="preserve">This fund is used to purchase and develop </w:t>
      </w:r>
      <w:r w:rsidR="00FF0585" w:rsidRPr="00D6259F">
        <w:rPr>
          <w:color w:val="000000" w:themeColor="text1"/>
        </w:rPr>
        <w:t xml:space="preserve">the </w:t>
      </w:r>
      <w:proofErr w:type="spellStart"/>
      <w:r w:rsidR="00FF0585" w:rsidRPr="00D6259F">
        <w:rPr>
          <w:color w:val="000000" w:themeColor="text1"/>
        </w:rPr>
        <w:t>Taputeranga</w:t>
      </w:r>
      <w:proofErr w:type="spellEnd"/>
      <w:r w:rsidR="00FF0585" w:rsidRPr="00D6259F">
        <w:rPr>
          <w:color w:val="000000" w:themeColor="text1"/>
        </w:rPr>
        <w:t xml:space="preserve"> reserve area around </w:t>
      </w:r>
      <w:r w:rsidR="00A61D35" w:rsidRPr="00D6259F">
        <w:rPr>
          <w:color w:val="000000" w:themeColor="text1"/>
        </w:rPr>
        <w:t>I</w:t>
      </w:r>
      <w:r w:rsidR="00FF0585" w:rsidRPr="00D6259F">
        <w:rPr>
          <w:color w:val="000000" w:themeColor="text1"/>
        </w:rPr>
        <w:t xml:space="preserve">sland </w:t>
      </w:r>
      <w:r w:rsidR="00A61D35" w:rsidRPr="00D6259F">
        <w:rPr>
          <w:color w:val="000000" w:themeColor="text1"/>
        </w:rPr>
        <w:t>B</w:t>
      </w:r>
      <w:r w:rsidR="00FF0585" w:rsidRPr="00D6259F">
        <w:rPr>
          <w:color w:val="000000" w:themeColor="text1"/>
        </w:rPr>
        <w:t>ay.</w:t>
      </w:r>
    </w:p>
    <w:p w14:paraId="5D6E4E20" w14:textId="77777777" w:rsidR="00D422B1" w:rsidRPr="00D6259F" w:rsidRDefault="00D422B1" w:rsidP="00736340">
      <w:pPr>
        <w:pStyle w:val="Heading4"/>
        <w:rPr>
          <w:bCs w:val="0"/>
          <w:sz w:val="26"/>
          <w:szCs w:val="26"/>
          <w:lang w:eastAsia="en-GB"/>
        </w:rPr>
      </w:pPr>
      <w:r w:rsidRPr="00D6259F">
        <w:rPr>
          <w:bCs w:val="0"/>
          <w:sz w:val="26"/>
          <w:szCs w:val="26"/>
          <w:lang w:eastAsia="en-GB"/>
        </w:rPr>
        <w:t>Insurance reserve</w:t>
      </w:r>
    </w:p>
    <w:p w14:paraId="6BB806B3" w14:textId="630EDAF6" w:rsidR="00D422B1" w:rsidRPr="00D6259F" w:rsidRDefault="00D422B1" w:rsidP="00736340">
      <w:pPr>
        <w:rPr>
          <w:color w:val="000000" w:themeColor="text1"/>
        </w:rPr>
      </w:pPr>
      <w:r w:rsidRPr="00D6259F">
        <w:rPr>
          <w:color w:val="000000" w:themeColor="text1"/>
        </w:rPr>
        <w:t xml:space="preserve">This reserve allows the Council to meet the cost of claims that fall below deductible limits under </w:t>
      </w:r>
      <w:r w:rsidR="008D2433" w:rsidRPr="00D6259F">
        <w:rPr>
          <w:color w:val="000000" w:themeColor="text1"/>
        </w:rPr>
        <w:t xml:space="preserve">the </w:t>
      </w:r>
      <w:r w:rsidRPr="00D6259F">
        <w:rPr>
          <w:color w:val="000000" w:themeColor="text1"/>
        </w:rPr>
        <w:t xml:space="preserve">Council’s insurance policies. </w:t>
      </w:r>
    </w:p>
    <w:p w14:paraId="0DE60282" w14:textId="77777777" w:rsidR="00D422B1" w:rsidRPr="00D6259F" w:rsidRDefault="00D422B1" w:rsidP="00736340">
      <w:pPr>
        <w:pStyle w:val="Heading4"/>
        <w:rPr>
          <w:bCs w:val="0"/>
          <w:sz w:val="26"/>
          <w:szCs w:val="26"/>
          <w:lang w:eastAsia="en-GB"/>
        </w:rPr>
      </w:pPr>
      <w:r w:rsidRPr="00D6259F">
        <w:rPr>
          <w:bCs w:val="0"/>
          <w:sz w:val="26"/>
          <w:szCs w:val="26"/>
          <w:lang w:eastAsia="en-GB"/>
        </w:rPr>
        <w:t>Controlled entities’ reserve funds</w:t>
      </w:r>
    </w:p>
    <w:p w14:paraId="4BFAE3E8" w14:textId="77777777" w:rsidR="00D422B1" w:rsidRPr="00D6259F" w:rsidRDefault="00D422B1" w:rsidP="00736340">
      <w:pPr>
        <w:rPr>
          <w:color w:val="000000" w:themeColor="text1"/>
        </w:rPr>
      </w:pPr>
      <w:r w:rsidRPr="00D6259F">
        <w:rPr>
          <w:color w:val="000000" w:themeColor="text1"/>
        </w:rPr>
        <w:t>The restricted funds of the controlled entities relate to the Wellington Museums Trust and the Wellington Zoo Trust:</w:t>
      </w:r>
    </w:p>
    <w:p w14:paraId="73061B56" w14:textId="21FC9F9A" w:rsidR="00D422B1" w:rsidRPr="00D6259F" w:rsidRDefault="00D422B1" w:rsidP="00E76A2E">
      <w:pPr>
        <w:pStyle w:val="ListParagraph"/>
        <w:numPr>
          <w:ilvl w:val="0"/>
          <w:numId w:val="21"/>
        </w:numPr>
        <w:rPr>
          <w:color w:val="000000" w:themeColor="text1"/>
        </w:rPr>
      </w:pPr>
      <w:r w:rsidRPr="00D6259F">
        <w:rPr>
          <w:color w:val="000000" w:themeColor="text1"/>
        </w:rPr>
        <w:t xml:space="preserve">The Wellington Museums Trust has </w:t>
      </w:r>
      <w:r w:rsidR="00DE7420" w:rsidRPr="00D6259F">
        <w:rPr>
          <w:color w:val="000000" w:themeColor="text1"/>
        </w:rPr>
        <w:t>six</w:t>
      </w:r>
      <w:r w:rsidRPr="00D6259F">
        <w:rPr>
          <w:color w:val="000000" w:themeColor="text1"/>
        </w:rPr>
        <w:t xml:space="preserve"> </w:t>
      </w:r>
      <w:r w:rsidR="003403AC" w:rsidRPr="00D6259F">
        <w:rPr>
          <w:color w:val="000000" w:themeColor="text1"/>
        </w:rPr>
        <w:t>reserves:</w:t>
      </w:r>
      <w:r w:rsidRPr="00D6259F">
        <w:rPr>
          <w:color w:val="000000" w:themeColor="text1"/>
        </w:rPr>
        <w:t xml:space="preserve"> Capital reserve, Capital E </w:t>
      </w:r>
      <w:r w:rsidR="000E0B1D" w:rsidRPr="00D6259F">
        <w:rPr>
          <w:color w:val="000000" w:themeColor="text1"/>
        </w:rPr>
        <w:t>reserve, Nairn</w:t>
      </w:r>
      <w:r w:rsidRPr="00D6259F">
        <w:rPr>
          <w:color w:val="000000" w:themeColor="text1"/>
        </w:rPr>
        <w:t xml:space="preserve"> Street Cottage collection reserve, Wellington Museums collection reserve, City Gallery reserve and Wellington Museum Plimmer reserve</w:t>
      </w:r>
      <w:r w:rsidR="009A7AA9" w:rsidRPr="00D6259F">
        <w:rPr>
          <w:color w:val="000000" w:themeColor="text1"/>
        </w:rPr>
        <w:t xml:space="preserve">. </w:t>
      </w:r>
      <w:r w:rsidRPr="00D6259F">
        <w:rPr>
          <w:color w:val="000000" w:themeColor="text1"/>
        </w:rPr>
        <w:t>The two collection reserves are for the purpose of future museum acquisitions.</w:t>
      </w:r>
    </w:p>
    <w:p w14:paraId="4C53AD33" w14:textId="51D88434" w:rsidR="00D422B1" w:rsidRPr="00D6259F" w:rsidRDefault="00D422B1" w:rsidP="00E76A2E">
      <w:pPr>
        <w:pStyle w:val="ListParagraph"/>
        <w:numPr>
          <w:ilvl w:val="0"/>
          <w:numId w:val="21"/>
        </w:numPr>
        <w:rPr>
          <w:color w:val="000000" w:themeColor="text1"/>
        </w:rPr>
      </w:pPr>
      <w:r w:rsidRPr="00D6259F">
        <w:rPr>
          <w:color w:val="000000" w:themeColor="text1"/>
        </w:rPr>
        <w:t>The Wellington Zoo Trust has two reserves; Animal Transfer Fund specifically for the transfer of animals and Conservation Fund to specifically support field conservation.</w:t>
      </w:r>
    </w:p>
    <w:p w14:paraId="41285A37" w14:textId="00B05DAE" w:rsidR="00D422B1" w:rsidRPr="00D6259F" w:rsidRDefault="00F328FC" w:rsidP="00736340">
      <w:pPr>
        <w:pStyle w:val="Heading3"/>
      </w:pPr>
      <w:bookmarkStart w:id="188" w:name="_Toc121217168"/>
      <w:r w:rsidRPr="00D6259F">
        <w:t>Trusts</w:t>
      </w:r>
      <w:r w:rsidR="00D422B1" w:rsidRPr="00D6259F">
        <w:t xml:space="preserve"> and bequests</w:t>
      </w:r>
      <w:bookmarkEnd w:id="188"/>
    </w:p>
    <w:p w14:paraId="4419BDE8" w14:textId="77777777" w:rsidR="00D422B1" w:rsidRPr="00D6259F" w:rsidRDefault="00D422B1" w:rsidP="00736340">
      <w:pPr>
        <w:pStyle w:val="Heading4"/>
      </w:pPr>
      <w:r w:rsidRPr="00D6259F">
        <w:t>Additional funds and utilisation</w:t>
      </w:r>
    </w:p>
    <w:p w14:paraId="2A974386" w14:textId="60C568D4" w:rsidR="00D422B1" w:rsidRPr="00D6259F" w:rsidRDefault="00D422B1" w:rsidP="00736340">
      <w:pPr>
        <w:rPr>
          <w:color w:val="000000" w:themeColor="text1"/>
        </w:rPr>
      </w:pPr>
      <w:r w:rsidRPr="00D6259F">
        <w:rPr>
          <w:color w:val="000000" w:themeColor="text1"/>
        </w:rPr>
        <w:t>Trusts and bequests receiving additional funds during the year were only those where interest totalling $</w:t>
      </w:r>
      <w:r w:rsidR="000875A9" w:rsidRPr="00D6259F">
        <w:rPr>
          <w:color w:val="000000" w:themeColor="text1"/>
        </w:rPr>
        <w:t>0.02m</w:t>
      </w:r>
      <w:r w:rsidR="00DE7420" w:rsidRPr="00D6259F">
        <w:rPr>
          <w:color w:val="000000" w:themeColor="text1"/>
          <w:lang w:eastAsia="en-GB"/>
        </w:rPr>
        <w:t xml:space="preserve"> </w:t>
      </w:r>
      <w:r w:rsidR="00DE7420" w:rsidRPr="00D6259F">
        <w:rPr>
          <w:color w:val="000000" w:themeColor="text1"/>
        </w:rPr>
        <w:t>(</w:t>
      </w:r>
      <w:r w:rsidRPr="00D6259F">
        <w:rPr>
          <w:color w:val="000000" w:themeColor="text1"/>
        </w:rPr>
        <w:t>20</w:t>
      </w:r>
      <w:r w:rsidR="00F42959" w:rsidRPr="00D6259F">
        <w:rPr>
          <w:color w:val="000000" w:themeColor="text1"/>
        </w:rPr>
        <w:t>2</w:t>
      </w:r>
      <w:r w:rsidR="00E863BF" w:rsidRPr="00D6259F">
        <w:rPr>
          <w:color w:val="000000" w:themeColor="text1"/>
        </w:rPr>
        <w:t>3</w:t>
      </w:r>
      <w:r w:rsidRPr="00D6259F">
        <w:rPr>
          <w:color w:val="000000" w:themeColor="text1"/>
        </w:rPr>
        <w:t>: $</w:t>
      </w:r>
      <w:r w:rsidR="00E863BF" w:rsidRPr="00D6259F">
        <w:rPr>
          <w:color w:val="000000" w:themeColor="text1"/>
        </w:rPr>
        <w:t>0.0</w:t>
      </w:r>
      <w:r w:rsidR="00B52AA4" w:rsidRPr="00D6259F">
        <w:rPr>
          <w:color w:val="000000" w:themeColor="text1"/>
        </w:rPr>
        <w:t>2</w:t>
      </w:r>
      <w:r w:rsidR="00E863BF" w:rsidRPr="00D6259F">
        <w:rPr>
          <w:color w:val="000000" w:themeColor="text1"/>
        </w:rPr>
        <w:t>m</w:t>
      </w:r>
      <w:r w:rsidRPr="00D6259F">
        <w:rPr>
          <w:color w:val="000000" w:themeColor="text1"/>
        </w:rPr>
        <w:t xml:space="preserve">) has been applied in accordance with the original terms and conditions. </w:t>
      </w:r>
    </w:p>
    <w:p w14:paraId="08064825" w14:textId="77777777" w:rsidR="00D422B1" w:rsidRPr="00D6259F" w:rsidRDefault="00D422B1" w:rsidP="00F328FC">
      <w:pPr>
        <w:pStyle w:val="Heading4"/>
      </w:pPr>
      <w:bookmarkStart w:id="189" w:name="_Toc121217169"/>
      <w:r w:rsidRPr="00D6259F">
        <w:lastRenderedPageBreak/>
        <w:t>Nature and purpose</w:t>
      </w:r>
      <w:bookmarkEnd w:id="189"/>
    </w:p>
    <w:p w14:paraId="740A6C76" w14:textId="76342CEA" w:rsidR="00D422B1" w:rsidRPr="00D6259F" w:rsidRDefault="00D422B1" w:rsidP="00736340">
      <w:pPr>
        <w:rPr>
          <w:color w:val="000000" w:themeColor="text1"/>
        </w:rPr>
      </w:pPr>
      <w:r w:rsidRPr="00D6259F">
        <w:rPr>
          <w:color w:val="000000" w:themeColor="text1"/>
        </w:rPr>
        <w:t xml:space="preserve">The Council’s </w:t>
      </w:r>
      <w:r w:rsidR="000E0B1D" w:rsidRPr="00D6259F">
        <w:rPr>
          <w:color w:val="000000" w:themeColor="text1"/>
        </w:rPr>
        <w:t>trusts and bequests</w:t>
      </w:r>
      <w:r w:rsidRPr="00D6259F">
        <w:rPr>
          <w:color w:val="000000" w:themeColor="text1"/>
        </w:rPr>
        <w:t xml:space="preserve"> have been generally provided for library, educational or environmental purposes.</w:t>
      </w:r>
    </w:p>
    <w:p w14:paraId="4EEFCD79" w14:textId="0DB2E599" w:rsidR="00D422B1" w:rsidRPr="00D6259F" w:rsidRDefault="00D422B1" w:rsidP="00736340">
      <w:pPr>
        <w:rPr>
          <w:color w:val="000000" w:themeColor="text1"/>
        </w:rPr>
      </w:pPr>
      <w:r w:rsidRPr="00D6259F">
        <w:rPr>
          <w:color w:val="000000" w:themeColor="text1"/>
        </w:rPr>
        <w:t xml:space="preserve">The Wellington Zoo Trust has </w:t>
      </w:r>
      <w:r w:rsidR="009C01A2" w:rsidRPr="00D6259F">
        <w:rPr>
          <w:color w:val="000000" w:themeColor="text1"/>
        </w:rPr>
        <w:t>several</w:t>
      </w:r>
      <w:r w:rsidRPr="00D6259F">
        <w:rPr>
          <w:color w:val="000000" w:themeColor="text1"/>
        </w:rPr>
        <w:t xml:space="preserve"> </w:t>
      </w:r>
      <w:r w:rsidR="00D30EDE" w:rsidRPr="00D6259F">
        <w:rPr>
          <w:color w:val="000000" w:themeColor="text1"/>
        </w:rPr>
        <w:t>trusts, bequests</w:t>
      </w:r>
      <w:r w:rsidRPr="00D6259F">
        <w:rPr>
          <w:color w:val="000000" w:themeColor="text1"/>
        </w:rPr>
        <w:t xml:space="preserve"> and capital grants made to it for specific purposes, which are held as restricted funds until utilised. Further information on these can be found in the Wellington Zoo Trust annual report published on their website</w:t>
      </w:r>
      <w:r w:rsidR="005636AE" w:rsidRPr="00D6259F">
        <w:rPr>
          <w:color w:val="000000" w:themeColor="text1"/>
        </w:rPr>
        <w:t>.</w:t>
      </w:r>
    </w:p>
    <w:p w14:paraId="60AA764B" w14:textId="77777777" w:rsidR="00D422B1" w:rsidRPr="00D6259F" w:rsidRDefault="00D422B1" w:rsidP="00736340">
      <w:pPr>
        <w:pStyle w:val="Heading4"/>
      </w:pPr>
      <w:r w:rsidRPr="00D6259F">
        <w:t>Charles Plimmer Bequest</w:t>
      </w:r>
    </w:p>
    <w:p w14:paraId="06890533" w14:textId="0F074140" w:rsidR="00D422B1" w:rsidRPr="00D6259F" w:rsidRDefault="00D422B1" w:rsidP="00704FA9">
      <w:pPr>
        <w:rPr>
          <w:color w:val="000000" w:themeColor="text1"/>
        </w:rPr>
      </w:pPr>
      <w:r w:rsidRPr="00D6259F">
        <w:rPr>
          <w:color w:val="000000" w:themeColor="text1"/>
        </w:rPr>
        <w:t xml:space="preserve">This bequest is held and administered by the Public Trust and is primarily used for major beautification projects. As the sole beneficiary, </w:t>
      </w:r>
      <w:r w:rsidR="001877CF" w:rsidRPr="00D6259F">
        <w:rPr>
          <w:color w:val="000000" w:themeColor="text1"/>
        </w:rPr>
        <w:t xml:space="preserve">the </w:t>
      </w:r>
      <w:r w:rsidRPr="00D6259F">
        <w:rPr>
          <w:color w:val="000000" w:themeColor="text1"/>
        </w:rPr>
        <w:t xml:space="preserve">Council applies for distribution of available funds for </w:t>
      </w:r>
      <w:proofErr w:type="gramStart"/>
      <w:r w:rsidRPr="00D6259F">
        <w:rPr>
          <w:color w:val="000000" w:themeColor="text1"/>
        </w:rPr>
        <w:t>particular projects</w:t>
      </w:r>
      <w:proofErr w:type="gramEnd"/>
      <w:r w:rsidRPr="00D6259F">
        <w:rPr>
          <w:color w:val="000000" w:themeColor="text1"/>
        </w:rPr>
        <w:t xml:space="preserve"> after consultation with the Plimmer family. The receipt and use of these funds are disclosed separately to record the generous contribution the bequest makes to the benefit of the city. </w:t>
      </w:r>
    </w:p>
    <w:p w14:paraId="519922DC" w14:textId="10B1A642" w:rsidR="00D422B1" w:rsidRPr="00D6259F" w:rsidRDefault="00D422B1" w:rsidP="00704FA9">
      <w:pPr>
        <w:rPr>
          <w:color w:val="000000" w:themeColor="text1"/>
        </w:rPr>
      </w:pPr>
      <w:r w:rsidRPr="00D6259F">
        <w:rPr>
          <w:color w:val="000000" w:themeColor="text1"/>
        </w:rPr>
        <w:t xml:space="preserve">As </w:t>
      </w:r>
      <w:proofErr w:type="gramStart"/>
      <w:r w:rsidRPr="00D6259F">
        <w:rPr>
          <w:color w:val="000000" w:themeColor="text1"/>
        </w:rPr>
        <w:t>at</w:t>
      </w:r>
      <w:proofErr w:type="gramEnd"/>
      <w:r w:rsidRPr="00D6259F">
        <w:rPr>
          <w:color w:val="000000" w:themeColor="text1"/>
        </w:rPr>
        <w:t xml:space="preserve"> 31 August 20</w:t>
      </w:r>
      <w:r w:rsidR="00F42959" w:rsidRPr="00D6259F">
        <w:rPr>
          <w:color w:val="000000" w:themeColor="text1"/>
        </w:rPr>
        <w:t>2</w:t>
      </w:r>
      <w:r w:rsidR="00DD5683" w:rsidRPr="00D6259F">
        <w:rPr>
          <w:color w:val="000000" w:themeColor="text1"/>
        </w:rPr>
        <w:t>3</w:t>
      </w:r>
      <w:r w:rsidRPr="00D6259F">
        <w:rPr>
          <w:color w:val="000000" w:themeColor="text1"/>
        </w:rPr>
        <w:t>, the value of the estate held by the Public Trust was $</w:t>
      </w:r>
      <w:r w:rsidR="00DE7420" w:rsidRPr="00D6259F">
        <w:rPr>
          <w:color w:val="000000" w:themeColor="text1"/>
        </w:rPr>
        <w:t>20.2m</w:t>
      </w:r>
      <w:r w:rsidRPr="00D6259F">
        <w:rPr>
          <w:color w:val="000000" w:themeColor="text1"/>
        </w:rPr>
        <w:t xml:space="preserve"> (31 August 20</w:t>
      </w:r>
      <w:r w:rsidR="003B65E6" w:rsidRPr="00D6259F">
        <w:rPr>
          <w:color w:val="000000" w:themeColor="text1"/>
        </w:rPr>
        <w:t>2</w:t>
      </w:r>
      <w:r w:rsidR="005E0008" w:rsidRPr="00D6259F">
        <w:rPr>
          <w:color w:val="000000" w:themeColor="text1"/>
        </w:rPr>
        <w:t>2</w:t>
      </w:r>
      <w:r w:rsidRPr="00D6259F">
        <w:rPr>
          <w:color w:val="000000" w:themeColor="text1"/>
        </w:rPr>
        <w:t>: $</w:t>
      </w:r>
      <w:r w:rsidR="00DD5683" w:rsidRPr="00D6259F">
        <w:rPr>
          <w:color w:val="000000" w:themeColor="text1"/>
        </w:rPr>
        <w:t>20.2m</w:t>
      </w:r>
      <w:r w:rsidRPr="00D6259F">
        <w:rPr>
          <w:color w:val="000000" w:themeColor="text1"/>
        </w:rPr>
        <w:t>)</w:t>
      </w:r>
      <w:r w:rsidR="00F779C6" w:rsidRPr="00D6259F">
        <w:rPr>
          <w:color w:val="000000" w:themeColor="text1"/>
        </w:rPr>
        <w:t>,</w:t>
      </w:r>
      <w:r w:rsidRPr="00D6259F">
        <w:rPr>
          <w:color w:val="000000" w:themeColor="text1"/>
        </w:rPr>
        <w:t xml:space="preserve"> but the distributions to the beneficiary are only available from an agreed percentage of revenue generated. The distributions are only drawn down as required.</w:t>
      </w:r>
    </w:p>
    <w:p w14:paraId="7ADB27A3" w14:textId="77777777" w:rsidR="00D422B1" w:rsidRPr="00D6259F" w:rsidRDefault="00D422B1" w:rsidP="00704FA9">
      <w:pPr>
        <w:rPr>
          <w:color w:val="000000" w:themeColor="text1"/>
        </w:rPr>
      </w:pPr>
      <w:r w:rsidRPr="00D6259F">
        <w:rPr>
          <w:color w:val="000000" w:themeColor="text1"/>
        </w:rPr>
        <w:t>During the year:</w:t>
      </w:r>
    </w:p>
    <w:p w14:paraId="448C90A0" w14:textId="2998B7E0" w:rsidR="00D422B1" w:rsidRPr="00D6259F" w:rsidRDefault="00D422B1" w:rsidP="00E76A2E">
      <w:pPr>
        <w:pStyle w:val="ListParagraph"/>
        <w:numPr>
          <w:ilvl w:val="0"/>
          <w:numId w:val="22"/>
        </w:numPr>
        <w:rPr>
          <w:color w:val="000000" w:themeColor="text1"/>
        </w:rPr>
      </w:pPr>
      <w:r w:rsidRPr="00D6259F">
        <w:rPr>
          <w:color w:val="000000" w:themeColor="text1"/>
        </w:rPr>
        <w:t>Distributions recognised as revenue - $</w:t>
      </w:r>
      <w:r w:rsidR="00CE5E03" w:rsidRPr="00D6259F">
        <w:rPr>
          <w:color w:val="000000" w:themeColor="text1"/>
        </w:rPr>
        <w:t>0.1m</w:t>
      </w:r>
      <w:r w:rsidR="009554EF" w:rsidRPr="00D6259F">
        <w:rPr>
          <w:color w:val="000000" w:themeColor="text1"/>
        </w:rPr>
        <w:t>.</w:t>
      </w:r>
    </w:p>
    <w:p w14:paraId="5F952011" w14:textId="62D2D102" w:rsidR="00FA6D44" w:rsidRPr="00D6259F" w:rsidRDefault="00D422B1" w:rsidP="00E76A2E">
      <w:pPr>
        <w:pStyle w:val="ListParagraph"/>
        <w:numPr>
          <w:ilvl w:val="0"/>
          <w:numId w:val="22"/>
        </w:numPr>
        <w:rPr>
          <w:color w:val="000000" w:themeColor="text1"/>
        </w:rPr>
      </w:pPr>
      <w:r w:rsidRPr="00D6259F">
        <w:rPr>
          <w:color w:val="000000" w:themeColor="text1"/>
        </w:rPr>
        <w:t xml:space="preserve">Funds utilised </w:t>
      </w:r>
      <w:r w:rsidR="00041B08" w:rsidRPr="00D6259F">
        <w:rPr>
          <w:color w:val="000000" w:themeColor="text1"/>
        </w:rPr>
        <w:t xml:space="preserve">- </w:t>
      </w:r>
      <w:r w:rsidRPr="00D6259F">
        <w:rPr>
          <w:color w:val="000000" w:themeColor="text1"/>
        </w:rPr>
        <w:t>$</w:t>
      </w:r>
      <w:r w:rsidR="00CE5E03" w:rsidRPr="00D6259F">
        <w:rPr>
          <w:color w:val="000000" w:themeColor="text1"/>
        </w:rPr>
        <w:t xml:space="preserve">0.1m for the Kilbirnie </w:t>
      </w:r>
      <w:r w:rsidR="005636AE" w:rsidRPr="00D6259F">
        <w:rPr>
          <w:color w:val="000000" w:themeColor="text1"/>
        </w:rPr>
        <w:t>P</w:t>
      </w:r>
      <w:r w:rsidR="00CE5E03" w:rsidRPr="00D6259F">
        <w:rPr>
          <w:color w:val="000000" w:themeColor="text1"/>
        </w:rPr>
        <w:t>ark project</w:t>
      </w:r>
      <w:r w:rsidR="009554EF" w:rsidRPr="00D6259F">
        <w:rPr>
          <w:color w:val="000000" w:themeColor="text1"/>
        </w:rPr>
        <w:t>.</w:t>
      </w:r>
      <w:r w:rsidR="00FA6D44" w:rsidRPr="00D6259F">
        <w:rPr>
          <w:color w:val="000000" w:themeColor="text1"/>
        </w:rPr>
        <w:br w:type="page"/>
      </w:r>
    </w:p>
    <w:p w14:paraId="76FC1320" w14:textId="793D2599" w:rsidR="00D422B1" w:rsidRPr="00D6259F" w:rsidRDefault="00D422B1" w:rsidP="00D6259F">
      <w:pPr>
        <w:pStyle w:val="Heading1"/>
      </w:pPr>
      <w:bookmarkStart w:id="190" w:name="_Toc55482677"/>
      <w:bookmarkStart w:id="191" w:name="_Toc61862888"/>
      <w:bookmarkStart w:id="192" w:name="_Toc179890320"/>
      <w:r w:rsidRPr="00D6259F">
        <w:lastRenderedPageBreak/>
        <w:t xml:space="preserve">Statement of </w:t>
      </w:r>
      <w:r w:rsidR="00D30EDE" w:rsidRPr="00D6259F">
        <w:t>C</w:t>
      </w:r>
      <w:r w:rsidRPr="00D6259F">
        <w:t xml:space="preserve">ash </w:t>
      </w:r>
      <w:r w:rsidR="00D30EDE" w:rsidRPr="00D6259F">
        <w:t>F</w:t>
      </w:r>
      <w:r w:rsidRPr="00D6259F">
        <w:t>lows</w:t>
      </w:r>
      <w:bookmarkEnd w:id="190"/>
      <w:bookmarkEnd w:id="191"/>
      <w:bookmarkEnd w:id="192"/>
    </w:p>
    <w:p w14:paraId="3F76A27E" w14:textId="54E04B29" w:rsidR="001651A1" w:rsidRPr="00D6259F" w:rsidRDefault="000F20D8" w:rsidP="00704FA9">
      <w:pPr>
        <w:rPr>
          <w:noProof/>
          <w:color w:val="000000" w:themeColor="text1"/>
        </w:rPr>
      </w:pPr>
      <w:r w:rsidRPr="00D6259F">
        <w:rPr>
          <w:noProof/>
          <w:color w:val="000000" w:themeColor="text1"/>
        </w:rPr>
        <w:object w:dxaOrig="11430" w:dyaOrig="13245" w14:anchorId="300D7A1E">
          <v:shape id="_x0000_i1102" type="#_x0000_t75" style="width:489pt;height:596pt" o:ole="">
            <v:imagedata r:id="rId166" o:title=""/>
          </v:shape>
          <o:OLEObject Type="Link" ProgID="Excel.Sheet.12" ShapeID="_x0000_i1102" DrawAspect="Content" r:id="rId167" UpdateMode="Always">
            <o:LinkType>EnhancedMetaFile</o:LinkType>
            <o:LockedField>false</o:LockedField>
          </o:OLEObject>
        </w:object>
      </w:r>
    </w:p>
    <w:p w14:paraId="45449CF5" w14:textId="43E88B3F" w:rsidR="00D422B1" w:rsidRPr="00D6259F" w:rsidRDefault="00D422B1" w:rsidP="00704FA9">
      <w:pPr>
        <w:rPr>
          <w:color w:val="000000" w:themeColor="text1"/>
          <w:sz w:val="20"/>
          <w:szCs w:val="20"/>
          <w:lang w:eastAsia="en-GB"/>
        </w:rPr>
      </w:pPr>
      <w:r w:rsidRPr="00D6259F">
        <w:rPr>
          <w:color w:val="000000" w:themeColor="text1"/>
          <w:sz w:val="20"/>
          <w:szCs w:val="20"/>
          <w:lang w:eastAsia="en-GB"/>
        </w:rPr>
        <w:t xml:space="preserve">The notes on </w:t>
      </w:r>
      <w:r w:rsidR="006F6060" w:rsidRPr="00D6259F">
        <w:rPr>
          <w:color w:val="000000" w:themeColor="text1"/>
          <w:sz w:val="20"/>
          <w:szCs w:val="20"/>
          <w:lang w:eastAsia="en-GB"/>
        </w:rPr>
        <w:t>page</w:t>
      </w:r>
      <w:r w:rsidR="00283E96" w:rsidRPr="00D6259F">
        <w:rPr>
          <w:color w:val="000000" w:themeColor="text1"/>
          <w:sz w:val="20"/>
          <w:szCs w:val="20"/>
          <w:lang w:eastAsia="en-GB"/>
        </w:rPr>
        <w:t xml:space="preserve"> </w:t>
      </w:r>
      <w:r w:rsidR="00B96F44" w:rsidRPr="00D6259F">
        <w:rPr>
          <w:color w:val="000000" w:themeColor="text1"/>
          <w:sz w:val="20"/>
          <w:szCs w:val="20"/>
          <w:lang w:eastAsia="en-GB"/>
        </w:rPr>
        <w:t>14</w:t>
      </w:r>
      <w:r w:rsidR="00802748" w:rsidRPr="00D6259F">
        <w:rPr>
          <w:color w:val="000000" w:themeColor="text1"/>
          <w:sz w:val="20"/>
          <w:szCs w:val="20"/>
          <w:lang w:eastAsia="en-NZ"/>
        </w:rPr>
        <w:t xml:space="preserve"> </w:t>
      </w:r>
      <w:r w:rsidR="00DE7CAD" w:rsidRPr="00D6259F">
        <w:rPr>
          <w:color w:val="000000" w:themeColor="text1"/>
          <w:sz w:val="20"/>
          <w:szCs w:val="20"/>
          <w:lang w:eastAsia="en-NZ"/>
        </w:rPr>
        <w:t xml:space="preserve">to </w:t>
      </w:r>
      <w:r w:rsidR="00B96F44" w:rsidRPr="00D6259F">
        <w:rPr>
          <w:color w:val="000000" w:themeColor="text1"/>
          <w:sz w:val="20"/>
          <w:szCs w:val="20"/>
          <w:lang w:eastAsia="en-NZ"/>
        </w:rPr>
        <w:t>122</w:t>
      </w:r>
      <w:r w:rsidR="00DE7CAD" w:rsidRPr="00D6259F">
        <w:rPr>
          <w:color w:val="000000" w:themeColor="text1"/>
          <w:sz w:val="20"/>
          <w:szCs w:val="20"/>
          <w:lang w:eastAsia="en-NZ"/>
        </w:rPr>
        <w:t xml:space="preserve"> </w:t>
      </w:r>
      <w:r w:rsidRPr="00D6259F">
        <w:rPr>
          <w:color w:val="000000" w:themeColor="text1"/>
          <w:sz w:val="20"/>
          <w:szCs w:val="20"/>
          <w:lang w:eastAsia="en-GB"/>
        </w:rPr>
        <w:t>form part of and should be read in conjunction with the financial statements.</w:t>
      </w:r>
    </w:p>
    <w:p w14:paraId="74462D08" w14:textId="77777777" w:rsidR="00D422B1" w:rsidRPr="00D6259F" w:rsidRDefault="00D422B1" w:rsidP="00704FA9">
      <w:pPr>
        <w:rPr>
          <w:color w:val="000000" w:themeColor="text1"/>
        </w:rPr>
      </w:pPr>
      <w:r w:rsidRPr="00D6259F">
        <w:rPr>
          <w:color w:val="000000" w:themeColor="text1"/>
        </w:rPr>
        <w:t>The cash and cash equivalents balance above equates to the cash and cash equivalents balance in the Statement of Financial Position.</w:t>
      </w:r>
    </w:p>
    <w:p w14:paraId="3F4FFE50" w14:textId="77777777" w:rsidR="00DB4937" w:rsidRPr="00D6259F" w:rsidRDefault="00DB4937" w:rsidP="00704FA9">
      <w:pPr>
        <w:rPr>
          <w:color w:val="000000" w:themeColor="text1"/>
        </w:rPr>
      </w:pPr>
    </w:p>
    <w:p w14:paraId="433A776E" w14:textId="496CB10B" w:rsidR="00D422B1" w:rsidRPr="00D6259F" w:rsidRDefault="004F6E9C" w:rsidP="00704FA9">
      <w:pPr>
        <w:rPr>
          <w:color w:val="000000" w:themeColor="text1"/>
        </w:rPr>
      </w:pPr>
      <w:r w:rsidRPr="00D6259F">
        <w:rPr>
          <w:color w:val="000000" w:themeColor="text1"/>
        </w:rPr>
        <w:t xml:space="preserve">The </w:t>
      </w:r>
      <w:r w:rsidR="00D422B1" w:rsidRPr="00D6259F">
        <w:rPr>
          <w:color w:val="000000" w:themeColor="text1"/>
        </w:rPr>
        <w:t>Council acts as a collection agency for GWRC by including additional rates and levies in its own billing process. Once collected, the monies are passed to GWRC. The budget assumes that the inflows and outflows will offset each other and are shown accordingly.</w:t>
      </w:r>
    </w:p>
    <w:p w14:paraId="0939F0E9" w14:textId="65706556" w:rsidR="00D422B1" w:rsidRPr="00D6259F" w:rsidRDefault="00D422B1" w:rsidP="00704FA9">
      <w:pPr>
        <w:rPr>
          <w:color w:val="000000" w:themeColor="text1"/>
        </w:rPr>
      </w:pPr>
      <w:r w:rsidRPr="00D6259F">
        <w:rPr>
          <w:color w:val="000000" w:themeColor="text1"/>
        </w:rPr>
        <w:t xml:space="preserve">Cash and cash equivalents for the purposes of the </w:t>
      </w:r>
      <w:r w:rsidR="00167C72" w:rsidRPr="00D6259F">
        <w:rPr>
          <w:color w:val="000000" w:themeColor="text1"/>
        </w:rPr>
        <w:t>S</w:t>
      </w:r>
      <w:r w:rsidRPr="00D6259F">
        <w:rPr>
          <w:color w:val="000000" w:themeColor="text1"/>
        </w:rPr>
        <w:t xml:space="preserve">tatement </w:t>
      </w:r>
      <w:r w:rsidR="00D30EDE" w:rsidRPr="00D6259F">
        <w:rPr>
          <w:color w:val="000000" w:themeColor="text1"/>
        </w:rPr>
        <w:t xml:space="preserve">of </w:t>
      </w:r>
      <w:r w:rsidR="00DE7420" w:rsidRPr="00D6259F">
        <w:rPr>
          <w:color w:val="000000" w:themeColor="text1"/>
        </w:rPr>
        <w:t>Cash Flows</w:t>
      </w:r>
      <w:r w:rsidR="00D30EDE" w:rsidRPr="00D6259F">
        <w:rPr>
          <w:color w:val="000000" w:themeColor="text1"/>
        </w:rPr>
        <w:t xml:space="preserve"> </w:t>
      </w:r>
      <w:r w:rsidRPr="00D6259F">
        <w:rPr>
          <w:color w:val="000000" w:themeColor="text1"/>
        </w:rPr>
        <w:t xml:space="preserve">comprises </w:t>
      </w:r>
      <w:r w:rsidR="00D30EDE" w:rsidRPr="00D6259F">
        <w:rPr>
          <w:color w:val="000000" w:themeColor="text1"/>
        </w:rPr>
        <w:t xml:space="preserve">cash at </w:t>
      </w:r>
      <w:r w:rsidRPr="00D6259F">
        <w:rPr>
          <w:color w:val="000000" w:themeColor="text1"/>
        </w:rPr>
        <w:t xml:space="preserve">bank, cash on hand and short-term deposits with a maturity of </w:t>
      </w:r>
      <w:r w:rsidR="00167C72" w:rsidRPr="00D6259F">
        <w:rPr>
          <w:color w:val="000000" w:themeColor="text1"/>
        </w:rPr>
        <w:t xml:space="preserve">up to </w:t>
      </w:r>
      <w:r w:rsidR="004F6E9C" w:rsidRPr="00D6259F">
        <w:rPr>
          <w:color w:val="000000" w:themeColor="text1"/>
        </w:rPr>
        <w:t>3</w:t>
      </w:r>
      <w:r w:rsidRPr="00D6259F">
        <w:rPr>
          <w:color w:val="000000" w:themeColor="text1"/>
        </w:rPr>
        <w:t xml:space="preserve"> months </w:t>
      </w:r>
      <w:r w:rsidR="00167C72" w:rsidRPr="00D6259F">
        <w:rPr>
          <w:color w:val="000000" w:themeColor="text1"/>
        </w:rPr>
        <w:t>at acquisition</w:t>
      </w:r>
      <w:r w:rsidRPr="00D6259F">
        <w:rPr>
          <w:color w:val="000000" w:themeColor="text1"/>
        </w:rPr>
        <w:t xml:space="preserve">. The </w:t>
      </w:r>
      <w:r w:rsidR="00167C72" w:rsidRPr="00D6259F">
        <w:rPr>
          <w:color w:val="000000" w:themeColor="text1"/>
        </w:rPr>
        <w:t>S</w:t>
      </w:r>
      <w:r w:rsidRPr="00D6259F">
        <w:rPr>
          <w:color w:val="000000" w:themeColor="text1"/>
        </w:rPr>
        <w:t xml:space="preserve">tatement of </w:t>
      </w:r>
      <w:r w:rsidR="00DE7420" w:rsidRPr="00D6259F">
        <w:rPr>
          <w:color w:val="000000" w:themeColor="text1"/>
        </w:rPr>
        <w:t>Cash Flows</w:t>
      </w:r>
      <w:r w:rsidRPr="00D6259F">
        <w:rPr>
          <w:color w:val="000000" w:themeColor="text1"/>
        </w:rPr>
        <w:t xml:space="preserve"> has been prepared using the direct approach subject to the netting of certain cash flows. Cash flows in respect of investments and borrowings that have been rolled over under arranged finance facilities have been netted </w:t>
      </w:r>
      <w:proofErr w:type="gramStart"/>
      <w:r w:rsidRPr="00D6259F">
        <w:rPr>
          <w:color w:val="000000" w:themeColor="text1"/>
        </w:rPr>
        <w:t>in order to</w:t>
      </w:r>
      <w:proofErr w:type="gramEnd"/>
      <w:r w:rsidRPr="00D6259F">
        <w:rPr>
          <w:color w:val="000000" w:themeColor="text1"/>
        </w:rPr>
        <w:t xml:space="preserve"> provide more meaningful disclosures.</w:t>
      </w:r>
    </w:p>
    <w:p w14:paraId="0EDBCA14" w14:textId="0353A1DC" w:rsidR="00D422B1" w:rsidRPr="00D6259F" w:rsidRDefault="00D422B1" w:rsidP="00704FA9">
      <w:pPr>
        <w:rPr>
          <w:color w:val="000000" w:themeColor="text1"/>
        </w:rPr>
      </w:pPr>
      <w:r w:rsidRPr="00D6259F">
        <w:rPr>
          <w:color w:val="000000" w:themeColor="text1"/>
        </w:rPr>
        <w:t>Operating activities include cash received from all non-financial revenue sources of the Council and</w:t>
      </w:r>
      <w:r w:rsidR="006020F7" w:rsidRPr="00D6259F">
        <w:rPr>
          <w:color w:val="000000" w:themeColor="text1"/>
        </w:rPr>
        <w:t xml:space="preserve"> Group</w:t>
      </w:r>
      <w:r w:rsidRPr="00D6259F">
        <w:rPr>
          <w:color w:val="000000" w:themeColor="text1"/>
        </w:rPr>
        <w:t xml:space="preserve"> and record the cash payments made for the supply of goods and services.</w:t>
      </w:r>
    </w:p>
    <w:p w14:paraId="20E413EB" w14:textId="77777777" w:rsidR="00D422B1" w:rsidRPr="00D6259F" w:rsidRDefault="00D422B1" w:rsidP="00704FA9">
      <w:pPr>
        <w:rPr>
          <w:color w:val="000000" w:themeColor="text1"/>
        </w:rPr>
      </w:pPr>
      <w:r w:rsidRPr="00D6259F">
        <w:rPr>
          <w:color w:val="000000" w:themeColor="text1"/>
        </w:rPr>
        <w:t>Investing activities relate to the acquisition and disposal of assets and investment revenue.</w:t>
      </w:r>
    </w:p>
    <w:p w14:paraId="68DCF01E" w14:textId="39B5D896" w:rsidR="00D422B1" w:rsidRPr="00D6259F" w:rsidRDefault="00D422B1" w:rsidP="00704FA9">
      <w:pPr>
        <w:rPr>
          <w:color w:val="000000" w:themeColor="text1"/>
        </w:rPr>
      </w:pPr>
      <w:r w:rsidRPr="00D6259F">
        <w:rPr>
          <w:color w:val="000000" w:themeColor="text1"/>
        </w:rPr>
        <w:t>Financing activities relate to activities that change the equity and debt capital structure of the Council and</w:t>
      </w:r>
      <w:r w:rsidR="006020F7" w:rsidRPr="00D6259F">
        <w:rPr>
          <w:color w:val="000000" w:themeColor="text1"/>
        </w:rPr>
        <w:t xml:space="preserve"> Group</w:t>
      </w:r>
      <w:r w:rsidRPr="00D6259F">
        <w:rPr>
          <w:color w:val="000000" w:themeColor="text1"/>
        </w:rPr>
        <w:t xml:space="preserve"> and financing costs.</w:t>
      </w:r>
    </w:p>
    <w:p w14:paraId="7EF48F41" w14:textId="77777777" w:rsidR="004866D0" w:rsidRPr="00D6259F" w:rsidRDefault="004866D0" w:rsidP="00704FA9">
      <w:pPr>
        <w:rPr>
          <w:color w:val="000000" w:themeColor="text1"/>
        </w:rPr>
      </w:pPr>
    </w:p>
    <w:p w14:paraId="3CB86ED5" w14:textId="77777777" w:rsidR="004866D0" w:rsidRPr="00D6259F" w:rsidRDefault="004866D0" w:rsidP="00704FA9">
      <w:pPr>
        <w:rPr>
          <w:color w:val="000000" w:themeColor="text1"/>
        </w:rPr>
      </w:pPr>
    </w:p>
    <w:p w14:paraId="0A80B0CE" w14:textId="77777777" w:rsidR="004866D0" w:rsidRPr="00D6259F" w:rsidRDefault="004866D0" w:rsidP="00704FA9">
      <w:pPr>
        <w:rPr>
          <w:color w:val="000000" w:themeColor="text1"/>
        </w:rPr>
      </w:pPr>
    </w:p>
    <w:p w14:paraId="060B96FF" w14:textId="77777777" w:rsidR="004866D0" w:rsidRPr="00D6259F" w:rsidRDefault="004866D0" w:rsidP="00704FA9">
      <w:pPr>
        <w:rPr>
          <w:color w:val="000000" w:themeColor="text1"/>
        </w:rPr>
      </w:pPr>
    </w:p>
    <w:p w14:paraId="05AC650B" w14:textId="77777777" w:rsidR="004866D0" w:rsidRPr="00D6259F" w:rsidRDefault="004866D0" w:rsidP="00704FA9">
      <w:pPr>
        <w:rPr>
          <w:color w:val="000000" w:themeColor="text1"/>
        </w:rPr>
      </w:pPr>
    </w:p>
    <w:p w14:paraId="41AD1782" w14:textId="77777777" w:rsidR="004866D0" w:rsidRPr="00D6259F" w:rsidRDefault="004866D0" w:rsidP="00704FA9">
      <w:pPr>
        <w:rPr>
          <w:color w:val="000000" w:themeColor="text1"/>
        </w:rPr>
      </w:pPr>
    </w:p>
    <w:p w14:paraId="286BBF21" w14:textId="77777777" w:rsidR="004866D0" w:rsidRPr="00D6259F" w:rsidRDefault="004866D0" w:rsidP="00704FA9">
      <w:pPr>
        <w:rPr>
          <w:color w:val="000000" w:themeColor="text1"/>
        </w:rPr>
      </w:pPr>
    </w:p>
    <w:p w14:paraId="489013DA" w14:textId="77777777" w:rsidR="004866D0" w:rsidRPr="00D6259F" w:rsidRDefault="004866D0" w:rsidP="00704FA9">
      <w:pPr>
        <w:rPr>
          <w:color w:val="000000" w:themeColor="text1"/>
        </w:rPr>
      </w:pPr>
    </w:p>
    <w:p w14:paraId="5A567B3E" w14:textId="77777777" w:rsidR="004866D0" w:rsidRPr="00D6259F" w:rsidRDefault="004866D0" w:rsidP="00704FA9">
      <w:pPr>
        <w:rPr>
          <w:color w:val="000000" w:themeColor="text1"/>
        </w:rPr>
      </w:pPr>
    </w:p>
    <w:p w14:paraId="42C2ECB0" w14:textId="77777777" w:rsidR="004866D0" w:rsidRPr="00D6259F" w:rsidRDefault="004866D0" w:rsidP="00704FA9">
      <w:pPr>
        <w:rPr>
          <w:color w:val="000000" w:themeColor="text1"/>
        </w:rPr>
      </w:pPr>
    </w:p>
    <w:p w14:paraId="4AFEFCBF" w14:textId="77777777" w:rsidR="004866D0" w:rsidRPr="00D6259F" w:rsidRDefault="004866D0" w:rsidP="00704FA9">
      <w:pPr>
        <w:rPr>
          <w:color w:val="000000" w:themeColor="text1"/>
        </w:rPr>
      </w:pPr>
    </w:p>
    <w:p w14:paraId="3332F8F0" w14:textId="77777777" w:rsidR="004866D0" w:rsidRPr="00D6259F" w:rsidRDefault="004866D0" w:rsidP="00704FA9">
      <w:pPr>
        <w:rPr>
          <w:color w:val="000000" w:themeColor="text1"/>
        </w:rPr>
      </w:pPr>
    </w:p>
    <w:p w14:paraId="4584E8F4" w14:textId="77777777" w:rsidR="004866D0" w:rsidRPr="00D6259F" w:rsidRDefault="004866D0" w:rsidP="00704FA9">
      <w:pPr>
        <w:rPr>
          <w:color w:val="000000" w:themeColor="text1"/>
        </w:rPr>
      </w:pPr>
    </w:p>
    <w:p w14:paraId="75914FDA" w14:textId="77777777" w:rsidR="00362CD8" w:rsidRPr="00D6259F" w:rsidRDefault="00362CD8">
      <w:pPr>
        <w:rPr>
          <w:rFonts w:ascii="Cambria" w:hAnsi="Cambria" w:cs="Calibri"/>
          <w:b/>
          <w:bCs/>
          <w:color w:val="000000" w:themeColor="text1"/>
          <w:sz w:val="40"/>
          <w:szCs w:val="40"/>
          <w:lang w:eastAsia="en-NZ"/>
        </w:rPr>
      </w:pPr>
      <w:bookmarkStart w:id="193" w:name="_Toc55482678"/>
      <w:r w:rsidRPr="00D6259F">
        <w:rPr>
          <w:rFonts w:cs="Calibri"/>
          <w:color w:val="000000" w:themeColor="text1"/>
          <w:sz w:val="40"/>
          <w:lang w:eastAsia="en-NZ"/>
        </w:rPr>
        <w:br w:type="page"/>
      </w:r>
    </w:p>
    <w:p w14:paraId="16E9A359" w14:textId="0B4873DB" w:rsidR="00D422B1" w:rsidRPr="00D6259F" w:rsidRDefault="002A1F7A" w:rsidP="00391BA5">
      <w:pPr>
        <w:pStyle w:val="Heading2"/>
        <w:rPr>
          <w:rFonts w:eastAsiaTheme="minorEastAsia" w:cs="Calibri"/>
          <w:sz w:val="40"/>
          <w:lang w:eastAsia="en-NZ"/>
        </w:rPr>
      </w:pPr>
      <w:bookmarkStart w:id="194" w:name="_Toc179890321"/>
      <w:r w:rsidRPr="00D6259F">
        <w:rPr>
          <w:rFonts w:eastAsiaTheme="minorEastAsia" w:cs="Calibri"/>
          <w:sz w:val="40"/>
          <w:lang w:eastAsia="en-NZ"/>
        </w:rPr>
        <w:lastRenderedPageBreak/>
        <w:t>S</w:t>
      </w:r>
      <w:r w:rsidR="00D422B1" w:rsidRPr="00D6259F">
        <w:rPr>
          <w:rFonts w:eastAsiaTheme="minorEastAsia" w:cs="Calibri"/>
          <w:sz w:val="40"/>
          <w:lang w:eastAsia="en-NZ"/>
        </w:rPr>
        <w:t xml:space="preserve">tatement of </w:t>
      </w:r>
      <w:r w:rsidR="00167C72" w:rsidRPr="00D6259F">
        <w:rPr>
          <w:rFonts w:eastAsiaTheme="minorEastAsia" w:cs="Calibri"/>
          <w:sz w:val="40"/>
          <w:lang w:eastAsia="en-NZ"/>
        </w:rPr>
        <w:t>C</w:t>
      </w:r>
      <w:r w:rsidR="00D422B1" w:rsidRPr="00D6259F">
        <w:rPr>
          <w:rFonts w:eastAsiaTheme="minorEastAsia" w:cs="Calibri"/>
          <w:sz w:val="40"/>
          <w:lang w:eastAsia="en-NZ"/>
        </w:rPr>
        <w:t xml:space="preserve">ash </w:t>
      </w:r>
      <w:r w:rsidR="00167C72" w:rsidRPr="00D6259F">
        <w:rPr>
          <w:rFonts w:eastAsiaTheme="minorEastAsia" w:cs="Calibri"/>
          <w:sz w:val="40"/>
          <w:lang w:eastAsia="en-NZ"/>
        </w:rPr>
        <w:t>F</w:t>
      </w:r>
      <w:r w:rsidR="00D422B1" w:rsidRPr="00D6259F">
        <w:rPr>
          <w:rFonts w:eastAsiaTheme="minorEastAsia" w:cs="Calibri"/>
          <w:sz w:val="40"/>
          <w:lang w:eastAsia="en-NZ"/>
        </w:rPr>
        <w:t>lows – Major budget variations</w:t>
      </w:r>
      <w:bookmarkEnd w:id="193"/>
      <w:bookmarkEnd w:id="194"/>
    </w:p>
    <w:p w14:paraId="4F420166" w14:textId="77777777" w:rsidR="006F33E6" w:rsidRPr="00D6259F" w:rsidRDefault="006F33E6" w:rsidP="006F33E6">
      <w:pPr>
        <w:rPr>
          <w:color w:val="000000" w:themeColor="text1"/>
        </w:rPr>
      </w:pPr>
      <w:r w:rsidRPr="00D6259F">
        <w:rPr>
          <w:color w:val="000000" w:themeColor="text1"/>
        </w:rPr>
        <w:t xml:space="preserve">Cash flow budgeting is performed using various assumptions around the timing of events and any departure from these timings will affect the outcome against budget. </w:t>
      </w:r>
      <w:r w:rsidRPr="00D6259F">
        <w:rPr>
          <w:color w:val="000000" w:themeColor="text1"/>
          <w:lang w:eastAsia="en-NZ"/>
        </w:rPr>
        <w:t>Budget figures are for the Council only and not the Group.</w:t>
      </w:r>
      <w:r w:rsidRPr="00D6259F">
        <w:rPr>
          <w:color w:val="000000" w:themeColor="text1"/>
        </w:rPr>
        <w:t xml:space="preserve"> </w:t>
      </w:r>
    </w:p>
    <w:p w14:paraId="191F74AD" w14:textId="66CBD70E" w:rsidR="00F71CC0" w:rsidRPr="00D6259F" w:rsidRDefault="00D422B1" w:rsidP="00F71CC0">
      <w:pPr>
        <w:pStyle w:val="Heading4"/>
      </w:pPr>
      <w:r w:rsidRPr="00D6259F">
        <w:t>Significant variations from the cash flow budgets are as follows:</w:t>
      </w:r>
    </w:p>
    <w:p w14:paraId="24B99573" w14:textId="77777777" w:rsidR="006F33E6" w:rsidRPr="00D6259F" w:rsidRDefault="006F33E6" w:rsidP="006F33E6">
      <w:pPr>
        <w:spacing w:after="0"/>
        <w:rPr>
          <w:color w:val="000000" w:themeColor="text1"/>
        </w:rPr>
      </w:pPr>
      <w:bookmarkStart w:id="195" w:name="_Toc55482679"/>
      <w:r w:rsidRPr="00D6259F">
        <w:rPr>
          <w:color w:val="000000" w:themeColor="text1"/>
        </w:rPr>
        <w:t xml:space="preserve">Net cash flows from operating activities were $10.0m higher than budget. The major variances included: </w:t>
      </w:r>
    </w:p>
    <w:p w14:paraId="7EA7296D" w14:textId="77777777" w:rsidR="006F33E6" w:rsidRPr="00D6259F" w:rsidRDefault="006F33E6" w:rsidP="006F33E6">
      <w:pPr>
        <w:spacing w:after="0"/>
        <w:rPr>
          <w:color w:val="000000" w:themeColor="text1"/>
        </w:rPr>
      </w:pPr>
    </w:p>
    <w:p w14:paraId="6DED33D4" w14:textId="77777777" w:rsidR="006F33E6" w:rsidRPr="00D6259F" w:rsidRDefault="006F33E6" w:rsidP="006F33E6">
      <w:pPr>
        <w:pStyle w:val="ListParagraph"/>
        <w:numPr>
          <w:ilvl w:val="0"/>
          <w:numId w:val="45"/>
        </w:numPr>
        <w:spacing w:after="0"/>
        <w:rPr>
          <w:color w:val="000000" w:themeColor="text1"/>
        </w:rPr>
      </w:pPr>
      <w:r w:rsidRPr="00D6259F">
        <w:rPr>
          <w:color w:val="000000" w:themeColor="text1"/>
        </w:rPr>
        <w:t xml:space="preserve">Receipts from rates were $17.1m below budget due to a higher level of debtors for rates recoverable at year end than budgeted. </w:t>
      </w:r>
    </w:p>
    <w:p w14:paraId="3FEA4852" w14:textId="77777777" w:rsidR="006F33E6" w:rsidRPr="00D6259F" w:rsidRDefault="006F33E6" w:rsidP="006F33E6">
      <w:pPr>
        <w:pStyle w:val="ListParagraph"/>
        <w:numPr>
          <w:ilvl w:val="0"/>
          <w:numId w:val="45"/>
        </w:numPr>
        <w:spacing w:after="0"/>
        <w:rPr>
          <w:color w:val="000000" w:themeColor="text1"/>
        </w:rPr>
      </w:pPr>
      <w:r w:rsidRPr="00D6259F">
        <w:rPr>
          <w:color w:val="000000" w:themeColor="text1"/>
        </w:rPr>
        <w:t xml:space="preserve">Receipts from rates for GWRC were $25.7m higher than budget. This was offset by higher corresponding rates paid to GWRC of $24.5m than budget. </w:t>
      </w:r>
    </w:p>
    <w:p w14:paraId="19E558D1" w14:textId="77777777" w:rsidR="006F33E6" w:rsidRPr="00D6259F" w:rsidRDefault="006F33E6" w:rsidP="006F33E6">
      <w:pPr>
        <w:pStyle w:val="ListParagraph"/>
        <w:numPr>
          <w:ilvl w:val="0"/>
          <w:numId w:val="45"/>
        </w:numPr>
        <w:spacing w:after="0"/>
        <w:rPr>
          <w:color w:val="000000" w:themeColor="text1"/>
        </w:rPr>
      </w:pPr>
      <w:r w:rsidRPr="00D6259F">
        <w:rPr>
          <w:color w:val="000000" w:themeColor="text1"/>
        </w:rPr>
        <w:t xml:space="preserve">Receipts from capital grants and subsidies were $84.4m higher than budget. This is due to the grant funding received from Sludge Finance LP for the construction of Te Whare Wai Para Nuku, the Sludge Minimisation Facility (SMF) located at Moa Point. </w:t>
      </w:r>
    </w:p>
    <w:p w14:paraId="0E8D1A67" w14:textId="77777777" w:rsidR="006F33E6" w:rsidRPr="00D6259F" w:rsidRDefault="006F33E6" w:rsidP="006F33E6">
      <w:pPr>
        <w:pStyle w:val="ListParagraph"/>
        <w:numPr>
          <w:ilvl w:val="0"/>
          <w:numId w:val="45"/>
        </w:numPr>
        <w:spacing w:after="0"/>
        <w:rPr>
          <w:color w:val="000000" w:themeColor="text1"/>
        </w:rPr>
      </w:pPr>
      <w:r w:rsidRPr="00D6259F">
        <w:rPr>
          <w:color w:val="000000" w:themeColor="text1"/>
        </w:rPr>
        <w:t xml:space="preserve">Cash paid to suppliers and employees were $66.1m higher than budget. This is mainly due to the payments to suppliers for the construction of the SMF, offset by a small increase in operational expenditure. In the budget, the cash flows from grant funding for the SMF has been offset against the cash flows paid to suppliers for the construction of the SMF. </w:t>
      </w:r>
    </w:p>
    <w:p w14:paraId="563A980A" w14:textId="77777777" w:rsidR="006F33E6" w:rsidRPr="00D6259F" w:rsidRDefault="006F33E6" w:rsidP="006F33E6">
      <w:pPr>
        <w:pStyle w:val="ListParagraph"/>
        <w:numPr>
          <w:ilvl w:val="0"/>
          <w:numId w:val="45"/>
        </w:numPr>
        <w:spacing w:after="0"/>
        <w:rPr>
          <w:color w:val="000000" w:themeColor="text1"/>
        </w:rPr>
      </w:pPr>
      <w:r w:rsidRPr="00D6259F">
        <w:rPr>
          <w:color w:val="000000" w:themeColor="text1"/>
        </w:rPr>
        <w:t xml:space="preserve">Grants paid were $12.4m below budget. The budget assumed a higher level of grants paid than in recent years but that did not materialise.   </w:t>
      </w:r>
    </w:p>
    <w:p w14:paraId="20E7A16F" w14:textId="77777777" w:rsidR="006F33E6" w:rsidRPr="00D6259F" w:rsidRDefault="006F33E6" w:rsidP="006F33E6">
      <w:pPr>
        <w:spacing w:after="0"/>
        <w:rPr>
          <w:color w:val="000000" w:themeColor="text1"/>
        </w:rPr>
      </w:pPr>
    </w:p>
    <w:p w14:paraId="7128E514" w14:textId="77777777" w:rsidR="006F33E6" w:rsidRPr="00D6259F" w:rsidRDefault="006F33E6" w:rsidP="006F33E6">
      <w:pPr>
        <w:spacing w:after="0"/>
        <w:rPr>
          <w:color w:val="000000" w:themeColor="text1"/>
        </w:rPr>
      </w:pPr>
      <w:r w:rsidRPr="00D6259F">
        <w:rPr>
          <w:color w:val="000000" w:themeColor="text1"/>
        </w:rPr>
        <w:t xml:space="preserve">Net cash flows from investing activities were $121.3m higher than budget. The major variances included: </w:t>
      </w:r>
    </w:p>
    <w:p w14:paraId="48E93497" w14:textId="77777777" w:rsidR="006F33E6" w:rsidRPr="00D6259F" w:rsidRDefault="006F33E6" w:rsidP="006F33E6">
      <w:pPr>
        <w:spacing w:after="0"/>
        <w:rPr>
          <w:color w:val="000000" w:themeColor="text1"/>
        </w:rPr>
      </w:pPr>
    </w:p>
    <w:p w14:paraId="3593564E" w14:textId="77777777" w:rsidR="006F33E6" w:rsidRPr="00D6259F" w:rsidRDefault="006F33E6" w:rsidP="006F33E6">
      <w:pPr>
        <w:pStyle w:val="ListParagraph"/>
        <w:numPr>
          <w:ilvl w:val="0"/>
          <w:numId w:val="46"/>
        </w:numPr>
        <w:spacing w:after="0"/>
        <w:rPr>
          <w:color w:val="000000" w:themeColor="text1"/>
        </w:rPr>
      </w:pPr>
      <w:r w:rsidRPr="00D6259F">
        <w:rPr>
          <w:color w:val="000000" w:themeColor="text1"/>
        </w:rPr>
        <w:t xml:space="preserve">Interest received was $14.0m higher than budget. The budget includes only the net interest paid on borrowings.      </w:t>
      </w:r>
    </w:p>
    <w:p w14:paraId="7062B2D1" w14:textId="29FE30FF" w:rsidR="006F33E6" w:rsidRPr="00D6259F" w:rsidRDefault="00DB4937" w:rsidP="006F33E6">
      <w:pPr>
        <w:pStyle w:val="ListParagraph"/>
        <w:numPr>
          <w:ilvl w:val="0"/>
          <w:numId w:val="46"/>
        </w:numPr>
        <w:spacing w:after="0"/>
        <w:rPr>
          <w:color w:val="000000" w:themeColor="text1"/>
        </w:rPr>
      </w:pPr>
      <w:r w:rsidRPr="00D6259F">
        <w:rPr>
          <w:color w:val="000000" w:themeColor="text1"/>
        </w:rPr>
        <w:t>The net cash outflow</w:t>
      </w:r>
      <w:r w:rsidR="00D55444" w:rsidRPr="00D6259F">
        <w:rPr>
          <w:color w:val="000000" w:themeColor="text1"/>
        </w:rPr>
        <w:t>s</w:t>
      </w:r>
      <w:r w:rsidRPr="00D6259F">
        <w:rPr>
          <w:color w:val="000000" w:themeColor="text1"/>
        </w:rPr>
        <w:t xml:space="preserve"> from </w:t>
      </w:r>
      <w:r w:rsidR="006F33E6" w:rsidRPr="00D6259F">
        <w:rPr>
          <w:color w:val="000000" w:themeColor="text1"/>
        </w:rPr>
        <w:t>other financial assets were $126.9m higher than budget. This largely relates to the purchases of term investments to pre</w:t>
      </w:r>
      <w:r w:rsidR="002A6337" w:rsidRPr="00D6259F">
        <w:rPr>
          <w:color w:val="000000" w:themeColor="text1"/>
        </w:rPr>
        <w:t>-</w:t>
      </w:r>
      <w:r w:rsidR="006F33E6" w:rsidRPr="00D6259F">
        <w:rPr>
          <w:color w:val="000000" w:themeColor="text1"/>
        </w:rPr>
        <w:t>fund upcoming debt maturities on borrowings.</w:t>
      </w:r>
    </w:p>
    <w:p w14:paraId="1572FCE1" w14:textId="77777777" w:rsidR="006F33E6" w:rsidRPr="00D6259F" w:rsidRDefault="006F33E6" w:rsidP="006F33E6">
      <w:pPr>
        <w:spacing w:after="0"/>
        <w:rPr>
          <w:color w:val="000000" w:themeColor="text1"/>
        </w:rPr>
      </w:pPr>
    </w:p>
    <w:p w14:paraId="775C0E70" w14:textId="77777777" w:rsidR="006F33E6" w:rsidRPr="00D6259F" w:rsidRDefault="006F33E6" w:rsidP="006F33E6">
      <w:pPr>
        <w:spacing w:after="0"/>
        <w:rPr>
          <w:color w:val="000000" w:themeColor="text1"/>
        </w:rPr>
      </w:pPr>
      <w:r w:rsidRPr="00D6259F">
        <w:rPr>
          <w:color w:val="000000" w:themeColor="text1"/>
        </w:rPr>
        <w:t xml:space="preserve">Net cash flows from financing activities were $92.6m higher than budget. The major variances included: </w:t>
      </w:r>
    </w:p>
    <w:p w14:paraId="21A2E290" w14:textId="77777777" w:rsidR="006F33E6" w:rsidRPr="00D6259F" w:rsidRDefault="006F33E6" w:rsidP="006F33E6">
      <w:pPr>
        <w:spacing w:after="0"/>
        <w:rPr>
          <w:color w:val="000000" w:themeColor="text1"/>
        </w:rPr>
      </w:pPr>
    </w:p>
    <w:p w14:paraId="00DA7C2B" w14:textId="786D6681" w:rsidR="006F33E6" w:rsidRPr="00D6259F" w:rsidRDefault="006F33E6" w:rsidP="006F33E6">
      <w:pPr>
        <w:pStyle w:val="ListParagraph"/>
        <w:numPr>
          <w:ilvl w:val="0"/>
          <w:numId w:val="43"/>
        </w:numPr>
        <w:spacing w:after="0"/>
        <w:rPr>
          <w:color w:val="000000" w:themeColor="text1"/>
        </w:rPr>
      </w:pPr>
      <w:r w:rsidRPr="00D6259F">
        <w:rPr>
          <w:color w:val="000000" w:themeColor="text1"/>
        </w:rPr>
        <w:t>The net cash inflow from borrowings was $104.1m higher than budget. This is mainly due to the pre</w:t>
      </w:r>
      <w:r w:rsidR="002A6337" w:rsidRPr="00D6259F">
        <w:rPr>
          <w:color w:val="000000" w:themeColor="text1"/>
        </w:rPr>
        <w:t>-</w:t>
      </w:r>
      <w:r w:rsidRPr="00D6259F">
        <w:rPr>
          <w:color w:val="000000" w:themeColor="text1"/>
        </w:rPr>
        <w:t>funding of upcoming debt maturities – see corresponding $126.9m variance in the increase of other financial assets above. This is partially offset by a lower level of capital programme spend compared to budget.</w:t>
      </w:r>
    </w:p>
    <w:p w14:paraId="58DA2688" w14:textId="77777777" w:rsidR="006F33E6" w:rsidRPr="00D6259F" w:rsidRDefault="006F33E6" w:rsidP="006F33E6">
      <w:pPr>
        <w:pStyle w:val="ListParagraph"/>
        <w:numPr>
          <w:ilvl w:val="0"/>
          <w:numId w:val="47"/>
        </w:numPr>
        <w:spacing w:after="0"/>
        <w:rPr>
          <w:color w:val="000000" w:themeColor="text1"/>
        </w:rPr>
      </w:pPr>
      <w:r w:rsidRPr="00D6259F">
        <w:rPr>
          <w:color w:val="000000" w:themeColor="text1"/>
        </w:rPr>
        <w:t xml:space="preserve">Interest paid on borrowings was $11.5m higher than budget. As noted above in interest received, the budget includes the net interest paid or received. The net interest paid was only $2.5m below budget.    </w:t>
      </w:r>
    </w:p>
    <w:p w14:paraId="2A0F0233" w14:textId="77777777" w:rsidR="00C6236F" w:rsidRPr="00D6259F" w:rsidRDefault="00C6236F" w:rsidP="00CF6E05">
      <w:pPr>
        <w:rPr>
          <w:color w:val="000000" w:themeColor="text1"/>
          <w:lang w:eastAsia="en-GB"/>
        </w:rPr>
      </w:pPr>
    </w:p>
    <w:p w14:paraId="13D3E7B6" w14:textId="77777777" w:rsidR="00C6236F" w:rsidRPr="00D6259F" w:rsidRDefault="00C6236F" w:rsidP="00CF6E05">
      <w:pPr>
        <w:rPr>
          <w:color w:val="000000" w:themeColor="text1"/>
          <w:lang w:eastAsia="en-GB"/>
        </w:rPr>
      </w:pPr>
    </w:p>
    <w:p w14:paraId="436CF959" w14:textId="77777777" w:rsidR="00C6236F" w:rsidRPr="00D6259F" w:rsidRDefault="00C6236F" w:rsidP="00CF6E05">
      <w:pPr>
        <w:rPr>
          <w:color w:val="000000" w:themeColor="text1"/>
          <w:lang w:eastAsia="en-GB"/>
        </w:rPr>
      </w:pPr>
    </w:p>
    <w:p w14:paraId="46A6A911" w14:textId="77777777" w:rsidR="00C6236F" w:rsidRPr="00D6259F" w:rsidRDefault="00C6236F" w:rsidP="00CF6E05">
      <w:pPr>
        <w:rPr>
          <w:color w:val="000000" w:themeColor="text1"/>
          <w:lang w:eastAsia="en-GB"/>
        </w:rPr>
      </w:pPr>
    </w:p>
    <w:p w14:paraId="02B0D3EF" w14:textId="77777777" w:rsidR="00C6236F" w:rsidRPr="00D6259F" w:rsidRDefault="00C6236F" w:rsidP="00CF6E05">
      <w:pPr>
        <w:rPr>
          <w:color w:val="000000" w:themeColor="text1"/>
          <w:lang w:eastAsia="en-GB"/>
        </w:rPr>
      </w:pPr>
    </w:p>
    <w:p w14:paraId="473D2001" w14:textId="77777777" w:rsidR="00D422B1" w:rsidRPr="00D6259F" w:rsidRDefault="00D422B1" w:rsidP="00095769">
      <w:pPr>
        <w:pStyle w:val="Heading2"/>
        <w:spacing w:before="0"/>
      </w:pPr>
      <w:bookmarkStart w:id="196" w:name="_Toc179890322"/>
      <w:r w:rsidRPr="00D6259F">
        <w:lastRenderedPageBreak/>
        <w:t>Note 3</w:t>
      </w:r>
      <w:r w:rsidR="00C913B6" w:rsidRPr="00D6259F">
        <w:t>2</w:t>
      </w:r>
      <w:r w:rsidRPr="00D6259F">
        <w:t>: Reconciliation of cash flows</w:t>
      </w:r>
      <w:bookmarkEnd w:id="196"/>
      <w:r w:rsidRPr="00D6259F">
        <w:t xml:space="preserve"> </w:t>
      </w:r>
      <w:bookmarkEnd w:id="195"/>
    </w:p>
    <w:bookmarkStart w:id="197" w:name="_Toc420404923"/>
    <w:p w14:paraId="0F01B1D0" w14:textId="2FE95649" w:rsidR="00D422B1" w:rsidRPr="00D6259F" w:rsidRDefault="000F20D8" w:rsidP="00F2553C">
      <w:pPr>
        <w:spacing w:after="0"/>
        <w:rPr>
          <w:color w:val="000000" w:themeColor="text1"/>
        </w:rPr>
      </w:pPr>
      <w:r w:rsidRPr="00D6259F">
        <w:rPr>
          <w:noProof/>
          <w:color w:val="000000" w:themeColor="text1"/>
        </w:rPr>
        <w:object w:dxaOrig="10530" w:dyaOrig="13515" w14:anchorId="74655AFA">
          <v:shape id="_x0000_i1103" type="#_x0000_t75" style="width:492pt;height:673pt" o:ole="">
            <v:imagedata r:id="rId168" o:title=""/>
          </v:shape>
          <o:OLEObject Type="Link" ProgID="Excel.Sheet.12" ShapeID="_x0000_i1103" DrawAspect="Content" r:id="rId169" UpdateMode="Always">
            <o:LinkType>EnhancedMetaFile</o:LinkType>
            <o:LockedField>false</o:LockedField>
          </o:OLEObject>
        </w:object>
      </w:r>
    </w:p>
    <w:p w14:paraId="4F0F3E2C" w14:textId="77777777" w:rsidR="00D422B1" w:rsidRPr="00D6259F" w:rsidRDefault="00D422B1" w:rsidP="00095769">
      <w:pPr>
        <w:pStyle w:val="ListParagraph"/>
        <w:numPr>
          <w:ilvl w:val="0"/>
          <w:numId w:val="57"/>
        </w:numPr>
        <w:rPr>
          <w:color w:val="000000" w:themeColor="text1"/>
          <w:sz w:val="16"/>
          <w:szCs w:val="16"/>
          <w:lang w:eastAsia="en-GB"/>
        </w:rPr>
      </w:pPr>
      <w:r w:rsidRPr="00D6259F">
        <w:rPr>
          <w:color w:val="000000" w:themeColor="text1"/>
          <w:sz w:val="16"/>
          <w:szCs w:val="16"/>
          <w:lang w:eastAsia="en-GB"/>
        </w:rPr>
        <w:t>Excluding non-cash items</w:t>
      </w:r>
    </w:p>
    <w:bookmarkStart w:id="198" w:name="_Toc55482680"/>
    <w:bookmarkStart w:id="199" w:name="_Toc61862889"/>
    <w:p w14:paraId="68479C44" w14:textId="09A67B10" w:rsidR="002E60B5" w:rsidRPr="00D6259F" w:rsidRDefault="000F20D8" w:rsidP="007C7248">
      <w:pPr>
        <w:rPr>
          <w:color w:val="000000" w:themeColor="text1"/>
        </w:rPr>
      </w:pPr>
      <w:r w:rsidRPr="00D6259F">
        <w:rPr>
          <w:noProof/>
          <w:color w:val="000000" w:themeColor="text1"/>
        </w:rPr>
        <w:object w:dxaOrig="10530" w:dyaOrig="11340" w14:anchorId="6993BA00">
          <v:shape id="_x0000_i1104" type="#_x0000_t75" style="width:490pt;height:567pt" o:ole="">
            <v:imagedata r:id="rId170" o:title=""/>
          </v:shape>
          <o:OLEObject Type="Link" ProgID="Excel.Sheet.12" ShapeID="_x0000_i1104" DrawAspect="Content" r:id="rId171" UpdateMode="Always">
            <o:LinkType>EnhancedMetaFile</o:LinkType>
            <o:LockedField>false</o:LockedField>
          </o:OLEObject>
        </w:object>
      </w:r>
    </w:p>
    <w:p w14:paraId="1E42B8DE" w14:textId="77777777" w:rsidR="00147789" w:rsidRPr="00D6259F" w:rsidRDefault="00147789" w:rsidP="007C7248">
      <w:pPr>
        <w:rPr>
          <w:color w:val="000000" w:themeColor="text1"/>
        </w:rPr>
      </w:pPr>
    </w:p>
    <w:p w14:paraId="00BAE02A" w14:textId="77777777" w:rsidR="00AA0E13" w:rsidRPr="00D6259F" w:rsidRDefault="00AA0E13" w:rsidP="007C7248">
      <w:pPr>
        <w:rPr>
          <w:color w:val="000000" w:themeColor="text1"/>
        </w:rPr>
      </w:pPr>
    </w:p>
    <w:p w14:paraId="1C3651A0" w14:textId="77777777" w:rsidR="00AA0E13" w:rsidRPr="00D6259F" w:rsidRDefault="00AA0E13" w:rsidP="007C7248">
      <w:pPr>
        <w:rPr>
          <w:color w:val="000000" w:themeColor="text1"/>
        </w:rPr>
      </w:pPr>
    </w:p>
    <w:p w14:paraId="6AE61A9A" w14:textId="77777777" w:rsidR="00AA0E13" w:rsidRPr="00D6259F" w:rsidRDefault="00AA0E13" w:rsidP="007C7248">
      <w:pPr>
        <w:rPr>
          <w:color w:val="000000" w:themeColor="text1"/>
        </w:rPr>
      </w:pPr>
    </w:p>
    <w:p w14:paraId="1897631F" w14:textId="77777777" w:rsidR="00AA0E13" w:rsidRPr="00D6259F" w:rsidRDefault="00AA0E13" w:rsidP="007C7248">
      <w:pPr>
        <w:rPr>
          <w:color w:val="000000" w:themeColor="text1"/>
        </w:rPr>
      </w:pPr>
    </w:p>
    <w:p w14:paraId="759BFEC2" w14:textId="491F4D0C" w:rsidR="00175888" w:rsidRPr="00D6259F" w:rsidRDefault="00175888" w:rsidP="00D6259F">
      <w:pPr>
        <w:pStyle w:val="Heading1"/>
      </w:pPr>
      <w:bookmarkStart w:id="200" w:name="_Toc179890323"/>
      <w:r w:rsidRPr="00D6259F">
        <w:lastRenderedPageBreak/>
        <w:t xml:space="preserve">Other </w:t>
      </w:r>
      <w:r w:rsidR="00145404" w:rsidRPr="00D6259F">
        <w:t>D</w:t>
      </w:r>
      <w:r w:rsidRPr="00D6259F">
        <w:t>isclosures</w:t>
      </w:r>
      <w:bookmarkEnd w:id="198"/>
      <w:bookmarkEnd w:id="199"/>
      <w:bookmarkEnd w:id="200"/>
    </w:p>
    <w:p w14:paraId="2004B35B" w14:textId="77777777" w:rsidR="003D722B" w:rsidRPr="00D6259F" w:rsidRDefault="003D722B" w:rsidP="003D722B">
      <w:pPr>
        <w:pStyle w:val="Heading2"/>
      </w:pPr>
      <w:bookmarkStart w:id="201" w:name="_Toc179890324"/>
      <w:r w:rsidRPr="00D6259F">
        <w:t xml:space="preserve">Note 33: Financial </w:t>
      </w:r>
      <w:proofErr w:type="gramStart"/>
      <w:r w:rsidRPr="00D6259F">
        <w:t>instruments</w:t>
      </w:r>
      <w:bookmarkEnd w:id="201"/>
      <w:proofErr w:type="gramEnd"/>
    </w:p>
    <w:p w14:paraId="3D5D1D1A" w14:textId="38324716" w:rsidR="00442689" w:rsidRPr="00D6259F" w:rsidRDefault="007A3A0C" w:rsidP="007A3A0C">
      <w:pPr>
        <w:rPr>
          <w:color w:val="000000" w:themeColor="text1"/>
          <w:lang w:eastAsia="en-GB"/>
        </w:rPr>
      </w:pPr>
      <w:bookmarkStart w:id="202" w:name="_Toc121217175"/>
      <w:proofErr w:type="gramStart"/>
      <w:r w:rsidRPr="00D6259F">
        <w:rPr>
          <w:color w:val="000000" w:themeColor="text1"/>
          <w:lang w:eastAsia="en-GB"/>
        </w:rPr>
        <w:t>For the purpose of</w:t>
      </w:r>
      <w:proofErr w:type="gramEnd"/>
      <w:r w:rsidRPr="00D6259F">
        <w:rPr>
          <w:color w:val="000000" w:themeColor="text1"/>
          <w:lang w:eastAsia="en-GB"/>
        </w:rPr>
        <w:t xml:space="preserve"> measurement, the Council’s and</w:t>
      </w:r>
      <w:r w:rsidR="006020F7" w:rsidRPr="00D6259F">
        <w:rPr>
          <w:color w:val="000000" w:themeColor="text1"/>
          <w:lang w:eastAsia="en-GB"/>
        </w:rPr>
        <w:t xml:space="preserve"> Group</w:t>
      </w:r>
      <w:r w:rsidRPr="00D6259F">
        <w:rPr>
          <w:color w:val="000000" w:themeColor="text1"/>
          <w:lang w:eastAsia="en-GB"/>
        </w:rPr>
        <w:t xml:space="preserve">’s financial assets and liabilities are classified into categories according to the purpose for which the financial assets and liabilities were acquired. The classification is determined at initial recognition and re-evaluated at the end of each reporting period. </w:t>
      </w:r>
    </w:p>
    <w:p w14:paraId="0BFEC37C" w14:textId="77777777" w:rsidR="00D422B1" w:rsidRPr="00D6259F" w:rsidRDefault="00D422B1" w:rsidP="007C7248">
      <w:pPr>
        <w:pStyle w:val="Heading3"/>
      </w:pPr>
      <w:r w:rsidRPr="00D6259F">
        <w:t>Relevant significant accounting policies</w:t>
      </w:r>
      <w:bookmarkEnd w:id="202"/>
    </w:p>
    <w:p w14:paraId="277BAB9D" w14:textId="62596E2F" w:rsidR="00442689" w:rsidRPr="00D6259F" w:rsidRDefault="00D422B1" w:rsidP="007C7248">
      <w:pPr>
        <w:rPr>
          <w:color w:val="000000" w:themeColor="text1"/>
          <w:lang w:eastAsia="en-GB"/>
        </w:rPr>
      </w:pPr>
      <w:r w:rsidRPr="00D6259F">
        <w:rPr>
          <w:color w:val="000000" w:themeColor="text1"/>
          <w:lang w:eastAsia="en-GB"/>
        </w:rPr>
        <w:t xml:space="preserve">Financial instruments are initially recognised on trade-date at their fair value plus transaction costs. Subsequent measurement </w:t>
      </w:r>
      <w:r w:rsidR="005167A8" w:rsidRPr="00D6259F">
        <w:rPr>
          <w:color w:val="000000" w:themeColor="text1"/>
          <w:lang w:eastAsia="en-GB"/>
        </w:rPr>
        <w:t xml:space="preserve">and the treatment of gains or losses </w:t>
      </w:r>
      <w:r w:rsidRPr="00D6259F">
        <w:rPr>
          <w:color w:val="000000" w:themeColor="text1"/>
          <w:lang w:eastAsia="en-GB"/>
        </w:rPr>
        <w:t xml:space="preserve">depends </w:t>
      </w:r>
      <w:r w:rsidR="000B73BC" w:rsidRPr="00D6259F">
        <w:rPr>
          <w:color w:val="000000" w:themeColor="text1"/>
          <w:lang w:eastAsia="en-GB"/>
        </w:rPr>
        <w:t>up</w:t>
      </w:r>
      <w:r w:rsidRPr="00D6259F">
        <w:rPr>
          <w:color w:val="000000" w:themeColor="text1"/>
          <w:lang w:eastAsia="en-GB"/>
        </w:rPr>
        <w:t>on the</w:t>
      </w:r>
      <w:r w:rsidR="000B73BC" w:rsidRPr="00D6259F">
        <w:rPr>
          <w:color w:val="000000" w:themeColor="text1"/>
          <w:lang w:eastAsia="en-GB"/>
        </w:rPr>
        <w:t>ir</w:t>
      </w:r>
      <w:r w:rsidRPr="00D6259F">
        <w:rPr>
          <w:color w:val="000000" w:themeColor="text1"/>
          <w:lang w:eastAsia="en-GB"/>
        </w:rPr>
        <w:t xml:space="preserve"> classification </w:t>
      </w:r>
      <w:r w:rsidR="000B73BC" w:rsidRPr="00D6259F">
        <w:rPr>
          <w:color w:val="000000" w:themeColor="text1"/>
          <w:lang w:eastAsia="en-GB"/>
        </w:rPr>
        <w:t xml:space="preserve">as </w:t>
      </w:r>
      <w:r w:rsidR="00E0225E" w:rsidRPr="00D6259F">
        <w:rPr>
          <w:color w:val="000000" w:themeColor="text1"/>
          <w:lang w:eastAsia="en-GB"/>
        </w:rPr>
        <w:t xml:space="preserve">shown </w:t>
      </w:r>
      <w:r w:rsidR="000B73BC" w:rsidRPr="00D6259F">
        <w:rPr>
          <w:color w:val="000000" w:themeColor="text1"/>
          <w:lang w:eastAsia="en-GB"/>
        </w:rPr>
        <w:t xml:space="preserve">below </w:t>
      </w:r>
      <w:r w:rsidR="00E0225E" w:rsidRPr="00D6259F">
        <w:rPr>
          <w:color w:val="000000" w:themeColor="text1"/>
          <w:lang w:eastAsia="en-GB"/>
        </w:rPr>
        <w:t xml:space="preserve">in </w:t>
      </w:r>
      <w:r w:rsidR="00E0225E" w:rsidRPr="00D6259F">
        <w:rPr>
          <w:i/>
          <w:iCs/>
          <w:color w:val="000000" w:themeColor="text1"/>
          <w:lang w:eastAsia="en-GB"/>
        </w:rPr>
        <w:t xml:space="preserve">Table </w:t>
      </w:r>
      <w:r w:rsidR="00B96F44" w:rsidRPr="00D6259F">
        <w:rPr>
          <w:i/>
          <w:iCs/>
          <w:color w:val="000000" w:themeColor="text1"/>
          <w:lang w:eastAsia="en-GB"/>
        </w:rPr>
        <w:t>70</w:t>
      </w:r>
      <w:r w:rsidRPr="00D6259F">
        <w:rPr>
          <w:color w:val="000000" w:themeColor="text1"/>
          <w:lang w:eastAsia="en-GB"/>
        </w:rPr>
        <w:t>.</w:t>
      </w:r>
    </w:p>
    <w:tbl>
      <w:tblPr>
        <w:tblStyle w:val="TableGrid"/>
        <w:tblW w:w="9680" w:type="dxa"/>
        <w:tblLook w:val="04A0" w:firstRow="1" w:lastRow="0" w:firstColumn="1" w:lastColumn="0" w:noHBand="0" w:noVBand="1"/>
      </w:tblPr>
      <w:tblGrid>
        <w:gridCol w:w="3110"/>
        <w:gridCol w:w="3110"/>
        <w:gridCol w:w="3460"/>
      </w:tblGrid>
      <w:tr w:rsidR="00D6259F" w:rsidRPr="00D6259F" w14:paraId="71EEEF0B" w14:textId="77777777" w:rsidTr="00D3776F">
        <w:trPr>
          <w:trHeight w:val="457"/>
        </w:trPr>
        <w:tc>
          <w:tcPr>
            <w:tcW w:w="9680" w:type="dxa"/>
            <w:gridSpan w:val="3"/>
            <w:shd w:val="clear" w:color="auto" w:fill="auto"/>
          </w:tcPr>
          <w:p w14:paraId="3E7A3924" w14:textId="03484B0E" w:rsidR="00E0225E" w:rsidRPr="00D6259F" w:rsidRDefault="00E0225E" w:rsidP="00C20679">
            <w:pPr>
              <w:rPr>
                <w:b/>
                <w:bCs/>
                <w:color w:val="000000" w:themeColor="text1"/>
                <w:lang w:eastAsia="en-GB"/>
              </w:rPr>
            </w:pPr>
            <w:r w:rsidRPr="00D6259F">
              <w:rPr>
                <w:b/>
                <w:bCs/>
                <w:color w:val="000000" w:themeColor="text1"/>
                <w:lang w:eastAsia="en-GB"/>
              </w:rPr>
              <w:t xml:space="preserve">Table </w:t>
            </w:r>
            <w:r w:rsidR="006D2953" w:rsidRPr="00D6259F">
              <w:rPr>
                <w:b/>
                <w:bCs/>
                <w:color w:val="000000" w:themeColor="text1"/>
                <w:lang w:eastAsia="en-GB"/>
              </w:rPr>
              <w:t>70</w:t>
            </w:r>
            <w:r w:rsidRPr="00D6259F">
              <w:rPr>
                <w:b/>
                <w:bCs/>
                <w:color w:val="000000" w:themeColor="text1"/>
                <w:lang w:eastAsia="en-GB"/>
              </w:rPr>
              <w:t>: Classification of financial instruments</w:t>
            </w:r>
          </w:p>
        </w:tc>
      </w:tr>
      <w:tr w:rsidR="00D6259F" w:rsidRPr="00D6259F" w14:paraId="74B5537E" w14:textId="77777777" w:rsidTr="00D3776F">
        <w:trPr>
          <w:trHeight w:val="337"/>
        </w:trPr>
        <w:tc>
          <w:tcPr>
            <w:tcW w:w="3110" w:type="dxa"/>
          </w:tcPr>
          <w:p w14:paraId="27AD2676" w14:textId="1B498F55" w:rsidR="00D3776F" w:rsidRPr="00D6259F" w:rsidRDefault="00D3776F" w:rsidP="00D3776F">
            <w:pPr>
              <w:rPr>
                <w:b/>
                <w:bCs/>
                <w:color w:val="000000" w:themeColor="text1"/>
                <w:lang w:eastAsia="en-GB"/>
              </w:rPr>
            </w:pPr>
            <w:r w:rsidRPr="00D6259F">
              <w:rPr>
                <w:b/>
                <w:bCs/>
                <w:color w:val="000000" w:themeColor="text1"/>
                <w:lang w:eastAsia="en-GB"/>
              </w:rPr>
              <w:t>Financial asset category</w:t>
            </w:r>
          </w:p>
        </w:tc>
        <w:tc>
          <w:tcPr>
            <w:tcW w:w="3110" w:type="dxa"/>
          </w:tcPr>
          <w:p w14:paraId="38A94699" w14:textId="7D1D5185" w:rsidR="00D3776F" w:rsidRPr="00D6259F" w:rsidRDefault="00D3776F" w:rsidP="00D3776F">
            <w:pPr>
              <w:rPr>
                <w:color w:val="000000" w:themeColor="text1"/>
                <w:lang w:eastAsia="en-GB"/>
              </w:rPr>
            </w:pPr>
            <w:r w:rsidRPr="00D6259F">
              <w:rPr>
                <w:b/>
                <w:bCs/>
                <w:color w:val="000000" w:themeColor="text1"/>
                <w:lang w:eastAsia="en-GB"/>
              </w:rPr>
              <w:t>Subsequent measurement</w:t>
            </w:r>
          </w:p>
        </w:tc>
        <w:tc>
          <w:tcPr>
            <w:tcW w:w="3460" w:type="dxa"/>
          </w:tcPr>
          <w:p w14:paraId="51062B3B" w14:textId="68CD4A82" w:rsidR="00D3776F" w:rsidRPr="00D6259F" w:rsidRDefault="00D3776F" w:rsidP="00D3776F">
            <w:pPr>
              <w:rPr>
                <w:color w:val="000000" w:themeColor="text1"/>
                <w:lang w:eastAsia="en-GB"/>
              </w:rPr>
            </w:pPr>
            <w:r w:rsidRPr="00D6259F">
              <w:rPr>
                <w:b/>
                <w:bCs/>
                <w:color w:val="000000" w:themeColor="text1"/>
                <w:lang w:eastAsia="en-GB"/>
              </w:rPr>
              <w:t>Treatment of gains and losses</w:t>
            </w:r>
          </w:p>
        </w:tc>
      </w:tr>
      <w:tr w:rsidR="00D6259F" w:rsidRPr="00D6259F" w14:paraId="0C2A95B8" w14:textId="77777777" w:rsidTr="003E4704">
        <w:trPr>
          <w:trHeight w:val="607"/>
        </w:trPr>
        <w:tc>
          <w:tcPr>
            <w:tcW w:w="3110" w:type="dxa"/>
          </w:tcPr>
          <w:p w14:paraId="570A16BD" w14:textId="77777777" w:rsidR="00D3776F" w:rsidRPr="00D6259F" w:rsidRDefault="00D3776F" w:rsidP="00D3776F">
            <w:pPr>
              <w:rPr>
                <w:color w:val="000000" w:themeColor="text1"/>
                <w:lang w:eastAsia="en-GB"/>
              </w:rPr>
            </w:pPr>
            <w:r w:rsidRPr="00D6259F">
              <w:rPr>
                <w:color w:val="000000" w:themeColor="text1"/>
                <w:lang w:eastAsia="en-GB"/>
              </w:rPr>
              <w:t>Financial assets at amortised cost</w:t>
            </w:r>
          </w:p>
        </w:tc>
        <w:tc>
          <w:tcPr>
            <w:tcW w:w="3110" w:type="dxa"/>
          </w:tcPr>
          <w:p w14:paraId="391727BB" w14:textId="77777777" w:rsidR="00D3776F" w:rsidRPr="00D6259F" w:rsidRDefault="00D3776F" w:rsidP="00D3776F">
            <w:pPr>
              <w:rPr>
                <w:color w:val="000000" w:themeColor="text1"/>
                <w:lang w:eastAsia="en-GB"/>
              </w:rPr>
            </w:pPr>
            <w:r w:rsidRPr="00D6259F">
              <w:rPr>
                <w:color w:val="000000" w:themeColor="text1"/>
                <w:lang w:eastAsia="en-GB"/>
              </w:rPr>
              <w:t>Amortised cost using the effective interest rate method</w:t>
            </w:r>
          </w:p>
        </w:tc>
        <w:tc>
          <w:tcPr>
            <w:tcW w:w="3460" w:type="dxa"/>
          </w:tcPr>
          <w:p w14:paraId="485BFDF6" w14:textId="77777777" w:rsidR="00D3776F" w:rsidRPr="00D6259F" w:rsidRDefault="00D3776F" w:rsidP="00D3776F">
            <w:pPr>
              <w:rPr>
                <w:color w:val="000000" w:themeColor="text1"/>
                <w:lang w:eastAsia="en-GB"/>
              </w:rPr>
            </w:pPr>
            <w:r w:rsidRPr="00D6259F">
              <w:rPr>
                <w:color w:val="000000" w:themeColor="text1"/>
                <w:lang w:eastAsia="en-GB"/>
              </w:rPr>
              <w:t>Surplus or deficit</w:t>
            </w:r>
          </w:p>
        </w:tc>
      </w:tr>
      <w:tr w:rsidR="00D6259F" w:rsidRPr="00D6259F" w14:paraId="2EC0A54F" w14:textId="77777777" w:rsidTr="00D3776F">
        <w:trPr>
          <w:trHeight w:val="577"/>
        </w:trPr>
        <w:tc>
          <w:tcPr>
            <w:tcW w:w="3110" w:type="dxa"/>
          </w:tcPr>
          <w:p w14:paraId="58BE7508" w14:textId="20E53366" w:rsidR="00D3776F" w:rsidRPr="00D6259F" w:rsidRDefault="00D3776F" w:rsidP="00D3776F">
            <w:pPr>
              <w:rPr>
                <w:color w:val="000000" w:themeColor="text1"/>
                <w:lang w:eastAsia="en-GB"/>
              </w:rPr>
            </w:pPr>
            <w:r w:rsidRPr="00D6259F">
              <w:rPr>
                <w:color w:val="000000" w:themeColor="text1"/>
                <w:lang w:eastAsia="en-GB"/>
              </w:rPr>
              <w:t>Financial assets at fair value through surplus or deficit</w:t>
            </w:r>
          </w:p>
        </w:tc>
        <w:tc>
          <w:tcPr>
            <w:tcW w:w="3110" w:type="dxa"/>
          </w:tcPr>
          <w:p w14:paraId="1D9C8ECC" w14:textId="77777777" w:rsidR="00D3776F" w:rsidRPr="00D6259F" w:rsidRDefault="00D3776F" w:rsidP="00D3776F">
            <w:pPr>
              <w:rPr>
                <w:color w:val="000000" w:themeColor="text1"/>
                <w:lang w:eastAsia="en-GB"/>
              </w:rPr>
            </w:pPr>
            <w:r w:rsidRPr="00D6259F">
              <w:rPr>
                <w:color w:val="000000" w:themeColor="text1"/>
                <w:lang w:eastAsia="en-GB"/>
              </w:rPr>
              <w:t>Fair value</w:t>
            </w:r>
          </w:p>
        </w:tc>
        <w:tc>
          <w:tcPr>
            <w:tcW w:w="3460" w:type="dxa"/>
          </w:tcPr>
          <w:p w14:paraId="1A1EE840" w14:textId="77777777" w:rsidR="00D3776F" w:rsidRPr="00D6259F" w:rsidRDefault="00D3776F" w:rsidP="00D3776F">
            <w:pPr>
              <w:rPr>
                <w:color w:val="000000" w:themeColor="text1"/>
                <w:lang w:eastAsia="en-GB"/>
              </w:rPr>
            </w:pPr>
            <w:r w:rsidRPr="00D6259F">
              <w:rPr>
                <w:color w:val="000000" w:themeColor="text1"/>
                <w:lang w:eastAsia="en-GB"/>
              </w:rPr>
              <w:t>Surplus or deficit</w:t>
            </w:r>
          </w:p>
        </w:tc>
      </w:tr>
      <w:tr w:rsidR="00D6259F" w:rsidRPr="00D6259F" w14:paraId="28E13400" w14:textId="77777777" w:rsidTr="00D3776F">
        <w:trPr>
          <w:trHeight w:val="897"/>
        </w:trPr>
        <w:tc>
          <w:tcPr>
            <w:tcW w:w="3110" w:type="dxa"/>
          </w:tcPr>
          <w:p w14:paraId="2F929B2C" w14:textId="4D8D3D0A" w:rsidR="00D3776F" w:rsidRPr="00D6259F" w:rsidRDefault="00D3776F" w:rsidP="00D3776F">
            <w:pPr>
              <w:rPr>
                <w:color w:val="000000" w:themeColor="text1"/>
                <w:lang w:eastAsia="en-GB"/>
              </w:rPr>
            </w:pPr>
            <w:r w:rsidRPr="00D6259F">
              <w:rPr>
                <w:color w:val="000000" w:themeColor="text1"/>
                <w:lang w:eastAsia="en-GB"/>
              </w:rPr>
              <w:t>Financial assets at fair value through other comprehensive revenue and expense</w:t>
            </w:r>
          </w:p>
        </w:tc>
        <w:tc>
          <w:tcPr>
            <w:tcW w:w="3110" w:type="dxa"/>
          </w:tcPr>
          <w:p w14:paraId="2657A7CD" w14:textId="77777777" w:rsidR="00D3776F" w:rsidRPr="00D6259F" w:rsidRDefault="00D3776F" w:rsidP="00D3776F">
            <w:pPr>
              <w:rPr>
                <w:color w:val="000000" w:themeColor="text1"/>
                <w:lang w:eastAsia="en-GB"/>
              </w:rPr>
            </w:pPr>
            <w:r w:rsidRPr="00D6259F">
              <w:rPr>
                <w:color w:val="000000" w:themeColor="text1"/>
                <w:lang w:eastAsia="en-GB"/>
              </w:rPr>
              <w:t>Fair value</w:t>
            </w:r>
          </w:p>
          <w:p w14:paraId="0BCD1B86" w14:textId="77777777" w:rsidR="00D3776F" w:rsidRPr="00D6259F" w:rsidRDefault="00D3776F" w:rsidP="00D3776F">
            <w:pPr>
              <w:rPr>
                <w:color w:val="000000" w:themeColor="text1"/>
                <w:lang w:eastAsia="en-GB"/>
              </w:rPr>
            </w:pPr>
          </w:p>
        </w:tc>
        <w:tc>
          <w:tcPr>
            <w:tcW w:w="3460" w:type="dxa"/>
          </w:tcPr>
          <w:p w14:paraId="56A5920F" w14:textId="257AA881" w:rsidR="00D3776F" w:rsidRPr="00D6259F" w:rsidRDefault="00D3776F" w:rsidP="00D3776F">
            <w:pPr>
              <w:rPr>
                <w:color w:val="000000" w:themeColor="text1"/>
                <w:lang w:eastAsia="en-GB"/>
              </w:rPr>
            </w:pPr>
            <w:r w:rsidRPr="00D6259F">
              <w:rPr>
                <w:color w:val="000000" w:themeColor="text1"/>
                <w:lang w:eastAsia="en-GB"/>
              </w:rPr>
              <w:t>Other comprehensive revenue and expense</w:t>
            </w:r>
          </w:p>
        </w:tc>
      </w:tr>
      <w:tr w:rsidR="00D6259F" w:rsidRPr="00D6259F" w14:paraId="159B912C" w14:textId="77777777" w:rsidTr="00D3776F">
        <w:trPr>
          <w:trHeight w:val="383"/>
        </w:trPr>
        <w:tc>
          <w:tcPr>
            <w:tcW w:w="3110" w:type="dxa"/>
          </w:tcPr>
          <w:p w14:paraId="318CC77D" w14:textId="7EFD856F" w:rsidR="00D3776F" w:rsidRPr="00D6259F" w:rsidRDefault="00D3776F" w:rsidP="00D3776F">
            <w:pPr>
              <w:rPr>
                <w:color w:val="000000" w:themeColor="text1"/>
                <w:lang w:eastAsia="en-GB"/>
              </w:rPr>
            </w:pPr>
            <w:r w:rsidRPr="00D6259F">
              <w:rPr>
                <w:b/>
                <w:bCs/>
                <w:color w:val="000000" w:themeColor="text1"/>
                <w:lang w:eastAsia="en-GB"/>
              </w:rPr>
              <w:t>Financial liability category</w:t>
            </w:r>
          </w:p>
        </w:tc>
        <w:tc>
          <w:tcPr>
            <w:tcW w:w="3110" w:type="dxa"/>
          </w:tcPr>
          <w:p w14:paraId="00CDDD7B" w14:textId="7968075E" w:rsidR="00D3776F" w:rsidRPr="00D6259F" w:rsidRDefault="00D3776F" w:rsidP="00D3776F">
            <w:pPr>
              <w:rPr>
                <w:color w:val="000000" w:themeColor="text1"/>
                <w:lang w:eastAsia="en-GB"/>
              </w:rPr>
            </w:pPr>
            <w:r w:rsidRPr="00D6259F">
              <w:rPr>
                <w:b/>
                <w:bCs/>
                <w:color w:val="000000" w:themeColor="text1"/>
                <w:lang w:eastAsia="en-GB"/>
              </w:rPr>
              <w:t>Subsequent measurement</w:t>
            </w:r>
          </w:p>
        </w:tc>
        <w:tc>
          <w:tcPr>
            <w:tcW w:w="3460" w:type="dxa"/>
          </w:tcPr>
          <w:p w14:paraId="74B66DB4" w14:textId="26EFA52D" w:rsidR="00D3776F" w:rsidRPr="00D6259F" w:rsidRDefault="00D3776F" w:rsidP="00D3776F">
            <w:pPr>
              <w:rPr>
                <w:color w:val="000000" w:themeColor="text1"/>
                <w:lang w:eastAsia="en-GB"/>
              </w:rPr>
            </w:pPr>
            <w:r w:rsidRPr="00D6259F">
              <w:rPr>
                <w:b/>
                <w:bCs/>
                <w:color w:val="000000" w:themeColor="text1"/>
                <w:lang w:eastAsia="en-GB"/>
              </w:rPr>
              <w:t>Treatment of gains and losses</w:t>
            </w:r>
          </w:p>
        </w:tc>
      </w:tr>
      <w:tr w:rsidR="00D6259F" w:rsidRPr="00D6259F" w14:paraId="3E41DE1F" w14:textId="77777777" w:rsidTr="003E4704">
        <w:trPr>
          <w:trHeight w:val="567"/>
        </w:trPr>
        <w:tc>
          <w:tcPr>
            <w:tcW w:w="3110" w:type="dxa"/>
          </w:tcPr>
          <w:p w14:paraId="394A6802" w14:textId="79149E33" w:rsidR="00D3776F" w:rsidRPr="00D6259F" w:rsidRDefault="00D3776F" w:rsidP="00D3776F">
            <w:pPr>
              <w:rPr>
                <w:color w:val="000000" w:themeColor="text1"/>
                <w:lang w:eastAsia="en-GB"/>
              </w:rPr>
            </w:pPr>
            <w:r w:rsidRPr="00D6259F">
              <w:rPr>
                <w:color w:val="000000" w:themeColor="text1"/>
                <w:lang w:eastAsia="en-GB"/>
              </w:rPr>
              <w:t>Financial liabilities at amortised cost</w:t>
            </w:r>
          </w:p>
        </w:tc>
        <w:tc>
          <w:tcPr>
            <w:tcW w:w="3110" w:type="dxa"/>
          </w:tcPr>
          <w:p w14:paraId="7684E353" w14:textId="270610A7" w:rsidR="00D3776F" w:rsidRPr="00D6259F" w:rsidRDefault="00D3776F" w:rsidP="00D3776F">
            <w:pPr>
              <w:rPr>
                <w:color w:val="000000" w:themeColor="text1"/>
                <w:lang w:eastAsia="en-GB"/>
              </w:rPr>
            </w:pPr>
            <w:r w:rsidRPr="00D6259F">
              <w:rPr>
                <w:color w:val="000000" w:themeColor="text1"/>
                <w:lang w:eastAsia="en-GB"/>
              </w:rPr>
              <w:t>Amortised cost using the effective interest rate method</w:t>
            </w:r>
          </w:p>
        </w:tc>
        <w:tc>
          <w:tcPr>
            <w:tcW w:w="3460" w:type="dxa"/>
          </w:tcPr>
          <w:p w14:paraId="6311D5BF" w14:textId="2EB98F8A" w:rsidR="00D3776F" w:rsidRPr="00D6259F" w:rsidRDefault="00D3776F" w:rsidP="00D3776F">
            <w:pPr>
              <w:rPr>
                <w:color w:val="000000" w:themeColor="text1"/>
                <w:lang w:eastAsia="en-GB"/>
              </w:rPr>
            </w:pPr>
            <w:r w:rsidRPr="00D6259F">
              <w:rPr>
                <w:color w:val="000000" w:themeColor="text1"/>
                <w:lang w:eastAsia="en-GB"/>
              </w:rPr>
              <w:t>Surplus or deficit</w:t>
            </w:r>
          </w:p>
        </w:tc>
      </w:tr>
      <w:tr w:rsidR="00D3776F" w:rsidRPr="00D6259F" w14:paraId="59B07F79" w14:textId="77777777" w:rsidTr="00D3776F">
        <w:trPr>
          <w:trHeight w:val="1094"/>
        </w:trPr>
        <w:tc>
          <w:tcPr>
            <w:tcW w:w="3110" w:type="dxa"/>
          </w:tcPr>
          <w:p w14:paraId="6294A2B7" w14:textId="5E2AA0AC" w:rsidR="00D3776F" w:rsidRPr="00D6259F" w:rsidRDefault="00D3776F" w:rsidP="00D3776F">
            <w:pPr>
              <w:rPr>
                <w:color w:val="000000" w:themeColor="text1"/>
                <w:lang w:eastAsia="en-GB"/>
              </w:rPr>
            </w:pPr>
            <w:bookmarkStart w:id="203" w:name="_Hlk177647089"/>
            <w:r w:rsidRPr="00D6259F">
              <w:rPr>
                <w:color w:val="000000" w:themeColor="text1"/>
                <w:lang w:eastAsia="en-GB"/>
              </w:rPr>
              <w:t>Financial liabilities at fair value through other comprehensive revenue and expense</w:t>
            </w:r>
          </w:p>
        </w:tc>
        <w:tc>
          <w:tcPr>
            <w:tcW w:w="3110" w:type="dxa"/>
          </w:tcPr>
          <w:p w14:paraId="1F603F35" w14:textId="77777777" w:rsidR="00D3776F" w:rsidRPr="00D6259F" w:rsidRDefault="00D3776F" w:rsidP="00D3776F">
            <w:pPr>
              <w:rPr>
                <w:color w:val="000000" w:themeColor="text1"/>
                <w:lang w:eastAsia="en-GB"/>
              </w:rPr>
            </w:pPr>
            <w:r w:rsidRPr="00D6259F">
              <w:rPr>
                <w:color w:val="000000" w:themeColor="text1"/>
                <w:lang w:eastAsia="en-GB"/>
              </w:rPr>
              <w:t>Fair value</w:t>
            </w:r>
          </w:p>
          <w:p w14:paraId="7B332197" w14:textId="15635929" w:rsidR="00D3776F" w:rsidRPr="00D6259F" w:rsidRDefault="00D3776F" w:rsidP="00D3776F">
            <w:pPr>
              <w:rPr>
                <w:color w:val="000000" w:themeColor="text1"/>
                <w:lang w:eastAsia="en-GB"/>
              </w:rPr>
            </w:pPr>
          </w:p>
        </w:tc>
        <w:tc>
          <w:tcPr>
            <w:tcW w:w="3460" w:type="dxa"/>
          </w:tcPr>
          <w:p w14:paraId="739C9942" w14:textId="342EC171" w:rsidR="00D3776F" w:rsidRPr="00D6259F" w:rsidRDefault="00D3776F" w:rsidP="00D3776F">
            <w:pPr>
              <w:rPr>
                <w:color w:val="000000" w:themeColor="text1"/>
                <w:lang w:eastAsia="en-GB"/>
              </w:rPr>
            </w:pPr>
            <w:r w:rsidRPr="00D6259F">
              <w:rPr>
                <w:color w:val="000000" w:themeColor="text1"/>
                <w:lang w:eastAsia="en-GB"/>
              </w:rPr>
              <w:t>Other comprehensive revenue and expense</w:t>
            </w:r>
          </w:p>
        </w:tc>
      </w:tr>
      <w:bookmarkEnd w:id="203"/>
    </w:tbl>
    <w:p w14:paraId="74CFA72B" w14:textId="77777777" w:rsidR="00E529B9" w:rsidRPr="00D6259F" w:rsidRDefault="00E529B9" w:rsidP="007C7248">
      <w:pPr>
        <w:rPr>
          <w:color w:val="000000" w:themeColor="text1"/>
          <w:lang w:eastAsia="en-GB"/>
        </w:rPr>
      </w:pPr>
    </w:p>
    <w:p w14:paraId="16F89731" w14:textId="77777777" w:rsidR="00D422B1" w:rsidRPr="00D6259F" w:rsidRDefault="00D422B1" w:rsidP="007C7248">
      <w:pPr>
        <w:pStyle w:val="Heading5"/>
        <w:rPr>
          <w:color w:val="000000" w:themeColor="text1"/>
        </w:rPr>
      </w:pPr>
      <w:r w:rsidRPr="00D6259F">
        <w:rPr>
          <w:color w:val="000000" w:themeColor="text1"/>
        </w:rPr>
        <w:t>Financial Assets</w:t>
      </w:r>
    </w:p>
    <w:p w14:paraId="59CCF8C8" w14:textId="169278B9" w:rsidR="00D422B1" w:rsidRPr="00D6259F" w:rsidRDefault="00D422B1" w:rsidP="007C7248">
      <w:pPr>
        <w:rPr>
          <w:color w:val="000000" w:themeColor="text1"/>
          <w:lang w:eastAsia="en-GB"/>
        </w:rPr>
      </w:pPr>
      <w:r w:rsidRPr="00D6259F">
        <w:rPr>
          <w:color w:val="000000" w:themeColor="text1"/>
          <w:lang w:eastAsia="en-GB"/>
        </w:rPr>
        <w:t xml:space="preserve">Financial assets </w:t>
      </w:r>
      <w:r w:rsidR="00E0225E" w:rsidRPr="00D6259F">
        <w:rPr>
          <w:color w:val="000000" w:themeColor="text1"/>
          <w:lang w:eastAsia="en-GB"/>
        </w:rPr>
        <w:t>comprise the following categories and components:</w:t>
      </w:r>
    </w:p>
    <w:p w14:paraId="5DBEE13F" w14:textId="18C47EA4" w:rsidR="00574DDD" w:rsidRPr="00D6259F" w:rsidRDefault="007D67AE" w:rsidP="007C7248">
      <w:pPr>
        <w:rPr>
          <w:b/>
          <w:bCs/>
          <w:color w:val="000000" w:themeColor="text1"/>
          <w:lang w:eastAsia="en-GB"/>
        </w:rPr>
      </w:pPr>
      <w:r w:rsidRPr="00D6259F">
        <w:rPr>
          <w:b/>
          <w:bCs/>
          <w:color w:val="000000" w:themeColor="text1"/>
          <w:lang w:eastAsia="en-GB"/>
        </w:rPr>
        <w:t>Financial assets at a</w:t>
      </w:r>
      <w:r w:rsidR="003D722B" w:rsidRPr="00D6259F">
        <w:rPr>
          <w:b/>
          <w:bCs/>
          <w:color w:val="000000" w:themeColor="text1"/>
          <w:lang w:eastAsia="en-GB"/>
        </w:rPr>
        <w:t>mortised cost</w:t>
      </w:r>
    </w:p>
    <w:p w14:paraId="35A0F09D" w14:textId="21AEEC0F" w:rsidR="00D422B1" w:rsidRPr="00D6259F" w:rsidRDefault="00D422B1" w:rsidP="00E76A2E">
      <w:pPr>
        <w:pStyle w:val="ListParagraph"/>
        <w:numPr>
          <w:ilvl w:val="0"/>
          <w:numId w:val="23"/>
        </w:numPr>
        <w:rPr>
          <w:color w:val="000000" w:themeColor="text1"/>
          <w:lang w:eastAsia="en-GB"/>
        </w:rPr>
      </w:pPr>
      <w:r w:rsidRPr="00D6259F">
        <w:rPr>
          <w:color w:val="000000" w:themeColor="text1"/>
          <w:lang w:eastAsia="en-GB"/>
        </w:rPr>
        <w:t xml:space="preserve">Cash and cash equivalents </w:t>
      </w:r>
      <w:r w:rsidR="00574DDD" w:rsidRPr="00D6259F">
        <w:rPr>
          <w:color w:val="000000" w:themeColor="text1"/>
          <w:lang w:eastAsia="en-GB"/>
        </w:rPr>
        <w:t>include</w:t>
      </w:r>
      <w:r w:rsidRPr="00D6259F">
        <w:rPr>
          <w:color w:val="000000" w:themeColor="text1"/>
          <w:lang w:eastAsia="en-GB"/>
        </w:rPr>
        <w:t xml:space="preserve"> cash </w:t>
      </w:r>
      <w:r w:rsidR="00574DDD" w:rsidRPr="00D6259F">
        <w:rPr>
          <w:color w:val="000000" w:themeColor="text1"/>
          <w:lang w:eastAsia="en-GB"/>
        </w:rPr>
        <w:t xml:space="preserve">balances </w:t>
      </w:r>
      <w:r w:rsidRPr="00D6259F">
        <w:rPr>
          <w:color w:val="000000" w:themeColor="text1"/>
          <w:lang w:eastAsia="en-GB"/>
        </w:rPr>
        <w:t xml:space="preserve">and bank deposits with maturity dates of </w:t>
      </w:r>
      <w:r w:rsidR="00F44A23" w:rsidRPr="00D6259F">
        <w:rPr>
          <w:color w:val="000000" w:themeColor="text1"/>
          <w:lang w:eastAsia="en-GB"/>
        </w:rPr>
        <w:t xml:space="preserve">up to 3 months </w:t>
      </w:r>
      <w:r w:rsidR="00574DDD" w:rsidRPr="00D6259F">
        <w:rPr>
          <w:color w:val="000000" w:themeColor="text1"/>
          <w:lang w:eastAsia="en-GB"/>
        </w:rPr>
        <w:t>at acquisition.</w:t>
      </w:r>
    </w:p>
    <w:p w14:paraId="7A3B9511" w14:textId="63174749" w:rsidR="00D422B1" w:rsidRPr="00D6259F" w:rsidRDefault="00D422B1" w:rsidP="00E76A2E">
      <w:pPr>
        <w:pStyle w:val="ListParagraph"/>
        <w:numPr>
          <w:ilvl w:val="0"/>
          <w:numId w:val="23"/>
        </w:numPr>
        <w:rPr>
          <w:color w:val="000000" w:themeColor="text1"/>
          <w:lang w:eastAsia="en-GB"/>
        </w:rPr>
      </w:pPr>
      <w:r w:rsidRPr="00D6259F">
        <w:rPr>
          <w:color w:val="000000" w:themeColor="text1"/>
          <w:lang w:eastAsia="en-GB"/>
        </w:rPr>
        <w:t xml:space="preserve">Receivables and recoverables </w:t>
      </w:r>
      <w:r w:rsidR="001C75E0" w:rsidRPr="00D6259F">
        <w:rPr>
          <w:color w:val="000000" w:themeColor="text1"/>
          <w:lang w:eastAsia="en-GB"/>
        </w:rPr>
        <w:t xml:space="preserve">which </w:t>
      </w:r>
      <w:r w:rsidRPr="00D6259F">
        <w:rPr>
          <w:color w:val="000000" w:themeColor="text1"/>
          <w:lang w:eastAsia="en-GB"/>
        </w:rPr>
        <w:t>have fixed or determinable payments. They arise when the</w:t>
      </w:r>
      <w:r w:rsidR="006020F7" w:rsidRPr="00D6259F">
        <w:rPr>
          <w:color w:val="000000" w:themeColor="text1"/>
          <w:lang w:eastAsia="en-GB"/>
        </w:rPr>
        <w:t xml:space="preserve"> Group</w:t>
      </w:r>
      <w:r w:rsidRPr="00D6259F">
        <w:rPr>
          <w:color w:val="000000" w:themeColor="text1"/>
          <w:lang w:eastAsia="en-GB"/>
        </w:rPr>
        <w:t xml:space="preserve"> provides money, </w:t>
      </w:r>
      <w:proofErr w:type="gramStart"/>
      <w:r w:rsidRPr="00D6259F">
        <w:rPr>
          <w:color w:val="000000" w:themeColor="text1"/>
          <w:lang w:eastAsia="en-GB"/>
        </w:rPr>
        <w:t>goods</w:t>
      </w:r>
      <w:proofErr w:type="gramEnd"/>
      <w:r w:rsidRPr="00D6259F">
        <w:rPr>
          <w:color w:val="000000" w:themeColor="text1"/>
          <w:lang w:eastAsia="en-GB"/>
        </w:rPr>
        <w:t xml:space="preserve"> or services directly to a debtor, and has no intention of trading the receivable or recoverable.</w:t>
      </w:r>
    </w:p>
    <w:p w14:paraId="5AD2ABCE" w14:textId="242A4670" w:rsidR="00D422B1" w:rsidRPr="00D6259F" w:rsidRDefault="00D422B1" w:rsidP="00E76A2E">
      <w:pPr>
        <w:pStyle w:val="ListParagraph"/>
        <w:numPr>
          <w:ilvl w:val="0"/>
          <w:numId w:val="23"/>
        </w:numPr>
        <w:rPr>
          <w:color w:val="000000" w:themeColor="text1"/>
          <w:lang w:eastAsia="en-GB"/>
        </w:rPr>
      </w:pPr>
      <w:r w:rsidRPr="00D6259F">
        <w:rPr>
          <w:color w:val="000000" w:themeColor="text1"/>
          <w:lang w:eastAsia="en-GB"/>
        </w:rPr>
        <w:t xml:space="preserve">Loans and deposits </w:t>
      </w:r>
      <w:r w:rsidR="00927929" w:rsidRPr="00D6259F">
        <w:rPr>
          <w:color w:val="000000" w:themeColor="text1"/>
          <w:lang w:eastAsia="en-GB"/>
        </w:rPr>
        <w:t xml:space="preserve">which </w:t>
      </w:r>
      <w:r w:rsidRPr="00D6259F">
        <w:rPr>
          <w:color w:val="000000" w:themeColor="text1"/>
          <w:lang w:eastAsia="en-GB"/>
        </w:rPr>
        <w:t xml:space="preserve">include loans to other entities (including controlled entities and associates), and bank deposits with maturity dates of more than </w:t>
      </w:r>
      <w:r w:rsidR="00F44A23" w:rsidRPr="00D6259F">
        <w:rPr>
          <w:color w:val="000000" w:themeColor="text1"/>
          <w:lang w:eastAsia="en-GB"/>
        </w:rPr>
        <w:t>3</w:t>
      </w:r>
      <w:r w:rsidRPr="00D6259F">
        <w:rPr>
          <w:color w:val="000000" w:themeColor="text1"/>
          <w:lang w:eastAsia="en-GB"/>
        </w:rPr>
        <w:t xml:space="preserve"> months</w:t>
      </w:r>
      <w:r w:rsidR="002560E6" w:rsidRPr="00D6259F">
        <w:rPr>
          <w:color w:val="000000" w:themeColor="text1"/>
          <w:lang w:eastAsia="en-GB"/>
        </w:rPr>
        <w:t xml:space="preserve"> at acquisition.</w:t>
      </w:r>
    </w:p>
    <w:p w14:paraId="45851D64" w14:textId="77777777" w:rsidR="006C4499" w:rsidRPr="00D6259F" w:rsidRDefault="006C4499" w:rsidP="00E0225E">
      <w:pPr>
        <w:rPr>
          <w:color w:val="000000" w:themeColor="text1"/>
          <w:lang w:eastAsia="en-GB"/>
        </w:rPr>
      </w:pPr>
    </w:p>
    <w:p w14:paraId="5F36BF8F" w14:textId="268E8B5C" w:rsidR="00E0225E" w:rsidRPr="00D6259F" w:rsidRDefault="00927929" w:rsidP="00E0225E">
      <w:pPr>
        <w:rPr>
          <w:color w:val="000000" w:themeColor="text1"/>
          <w:lang w:eastAsia="en-GB"/>
        </w:rPr>
      </w:pPr>
      <w:r w:rsidRPr="00D6259F">
        <w:rPr>
          <w:color w:val="000000" w:themeColor="text1"/>
          <w:lang w:eastAsia="en-GB"/>
        </w:rPr>
        <w:lastRenderedPageBreak/>
        <w:t>Initial recognition at f</w:t>
      </w:r>
      <w:r w:rsidR="00E0225E" w:rsidRPr="00D6259F">
        <w:rPr>
          <w:color w:val="000000" w:themeColor="text1"/>
          <w:lang w:eastAsia="en-GB"/>
        </w:rPr>
        <w:t xml:space="preserve">air value is estimated as the present value of future cash flows, discounted at the market rate of interest at the reporting date for assets of a similar maturity and credit risk. Receivables or recoverables due in less than 12 months are </w:t>
      </w:r>
      <w:r w:rsidR="001C75E0" w:rsidRPr="00D6259F">
        <w:rPr>
          <w:color w:val="000000" w:themeColor="text1"/>
          <w:lang w:eastAsia="en-GB"/>
        </w:rPr>
        <w:t xml:space="preserve">initially </w:t>
      </w:r>
      <w:r w:rsidR="00E0225E" w:rsidRPr="00D6259F">
        <w:rPr>
          <w:color w:val="000000" w:themeColor="text1"/>
          <w:lang w:eastAsia="en-GB"/>
        </w:rPr>
        <w:t>recognised at their nominal value</w:t>
      </w:r>
      <w:r w:rsidRPr="00D6259F">
        <w:rPr>
          <w:color w:val="000000" w:themeColor="text1"/>
          <w:lang w:eastAsia="en-GB"/>
        </w:rPr>
        <w:t xml:space="preserve"> as an estimate of fair value</w:t>
      </w:r>
      <w:r w:rsidR="00E0225E" w:rsidRPr="00D6259F">
        <w:rPr>
          <w:color w:val="000000" w:themeColor="text1"/>
          <w:lang w:eastAsia="en-GB"/>
        </w:rPr>
        <w:t xml:space="preserve">. </w:t>
      </w:r>
    </w:p>
    <w:p w14:paraId="6E0B1D7D" w14:textId="1E599F14" w:rsidR="00E0225E" w:rsidRPr="00D6259F" w:rsidRDefault="00E529B9" w:rsidP="00E0225E">
      <w:pPr>
        <w:rPr>
          <w:b/>
          <w:bCs/>
          <w:color w:val="000000" w:themeColor="text1"/>
          <w:lang w:eastAsia="en-GB"/>
        </w:rPr>
      </w:pPr>
      <w:r w:rsidRPr="00D6259F">
        <w:rPr>
          <w:b/>
          <w:bCs/>
          <w:color w:val="000000" w:themeColor="text1"/>
          <w:lang w:eastAsia="en-GB"/>
        </w:rPr>
        <w:t>Financial assets at f</w:t>
      </w:r>
      <w:r w:rsidR="00E0225E" w:rsidRPr="00D6259F">
        <w:rPr>
          <w:b/>
          <w:bCs/>
          <w:color w:val="000000" w:themeColor="text1"/>
          <w:lang w:eastAsia="en-GB"/>
        </w:rPr>
        <w:t>air value through surplus or deficit (FV</w:t>
      </w:r>
      <w:r w:rsidR="00204483" w:rsidRPr="00D6259F">
        <w:rPr>
          <w:b/>
          <w:bCs/>
          <w:color w:val="000000" w:themeColor="text1"/>
          <w:lang w:eastAsia="en-GB"/>
        </w:rPr>
        <w:t>T</w:t>
      </w:r>
      <w:r w:rsidR="00E0225E" w:rsidRPr="00D6259F">
        <w:rPr>
          <w:b/>
          <w:bCs/>
          <w:color w:val="000000" w:themeColor="text1"/>
          <w:lang w:eastAsia="en-GB"/>
        </w:rPr>
        <w:t>SD)</w:t>
      </w:r>
    </w:p>
    <w:p w14:paraId="3B77242B" w14:textId="77777777" w:rsidR="00E0225E" w:rsidRPr="00D6259F" w:rsidRDefault="00E0225E" w:rsidP="00BB0BEE">
      <w:pPr>
        <w:pStyle w:val="ListParagraph"/>
        <w:numPr>
          <w:ilvl w:val="0"/>
          <w:numId w:val="50"/>
        </w:numPr>
        <w:rPr>
          <w:color w:val="000000" w:themeColor="text1"/>
          <w:lang w:eastAsia="en-GB"/>
        </w:rPr>
      </w:pPr>
      <w:r w:rsidRPr="00D6259F">
        <w:rPr>
          <w:color w:val="000000" w:themeColor="text1"/>
          <w:lang w:eastAsia="en-GB"/>
        </w:rPr>
        <w:t xml:space="preserve">LGFA borrower notes, as the LGFA </w:t>
      </w:r>
      <w:proofErr w:type="gramStart"/>
      <w:r w:rsidRPr="00D6259F">
        <w:rPr>
          <w:color w:val="000000" w:themeColor="text1"/>
          <w:lang w:eastAsia="en-GB"/>
        </w:rPr>
        <w:t>has the ability to</w:t>
      </w:r>
      <w:proofErr w:type="gramEnd"/>
      <w:r w:rsidRPr="00D6259F">
        <w:rPr>
          <w:color w:val="000000" w:themeColor="text1"/>
          <w:lang w:eastAsia="en-GB"/>
        </w:rPr>
        <w:t xml:space="preserve"> repay the investment before the original maturity date.</w:t>
      </w:r>
    </w:p>
    <w:p w14:paraId="64B364DA" w14:textId="4C7B210B" w:rsidR="00E0225E" w:rsidRPr="00D6259F" w:rsidRDefault="00E529B9" w:rsidP="00E0225E">
      <w:pPr>
        <w:rPr>
          <w:b/>
          <w:bCs/>
          <w:color w:val="000000" w:themeColor="text1"/>
          <w:lang w:eastAsia="en-GB"/>
        </w:rPr>
      </w:pPr>
      <w:r w:rsidRPr="00D6259F">
        <w:rPr>
          <w:b/>
          <w:bCs/>
          <w:color w:val="000000" w:themeColor="text1"/>
          <w:lang w:eastAsia="en-GB"/>
        </w:rPr>
        <w:t>Financial assets at f</w:t>
      </w:r>
      <w:r w:rsidR="00E0225E" w:rsidRPr="00D6259F">
        <w:rPr>
          <w:b/>
          <w:bCs/>
          <w:color w:val="000000" w:themeColor="text1"/>
          <w:lang w:eastAsia="en-GB"/>
        </w:rPr>
        <w:t>air value through other comprehensive revenue and expense (FVTOCRE)</w:t>
      </w:r>
    </w:p>
    <w:p w14:paraId="5130FA3A" w14:textId="77777777" w:rsidR="00E0225E" w:rsidRPr="00D6259F" w:rsidRDefault="00E0225E" w:rsidP="00BB0BEE">
      <w:pPr>
        <w:pStyle w:val="ListParagraph"/>
        <w:numPr>
          <w:ilvl w:val="0"/>
          <w:numId w:val="50"/>
        </w:numPr>
        <w:rPr>
          <w:color w:val="000000" w:themeColor="text1"/>
          <w:lang w:eastAsia="en-GB"/>
        </w:rPr>
      </w:pPr>
      <w:bookmarkStart w:id="204" w:name="_Hlk167188379"/>
      <w:r w:rsidRPr="00D6259F">
        <w:rPr>
          <w:color w:val="000000" w:themeColor="text1"/>
          <w:lang w:eastAsia="en-GB"/>
        </w:rPr>
        <w:t>Derivatives (interest rate swaps) that qualify for hedge accounting.</w:t>
      </w:r>
    </w:p>
    <w:p w14:paraId="5EFC66A6" w14:textId="77777777" w:rsidR="00E0225E" w:rsidRPr="00D6259F" w:rsidRDefault="00E0225E" w:rsidP="00BB0BEE">
      <w:pPr>
        <w:pStyle w:val="ListParagraph"/>
        <w:numPr>
          <w:ilvl w:val="0"/>
          <w:numId w:val="50"/>
        </w:numPr>
        <w:rPr>
          <w:color w:val="000000" w:themeColor="text1"/>
          <w:lang w:eastAsia="en-GB"/>
        </w:rPr>
      </w:pPr>
      <w:r w:rsidRPr="00D6259F">
        <w:rPr>
          <w:color w:val="000000" w:themeColor="text1"/>
          <w:lang w:eastAsia="en-GB"/>
        </w:rPr>
        <w:t>Equity investments, held by the Group for long-term strategic purposes and therefore are not intended to be sold. Within the Group, small shareholdings are held in start-up companies, which are available for sale, until the companies mature or cease operations.</w:t>
      </w:r>
    </w:p>
    <w:bookmarkEnd w:id="204"/>
    <w:p w14:paraId="13FAD782" w14:textId="77777777" w:rsidR="00E0225E" w:rsidRPr="00D6259F" w:rsidRDefault="00E0225E" w:rsidP="00E0225E">
      <w:pPr>
        <w:rPr>
          <w:color w:val="000000" w:themeColor="text1"/>
          <w:lang w:eastAsia="en-GB"/>
        </w:rPr>
      </w:pPr>
      <w:r w:rsidRPr="00D6259F">
        <w:rPr>
          <w:color w:val="000000" w:themeColor="text1"/>
          <w:lang w:eastAsia="en-GB"/>
        </w:rPr>
        <w:t>Financial assets are derecognised when the rights to receive cash flows have expired or have been transferred and the Group has transferred substantially all the risks and rewards of ownership.</w:t>
      </w:r>
    </w:p>
    <w:p w14:paraId="7A1CD78B" w14:textId="77777777" w:rsidR="00D422B1" w:rsidRPr="00D6259F" w:rsidRDefault="00D422B1" w:rsidP="007C7248">
      <w:pPr>
        <w:pStyle w:val="Heading5"/>
        <w:rPr>
          <w:color w:val="000000" w:themeColor="text1"/>
        </w:rPr>
      </w:pPr>
      <w:r w:rsidRPr="00D6259F">
        <w:rPr>
          <w:color w:val="000000" w:themeColor="text1"/>
        </w:rPr>
        <w:t>Financial Liabilities</w:t>
      </w:r>
    </w:p>
    <w:p w14:paraId="2C732A28" w14:textId="549BF08E" w:rsidR="00AD0A2B" w:rsidRPr="00D6259F" w:rsidRDefault="00AD0A2B" w:rsidP="00AD0A2B">
      <w:pPr>
        <w:rPr>
          <w:color w:val="000000" w:themeColor="text1"/>
          <w:lang w:eastAsia="en-GB"/>
        </w:rPr>
      </w:pPr>
      <w:r w:rsidRPr="00D6259F">
        <w:rPr>
          <w:color w:val="000000" w:themeColor="text1"/>
          <w:lang w:eastAsia="en-GB"/>
        </w:rPr>
        <w:t xml:space="preserve">Financial liabilities </w:t>
      </w:r>
      <w:r w:rsidR="00E0225E" w:rsidRPr="00D6259F">
        <w:rPr>
          <w:color w:val="000000" w:themeColor="text1"/>
          <w:lang w:eastAsia="en-GB"/>
        </w:rPr>
        <w:t>comprise the following categories and components:</w:t>
      </w:r>
    </w:p>
    <w:p w14:paraId="59E3AFBA" w14:textId="5290BE3E" w:rsidR="00E0225E" w:rsidRPr="00D6259F" w:rsidRDefault="00111AD5" w:rsidP="00E0225E">
      <w:pPr>
        <w:rPr>
          <w:b/>
          <w:bCs/>
          <w:color w:val="000000" w:themeColor="text1"/>
          <w:lang w:eastAsia="en-GB"/>
        </w:rPr>
      </w:pPr>
      <w:r w:rsidRPr="00D6259F">
        <w:rPr>
          <w:b/>
          <w:bCs/>
          <w:color w:val="000000" w:themeColor="text1"/>
          <w:lang w:eastAsia="en-GB"/>
        </w:rPr>
        <w:t xml:space="preserve">Financial </w:t>
      </w:r>
      <w:r w:rsidR="00C50538" w:rsidRPr="00D6259F">
        <w:rPr>
          <w:b/>
          <w:bCs/>
          <w:color w:val="000000" w:themeColor="text1"/>
          <w:lang w:eastAsia="en-GB"/>
        </w:rPr>
        <w:t>liabilities</w:t>
      </w:r>
      <w:r w:rsidRPr="00D6259F">
        <w:rPr>
          <w:b/>
          <w:bCs/>
          <w:color w:val="000000" w:themeColor="text1"/>
          <w:lang w:eastAsia="en-GB"/>
        </w:rPr>
        <w:t xml:space="preserve"> at a</w:t>
      </w:r>
      <w:r w:rsidR="00E0225E" w:rsidRPr="00D6259F">
        <w:rPr>
          <w:b/>
          <w:bCs/>
          <w:color w:val="000000" w:themeColor="text1"/>
          <w:lang w:eastAsia="en-GB"/>
        </w:rPr>
        <w:t>mortised cost</w:t>
      </w:r>
    </w:p>
    <w:p w14:paraId="0ED95122" w14:textId="77777777" w:rsidR="00E0225E" w:rsidRPr="00D6259F" w:rsidRDefault="00E0225E" w:rsidP="00BB0BEE">
      <w:pPr>
        <w:pStyle w:val="ListParagraph"/>
        <w:numPr>
          <w:ilvl w:val="0"/>
          <w:numId w:val="50"/>
        </w:numPr>
        <w:rPr>
          <w:color w:val="000000" w:themeColor="text1"/>
          <w:lang w:eastAsia="en-GB"/>
        </w:rPr>
      </w:pPr>
      <w:r w:rsidRPr="00D6259F">
        <w:rPr>
          <w:color w:val="000000" w:themeColor="text1"/>
          <w:lang w:eastAsia="en-GB"/>
        </w:rPr>
        <w:t>Payables under exchange transactions</w:t>
      </w:r>
    </w:p>
    <w:p w14:paraId="420A41AB" w14:textId="62551CF6" w:rsidR="00E0225E" w:rsidRPr="00D6259F" w:rsidRDefault="00E0225E" w:rsidP="00BB0BEE">
      <w:pPr>
        <w:pStyle w:val="ListParagraph"/>
        <w:numPr>
          <w:ilvl w:val="0"/>
          <w:numId w:val="50"/>
        </w:numPr>
        <w:rPr>
          <w:color w:val="000000" w:themeColor="text1"/>
          <w:lang w:eastAsia="en-GB"/>
        </w:rPr>
      </w:pPr>
      <w:r w:rsidRPr="00D6259F">
        <w:rPr>
          <w:color w:val="000000" w:themeColor="text1"/>
          <w:lang w:eastAsia="en-GB"/>
        </w:rPr>
        <w:t xml:space="preserve">Transfers </w:t>
      </w:r>
      <w:r w:rsidR="00CE5E03" w:rsidRPr="00D6259F">
        <w:rPr>
          <w:color w:val="000000" w:themeColor="text1"/>
          <w:lang w:eastAsia="en-GB"/>
        </w:rPr>
        <w:t>payable</w:t>
      </w:r>
    </w:p>
    <w:p w14:paraId="1E861F6E" w14:textId="4A69C454" w:rsidR="00E0225E" w:rsidRPr="00D6259F" w:rsidRDefault="00E0225E" w:rsidP="00BB0BEE">
      <w:pPr>
        <w:pStyle w:val="ListParagraph"/>
        <w:numPr>
          <w:ilvl w:val="0"/>
          <w:numId w:val="50"/>
        </w:numPr>
        <w:rPr>
          <w:color w:val="000000" w:themeColor="text1"/>
          <w:lang w:eastAsia="en-GB"/>
        </w:rPr>
      </w:pPr>
      <w:r w:rsidRPr="00D6259F">
        <w:rPr>
          <w:color w:val="000000" w:themeColor="text1"/>
          <w:lang w:eastAsia="en-GB"/>
        </w:rPr>
        <w:t>Taxes</w:t>
      </w:r>
      <w:r w:rsidR="00CE5E03" w:rsidRPr="00D6259F">
        <w:rPr>
          <w:color w:val="000000" w:themeColor="text1"/>
          <w:lang w:eastAsia="en-GB"/>
        </w:rPr>
        <w:t xml:space="preserve"> payable</w:t>
      </w:r>
    </w:p>
    <w:p w14:paraId="1A707E6E" w14:textId="77777777" w:rsidR="00E0225E" w:rsidRPr="00D6259F" w:rsidRDefault="00E0225E" w:rsidP="00BB0BEE">
      <w:pPr>
        <w:pStyle w:val="ListParagraph"/>
        <w:numPr>
          <w:ilvl w:val="0"/>
          <w:numId w:val="50"/>
        </w:numPr>
        <w:rPr>
          <w:b/>
          <w:bCs/>
          <w:color w:val="000000" w:themeColor="text1"/>
          <w:lang w:eastAsia="en-GB"/>
        </w:rPr>
      </w:pPr>
      <w:r w:rsidRPr="00D6259F">
        <w:rPr>
          <w:color w:val="000000" w:themeColor="text1"/>
          <w:lang w:eastAsia="en-GB"/>
        </w:rPr>
        <w:t>Borrowings</w:t>
      </w:r>
    </w:p>
    <w:p w14:paraId="68AEEFAA" w14:textId="0A9B17A4" w:rsidR="00E0225E" w:rsidRPr="00D6259F" w:rsidRDefault="00E0225E" w:rsidP="00E0225E">
      <w:pPr>
        <w:rPr>
          <w:color w:val="000000" w:themeColor="text1"/>
          <w:lang w:eastAsia="en-GB"/>
        </w:rPr>
      </w:pPr>
      <w:r w:rsidRPr="00D6259F">
        <w:rPr>
          <w:color w:val="000000" w:themeColor="text1"/>
          <w:lang w:eastAsia="en-GB"/>
        </w:rPr>
        <w:t xml:space="preserve">Financial liabilities with a duration of </w:t>
      </w:r>
      <w:r w:rsidR="0096287D" w:rsidRPr="00D6259F">
        <w:rPr>
          <w:color w:val="000000" w:themeColor="text1"/>
          <w:lang w:eastAsia="en-GB"/>
        </w:rPr>
        <w:t xml:space="preserve">less than </w:t>
      </w:r>
      <w:r w:rsidR="003E4704" w:rsidRPr="00D6259F">
        <w:rPr>
          <w:color w:val="000000" w:themeColor="text1"/>
          <w:lang w:eastAsia="en-GB"/>
        </w:rPr>
        <w:t xml:space="preserve">12 months </w:t>
      </w:r>
      <w:r w:rsidRPr="00D6259F">
        <w:rPr>
          <w:color w:val="000000" w:themeColor="text1"/>
          <w:lang w:eastAsia="en-GB"/>
        </w:rPr>
        <w:t xml:space="preserve">are </w:t>
      </w:r>
      <w:r w:rsidR="0096287D" w:rsidRPr="00D6259F">
        <w:rPr>
          <w:color w:val="000000" w:themeColor="text1"/>
          <w:lang w:eastAsia="en-GB"/>
        </w:rPr>
        <w:t xml:space="preserve">initially </w:t>
      </w:r>
      <w:r w:rsidRPr="00D6259F">
        <w:rPr>
          <w:color w:val="000000" w:themeColor="text1"/>
          <w:lang w:eastAsia="en-GB"/>
        </w:rPr>
        <w:t>recognised at their nominal value</w:t>
      </w:r>
      <w:r w:rsidR="0096287D" w:rsidRPr="00D6259F">
        <w:rPr>
          <w:color w:val="000000" w:themeColor="text1"/>
          <w:lang w:eastAsia="en-GB"/>
        </w:rPr>
        <w:t xml:space="preserve"> as an estimate of fair value.</w:t>
      </w:r>
    </w:p>
    <w:p w14:paraId="1A2D4552" w14:textId="2E0D1C2A" w:rsidR="00E0225E" w:rsidRPr="00D6259F" w:rsidRDefault="00C50538" w:rsidP="00E0225E">
      <w:pPr>
        <w:rPr>
          <w:b/>
          <w:bCs/>
          <w:color w:val="000000" w:themeColor="text1"/>
          <w:lang w:eastAsia="en-GB"/>
        </w:rPr>
      </w:pPr>
      <w:r w:rsidRPr="00D6259F">
        <w:rPr>
          <w:b/>
          <w:bCs/>
          <w:color w:val="000000" w:themeColor="text1"/>
          <w:lang w:eastAsia="en-GB"/>
        </w:rPr>
        <w:t>Financial liabilities at f</w:t>
      </w:r>
      <w:r w:rsidR="00E0225E" w:rsidRPr="00D6259F">
        <w:rPr>
          <w:b/>
          <w:bCs/>
          <w:color w:val="000000" w:themeColor="text1"/>
          <w:lang w:eastAsia="en-GB"/>
        </w:rPr>
        <w:t>air value through other comprehensive revenue and expense (FVTOCRE).</w:t>
      </w:r>
    </w:p>
    <w:p w14:paraId="55C9183B" w14:textId="77777777" w:rsidR="00E0225E" w:rsidRPr="00D6259F" w:rsidRDefault="00E0225E" w:rsidP="00BB0BEE">
      <w:pPr>
        <w:pStyle w:val="ListParagraph"/>
        <w:numPr>
          <w:ilvl w:val="0"/>
          <w:numId w:val="50"/>
        </w:numPr>
        <w:rPr>
          <w:color w:val="000000" w:themeColor="text1"/>
          <w:lang w:eastAsia="en-GB"/>
        </w:rPr>
      </w:pPr>
      <w:r w:rsidRPr="00D6259F">
        <w:rPr>
          <w:color w:val="000000" w:themeColor="text1"/>
          <w:lang w:eastAsia="en-GB"/>
        </w:rPr>
        <w:t>Derivatives (interest rate swaps) that qualify for hedge accounting.</w:t>
      </w:r>
    </w:p>
    <w:p w14:paraId="62B18E30" w14:textId="77777777" w:rsidR="00B96F44" w:rsidRPr="00D6259F" w:rsidRDefault="00B96F44">
      <w:pPr>
        <w:rPr>
          <w:i/>
          <w:color w:val="000000" w:themeColor="text1"/>
          <w:lang w:eastAsia="en-GB"/>
        </w:rPr>
      </w:pPr>
      <w:r w:rsidRPr="00D6259F">
        <w:rPr>
          <w:i/>
          <w:color w:val="000000" w:themeColor="text1"/>
          <w:lang w:eastAsia="en-GB"/>
        </w:rPr>
        <w:br w:type="page"/>
      </w:r>
    </w:p>
    <w:p w14:paraId="581C8628" w14:textId="4764021B" w:rsidR="00D422B1" w:rsidRPr="00D6259F" w:rsidRDefault="00D422B1" w:rsidP="007C7248">
      <w:pPr>
        <w:rPr>
          <w:color w:val="000000" w:themeColor="text1"/>
          <w:lang w:eastAsia="en-GB"/>
        </w:rPr>
      </w:pPr>
      <w:r w:rsidRPr="00D6259F">
        <w:rPr>
          <w:i/>
          <w:color w:val="000000" w:themeColor="text1"/>
          <w:lang w:eastAsia="en-GB"/>
        </w:rPr>
        <w:lastRenderedPageBreak/>
        <w:t>Tabl</w:t>
      </w:r>
      <w:r w:rsidR="004765EA" w:rsidRPr="00D6259F">
        <w:rPr>
          <w:i/>
          <w:color w:val="000000" w:themeColor="text1"/>
          <w:lang w:eastAsia="en-GB"/>
        </w:rPr>
        <w:t xml:space="preserve">e </w:t>
      </w:r>
      <w:r w:rsidR="00B96F44" w:rsidRPr="00D6259F">
        <w:rPr>
          <w:i/>
          <w:color w:val="000000" w:themeColor="text1"/>
          <w:lang w:eastAsia="en-GB"/>
        </w:rPr>
        <w:t>71</w:t>
      </w:r>
      <w:r w:rsidR="004765EA" w:rsidRPr="00D6259F">
        <w:rPr>
          <w:i/>
          <w:color w:val="000000" w:themeColor="text1"/>
          <w:lang w:eastAsia="en-GB"/>
        </w:rPr>
        <w:t xml:space="preserve"> </w:t>
      </w:r>
      <w:r w:rsidRPr="00D6259F">
        <w:rPr>
          <w:color w:val="000000" w:themeColor="text1"/>
          <w:lang w:eastAsia="en-GB"/>
        </w:rPr>
        <w:t>provides an analysis of the</w:t>
      </w:r>
      <w:r w:rsidR="006020F7" w:rsidRPr="00D6259F">
        <w:rPr>
          <w:color w:val="000000" w:themeColor="text1"/>
          <w:lang w:eastAsia="en-GB"/>
        </w:rPr>
        <w:t xml:space="preserve"> Group</w:t>
      </w:r>
      <w:r w:rsidRPr="00D6259F">
        <w:rPr>
          <w:color w:val="000000" w:themeColor="text1"/>
          <w:lang w:eastAsia="en-GB"/>
        </w:rPr>
        <w:t>’s financial assets and financial liabilities by reporting category as described in the accounting policies:</w:t>
      </w:r>
    </w:p>
    <w:p w14:paraId="59539069" w14:textId="3E28237C" w:rsidR="00D422B1" w:rsidRPr="00D6259F" w:rsidRDefault="000F20D8" w:rsidP="007C7248">
      <w:pPr>
        <w:rPr>
          <w:noProof/>
          <w:color w:val="000000" w:themeColor="text1"/>
        </w:rPr>
      </w:pPr>
      <w:r w:rsidRPr="00D6259F">
        <w:rPr>
          <w:noProof/>
          <w:color w:val="000000" w:themeColor="text1"/>
        </w:rPr>
        <w:object w:dxaOrig="10515" w:dyaOrig="11760" w14:anchorId="7A3686C9">
          <v:shape id="_x0000_i1105" type="#_x0000_t75" style="width:496pt;height:590pt" o:ole="">
            <v:imagedata r:id="rId172" o:title=""/>
          </v:shape>
          <o:OLEObject Type="Link" ProgID="Excel.Sheet.12" ShapeID="_x0000_i1105" DrawAspect="Content" r:id="rId173" UpdateMode="Always">
            <o:LinkType>EnhancedMetaFile</o:LinkType>
            <o:LockedField>false</o:LockedField>
          </o:OLEObject>
        </w:object>
      </w:r>
    </w:p>
    <w:p w14:paraId="590392C2" w14:textId="77777777" w:rsidR="00EC7BF1" w:rsidRPr="00D6259F" w:rsidRDefault="00EC7BF1">
      <w:pPr>
        <w:rPr>
          <w:rFonts w:ascii="Cambria" w:hAnsi="Cambria" w:cs="Calibri"/>
          <w:b/>
          <w:bCs/>
          <w:color w:val="000000" w:themeColor="text1"/>
          <w:sz w:val="40"/>
          <w:szCs w:val="40"/>
          <w:lang w:eastAsia="en-NZ"/>
        </w:rPr>
      </w:pPr>
      <w:bookmarkStart w:id="205" w:name="_Toc121217176"/>
      <w:r w:rsidRPr="00D6259F">
        <w:rPr>
          <w:color w:val="000000" w:themeColor="text1"/>
        </w:rPr>
        <w:br w:type="page"/>
      </w:r>
    </w:p>
    <w:p w14:paraId="0428D6A7" w14:textId="1E23A87D" w:rsidR="00D422B1" w:rsidRPr="00D6259F" w:rsidRDefault="00D422B1" w:rsidP="007C7248">
      <w:pPr>
        <w:pStyle w:val="Heading3"/>
        <w:rPr>
          <w:rFonts w:cs="Arial"/>
          <w:lang w:eastAsia="en-GB"/>
        </w:rPr>
      </w:pPr>
      <w:r w:rsidRPr="00D6259F">
        <w:lastRenderedPageBreak/>
        <w:t>Fair value</w:t>
      </w:r>
      <w:bookmarkEnd w:id="205"/>
    </w:p>
    <w:p w14:paraId="2DBF6E2E" w14:textId="77777777" w:rsidR="00D422B1" w:rsidRPr="00D6259F" w:rsidRDefault="00D422B1" w:rsidP="007C7248">
      <w:pPr>
        <w:rPr>
          <w:color w:val="000000" w:themeColor="text1"/>
          <w:lang w:eastAsia="en-GB"/>
        </w:rPr>
      </w:pPr>
      <w:r w:rsidRPr="00D6259F">
        <w:rPr>
          <w:color w:val="000000" w:themeColor="text1"/>
          <w:lang w:eastAsia="en-GB"/>
        </w:rPr>
        <w:t xml:space="preserve">The fair values of all financial instruments equate </w:t>
      </w:r>
      <w:r w:rsidR="00C515A7" w:rsidRPr="00D6259F">
        <w:rPr>
          <w:color w:val="000000" w:themeColor="text1"/>
          <w:lang w:eastAsia="en-GB"/>
        </w:rPr>
        <w:t xml:space="preserve">to </w:t>
      </w:r>
      <w:r w:rsidRPr="00D6259F">
        <w:rPr>
          <w:color w:val="000000" w:themeColor="text1"/>
          <w:lang w:eastAsia="en-GB"/>
        </w:rPr>
        <w:t>or are approximate to the carrying amount recognised in the Statement of Financial Position.</w:t>
      </w:r>
    </w:p>
    <w:p w14:paraId="23F2A651" w14:textId="77777777" w:rsidR="00D422B1" w:rsidRPr="00D6259F" w:rsidRDefault="00D422B1" w:rsidP="007C7248">
      <w:pPr>
        <w:pStyle w:val="Heading4"/>
        <w:rPr>
          <w:rFonts w:cs="Arial"/>
        </w:rPr>
      </w:pPr>
      <w:r w:rsidRPr="00D6259F">
        <w:t>Fair value hierarchy</w:t>
      </w:r>
    </w:p>
    <w:p w14:paraId="2EE32F78" w14:textId="171D43CB" w:rsidR="00D422B1" w:rsidRPr="00D6259F" w:rsidRDefault="00815B71" w:rsidP="007C7248">
      <w:pPr>
        <w:rPr>
          <w:color w:val="000000" w:themeColor="text1"/>
          <w:lang w:eastAsia="en-GB"/>
        </w:rPr>
      </w:pPr>
      <w:r w:rsidRPr="00D6259F">
        <w:rPr>
          <w:color w:val="000000" w:themeColor="text1"/>
          <w:lang w:eastAsia="en-GB"/>
        </w:rPr>
        <w:t>F</w:t>
      </w:r>
      <w:r w:rsidR="00D422B1" w:rsidRPr="00D6259F">
        <w:rPr>
          <w:color w:val="000000" w:themeColor="text1"/>
          <w:lang w:eastAsia="en-GB"/>
        </w:rPr>
        <w:t>or those financial instruments recognised at fair value in the Statement of Financial Position, the fair values are determined according to the following hierarchy:</w:t>
      </w:r>
    </w:p>
    <w:p w14:paraId="5CA0D15A" w14:textId="77777777" w:rsidR="00D422B1" w:rsidRPr="00D6259F" w:rsidRDefault="00D422B1" w:rsidP="00E76A2E">
      <w:pPr>
        <w:pStyle w:val="ListParagraph"/>
        <w:numPr>
          <w:ilvl w:val="0"/>
          <w:numId w:val="24"/>
        </w:numPr>
        <w:rPr>
          <w:color w:val="000000" w:themeColor="text1"/>
          <w:lang w:eastAsia="en-GB"/>
        </w:rPr>
      </w:pPr>
      <w:r w:rsidRPr="00D6259F">
        <w:rPr>
          <w:b/>
          <w:color w:val="000000" w:themeColor="text1"/>
          <w:lang w:eastAsia="en-GB"/>
        </w:rPr>
        <w:t>Level 1</w:t>
      </w:r>
      <w:r w:rsidR="00F220DA" w:rsidRPr="00D6259F">
        <w:rPr>
          <w:color w:val="000000" w:themeColor="text1"/>
          <w:lang w:eastAsia="en-GB"/>
        </w:rPr>
        <w:t>:</w:t>
      </w:r>
      <w:r w:rsidRPr="00D6259F">
        <w:rPr>
          <w:color w:val="000000" w:themeColor="text1"/>
          <w:lang w:eastAsia="en-GB"/>
        </w:rPr>
        <w:t xml:space="preserve"> Quoted market price - Financial instruments with quoted prices for identical instruments in active markets.</w:t>
      </w:r>
    </w:p>
    <w:p w14:paraId="208C63D5" w14:textId="77777777" w:rsidR="00D422B1" w:rsidRPr="00D6259F" w:rsidRDefault="00D422B1" w:rsidP="00E76A2E">
      <w:pPr>
        <w:pStyle w:val="ListParagraph"/>
        <w:numPr>
          <w:ilvl w:val="0"/>
          <w:numId w:val="24"/>
        </w:numPr>
        <w:rPr>
          <w:color w:val="000000" w:themeColor="text1"/>
          <w:lang w:eastAsia="en-GB"/>
        </w:rPr>
      </w:pPr>
      <w:r w:rsidRPr="00D6259F">
        <w:rPr>
          <w:b/>
          <w:color w:val="000000" w:themeColor="text1"/>
          <w:lang w:eastAsia="en-GB"/>
        </w:rPr>
        <w:t>Level 2</w:t>
      </w:r>
      <w:r w:rsidR="00F220DA" w:rsidRPr="00D6259F">
        <w:rPr>
          <w:color w:val="000000" w:themeColor="text1"/>
          <w:lang w:eastAsia="en-GB"/>
        </w:rPr>
        <w:t>:</w:t>
      </w:r>
      <w:r w:rsidRPr="00D6259F">
        <w:rPr>
          <w:color w:val="000000" w:themeColor="text1"/>
          <w:lang w:eastAsia="en-GB"/>
        </w:rPr>
        <w:t xml:space="preserve"> Valuation technique using observable inputs – Financial instruments with quoted prices for similar instruments in active markets or quoted prices for identical or similar instruments in inactive markets and financial instruments valued using models where all significant inputs are observable.</w:t>
      </w:r>
    </w:p>
    <w:p w14:paraId="44DE98B4" w14:textId="77777777" w:rsidR="00D422B1" w:rsidRPr="00D6259F" w:rsidRDefault="00D422B1" w:rsidP="00E76A2E">
      <w:pPr>
        <w:pStyle w:val="ListParagraph"/>
        <w:numPr>
          <w:ilvl w:val="0"/>
          <w:numId w:val="24"/>
        </w:numPr>
        <w:rPr>
          <w:color w:val="000000" w:themeColor="text1"/>
          <w:lang w:eastAsia="en-GB"/>
        </w:rPr>
      </w:pPr>
      <w:r w:rsidRPr="00D6259F">
        <w:rPr>
          <w:b/>
          <w:color w:val="000000" w:themeColor="text1"/>
          <w:lang w:eastAsia="en-GB"/>
        </w:rPr>
        <w:t>Level 3</w:t>
      </w:r>
      <w:r w:rsidR="00F220DA" w:rsidRPr="00D6259F">
        <w:rPr>
          <w:color w:val="000000" w:themeColor="text1"/>
          <w:lang w:eastAsia="en-GB"/>
        </w:rPr>
        <w:t>:</w:t>
      </w:r>
      <w:r w:rsidRPr="00D6259F">
        <w:rPr>
          <w:color w:val="000000" w:themeColor="text1"/>
          <w:lang w:eastAsia="en-GB"/>
        </w:rPr>
        <w:t xml:space="preserve"> Valuation techniques with significant non-observable inputs – Financial instruments valued using models where one or more significant inputs are not observable.</w:t>
      </w:r>
    </w:p>
    <w:p w14:paraId="2A94FF51" w14:textId="003E4500" w:rsidR="00D422B1" w:rsidRPr="00D6259F" w:rsidRDefault="000F20D8" w:rsidP="007C7248">
      <w:pPr>
        <w:rPr>
          <w:noProof/>
          <w:color w:val="000000" w:themeColor="text1"/>
        </w:rPr>
      </w:pPr>
      <w:r w:rsidRPr="00D6259F">
        <w:rPr>
          <w:noProof/>
          <w:color w:val="000000" w:themeColor="text1"/>
        </w:rPr>
        <w:object w:dxaOrig="12285" w:dyaOrig="3360" w14:anchorId="13AD971D">
          <v:shape id="_x0000_i1106" type="#_x0000_t75" style="width:498pt;height:167pt" o:ole="">
            <v:imagedata r:id="rId174" o:title=""/>
          </v:shape>
          <o:OLEObject Type="Link" ProgID="Excel.Sheet.12" ShapeID="_x0000_i1106" DrawAspect="Content" r:id="rId175" UpdateMode="Always">
            <o:LinkType>EnhancedMetaFile</o:LinkType>
            <o:LockedField>false</o:LockedField>
          </o:OLEObject>
        </w:object>
      </w:r>
    </w:p>
    <w:p w14:paraId="0C35B7E6" w14:textId="0C0322CE" w:rsidR="00362CD8" w:rsidRPr="00D6259F" w:rsidRDefault="00362CD8">
      <w:pPr>
        <w:rPr>
          <w:i/>
          <w:iCs/>
          <w:noProof/>
          <w:color w:val="000000" w:themeColor="text1"/>
        </w:rPr>
      </w:pPr>
    </w:p>
    <w:p w14:paraId="7A11F861" w14:textId="79EF6A51" w:rsidR="00815B71" w:rsidRPr="00D6259F" w:rsidRDefault="00BF5DD1" w:rsidP="007C7248">
      <w:pPr>
        <w:rPr>
          <w:noProof/>
          <w:color w:val="000000" w:themeColor="text1"/>
        </w:rPr>
      </w:pPr>
      <w:r w:rsidRPr="00D6259F">
        <w:rPr>
          <w:i/>
          <w:iCs/>
          <w:noProof/>
          <w:color w:val="000000" w:themeColor="text1"/>
        </w:rPr>
        <w:t>T</w:t>
      </w:r>
      <w:r w:rsidR="00815B71" w:rsidRPr="00D6259F">
        <w:rPr>
          <w:i/>
          <w:iCs/>
          <w:noProof/>
          <w:color w:val="000000" w:themeColor="text1"/>
        </w:rPr>
        <w:t xml:space="preserve">able </w:t>
      </w:r>
      <w:r w:rsidR="00B96F44" w:rsidRPr="00D6259F">
        <w:rPr>
          <w:i/>
          <w:iCs/>
          <w:noProof/>
          <w:color w:val="000000" w:themeColor="text1"/>
        </w:rPr>
        <w:t>73</w:t>
      </w:r>
      <w:r w:rsidR="00815B71" w:rsidRPr="00D6259F">
        <w:rPr>
          <w:noProof/>
          <w:color w:val="000000" w:themeColor="text1"/>
        </w:rPr>
        <w:t xml:space="preserve"> summarises the reconciliation of movements in Level 3 financial instuments</w:t>
      </w:r>
      <w:r w:rsidR="001A7A72" w:rsidRPr="00D6259F">
        <w:rPr>
          <w:noProof/>
          <w:color w:val="000000" w:themeColor="text1"/>
        </w:rPr>
        <w:t>.</w:t>
      </w:r>
    </w:p>
    <w:p w14:paraId="31139CAB" w14:textId="03960F28" w:rsidR="00BD570C" w:rsidRPr="00D6259F" w:rsidRDefault="000F20D8" w:rsidP="007C7248">
      <w:pPr>
        <w:rPr>
          <w:noProof/>
          <w:color w:val="000000" w:themeColor="text1"/>
        </w:rPr>
      </w:pPr>
      <w:r w:rsidRPr="00D6259F">
        <w:rPr>
          <w:noProof/>
          <w:color w:val="000000" w:themeColor="text1"/>
        </w:rPr>
        <w:object w:dxaOrig="11235" w:dyaOrig="3330" w14:anchorId="11538E0B">
          <v:shape id="_x0000_i1107" type="#_x0000_t75" style="width:501pt;height:171pt" o:ole="">
            <v:imagedata r:id="rId176" o:title=""/>
          </v:shape>
          <o:OLEObject Type="Link" ProgID="Excel.Sheet.12" ShapeID="_x0000_i1107" DrawAspect="Content" r:id="rId177" UpdateMode="Always">
            <o:LinkType>EnhancedMetaFile</o:LinkType>
            <o:LockedField>false</o:LockedField>
          </o:OLEObject>
        </w:object>
      </w:r>
    </w:p>
    <w:p w14:paraId="586E2895" w14:textId="5DD42CF5" w:rsidR="00D422B1" w:rsidRPr="00D6259F" w:rsidRDefault="00D422B1" w:rsidP="007C7248">
      <w:pPr>
        <w:rPr>
          <w:color w:val="000000" w:themeColor="text1"/>
          <w:lang w:eastAsia="en-GB"/>
        </w:rPr>
      </w:pPr>
      <w:r w:rsidRPr="00D6259F">
        <w:rPr>
          <w:color w:val="000000" w:themeColor="text1"/>
          <w:lang w:eastAsia="en-GB"/>
        </w:rPr>
        <w:t xml:space="preserve">Refer to </w:t>
      </w:r>
      <w:r w:rsidRPr="00D6259F">
        <w:rPr>
          <w:i/>
          <w:iCs/>
          <w:color w:val="000000" w:themeColor="text1"/>
          <w:lang w:eastAsia="en-GB"/>
        </w:rPr>
        <w:t>Note 1</w:t>
      </w:r>
      <w:r w:rsidR="00695A2E" w:rsidRPr="00D6259F">
        <w:rPr>
          <w:i/>
          <w:iCs/>
          <w:color w:val="000000" w:themeColor="text1"/>
          <w:lang w:eastAsia="en-GB"/>
        </w:rPr>
        <w:t>5</w:t>
      </w:r>
      <w:r w:rsidRPr="00D6259F">
        <w:rPr>
          <w:i/>
          <w:iCs/>
          <w:color w:val="000000" w:themeColor="text1"/>
          <w:lang w:eastAsia="en-GB"/>
        </w:rPr>
        <w:t>: Other financial assets</w:t>
      </w:r>
      <w:r w:rsidRPr="00D6259F">
        <w:rPr>
          <w:color w:val="000000" w:themeColor="text1"/>
          <w:lang w:eastAsia="en-GB"/>
        </w:rPr>
        <w:t xml:space="preserve"> (</w:t>
      </w:r>
      <w:r w:rsidR="006F6060" w:rsidRPr="00D6259F">
        <w:rPr>
          <w:color w:val="000000" w:themeColor="text1"/>
          <w:lang w:eastAsia="en-GB"/>
        </w:rPr>
        <w:t>page</w:t>
      </w:r>
      <w:r w:rsidRPr="00D6259F">
        <w:rPr>
          <w:color w:val="000000" w:themeColor="text1"/>
          <w:lang w:eastAsia="en-GB"/>
        </w:rPr>
        <w:t xml:space="preserve"> </w:t>
      </w:r>
      <w:r w:rsidR="00B96F44" w:rsidRPr="00D6259F">
        <w:rPr>
          <w:color w:val="000000" w:themeColor="text1"/>
          <w:lang w:eastAsia="en-GB"/>
        </w:rPr>
        <w:t>38</w:t>
      </w:r>
      <w:r w:rsidRPr="00D6259F">
        <w:rPr>
          <w:color w:val="000000" w:themeColor="text1"/>
          <w:lang w:eastAsia="en-GB"/>
        </w:rPr>
        <w:t xml:space="preserve">) for </w:t>
      </w:r>
      <w:r w:rsidR="00983406" w:rsidRPr="00D6259F">
        <w:rPr>
          <w:color w:val="000000" w:themeColor="text1"/>
          <w:lang w:eastAsia="en-GB"/>
        </w:rPr>
        <w:t>details of what investments make up the above balances</w:t>
      </w:r>
      <w:r w:rsidRPr="00D6259F">
        <w:rPr>
          <w:color w:val="000000" w:themeColor="text1"/>
          <w:lang w:eastAsia="en-GB"/>
        </w:rPr>
        <w:t>.</w:t>
      </w:r>
    </w:p>
    <w:p w14:paraId="1517BB84" w14:textId="77777777" w:rsidR="00D422B1" w:rsidRPr="00D6259F" w:rsidRDefault="00D422B1" w:rsidP="007C7248">
      <w:pPr>
        <w:pStyle w:val="Heading3"/>
      </w:pPr>
      <w:bookmarkStart w:id="206" w:name="_Toc121217177"/>
      <w:r w:rsidRPr="00D6259F">
        <w:lastRenderedPageBreak/>
        <w:t>Financial risk management</w:t>
      </w:r>
      <w:bookmarkEnd w:id="206"/>
    </w:p>
    <w:p w14:paraId="4A817332" w14:textId="086F83B5" w:rsidR="00D422B1" w:rsidRPr="00D6259F" w:rsidRDefault="00D422B1" w:rsidP="007C7248">
      <w:pPr>
        <w:rPr>
          <w:b/>
          <w:color w:val="000000" w:themeColor="text1"/>
          <w:sz w:val="20"/>
          <w:szCs w:val="20"/>
          <w:lang w:eastAsia="en-GB"/>
        </w:rPr>
      </w:pPr>
      <w:r w:rsidRPr="00D6259F">
        <w:rPr>
          <w:color w:val="000000" w:themeColor="text1"/>
          <w:lang w:eastAsia="en-GB"/>
        </w:rPr>
        <w:t>As part of its normal operations, the</w:t>
      </w:r>
      <w:r w:rsidR="006020F7" w:rsidRPr="00D6259F">
        <w:rPr>
          <w:color w:val="000000" w:themeColor="text1"/>
          <w:lang w:eastAsia="en-GB"/>
        </w:rPr>
        <w:t xml:space="preserve"> Group</w:t>
      </w:r>
      <w:r w:rsidRPr="00D6259F">
        <w:rPr>
          <w:color w:val="000000" w:themeColor="text1"/>
          <w:lang w:eastAsia="en-GB"/>
        </w:rPr>
        <w:t xml:space="preserve"> is exposed to </w:t>
      </w:r>
      <w:r w:rsidR="00393B4B" w:rsidRPr="00D6259F">
        <w:rPr>
          <w:color w:val="000000" w:themeColor="text1"/>
          <w:lang w:eastAsia="en-GB"/>
        </w:rPr>
        <w:t>several</w:t>
      </w:r>
      <w:r w:rsidR="00B03163" w:rsidRPr="00D6259F">
        <w:rPr>
          <w:color w:val="000000" w:themeColor="text1"/>
          <w:lang w:eastAsia="en-GB"/>
        </w:rPr>
        <w:t xml:space="preserve"> financial</w:t>
      </w:r>
      <w:r w:rsidRPr="00D6259F">
        <w:rPr>
          <w:color w:val="000000" w:themeColor="text1"/>
          <w:lang w:eastAsia="en-GB"/>
        </w:rPr>
        <w:t xml:space="preserve"> risks. The most significant are credit risk, liquidity risk and market risk, which includes interest rate risk. The</w:t>
      </w:r>
      <w:r w:rsidR="006020F7" w:rsidRPr="00D6259F">
        <w:rPr>
          <w:color w:val="000000" w:themeColor="text1"/>
          <w:lang w:eastAsia="en-GB"/>
        </w:rPr>
        <w:t xml:space="preserve"> Group</w:t>
      </w:r>
      <w:r w:rsidRPr="00D6259F">
        <w:rPr>
          <w:color w:val="000000" w:themeColor="text1"/>
          <w:lang w:eastAsia="en-GB"/>
        </w:rPr>
        <w:t>’s exposure to these risks and the action that the</w:t>
      </w:r>
      <w:r w:rsidR="006020F7" w:rsidRPr="00D6259F">
        <w:rPr>
          <w:color w:val="000000" w:themeColor="text1"/>
          <w:lang w:eastAsia="en-GB"/>
        </w:rPr>
        <w:t xml:space="preserve"> Group</w:t>
      </w:r>
      <w:r w:rsidRPr="00D6259F">
        <w:rPr>
          <w:color w:val="000000" w:themeColor="text1"/>
          <w:lang w:eastAsia="en-GB"/>
        </w:rPr>
        <w:t xml:space="preserve"> has taken to minimise the impact of these risks is outlined below</w:t>
      </w:r>
      <w:r w:rsidR="000521C7" w:rsidRPr="00D6259F">
        <w:rPr>
          <w:color w:val="000000" w:themeColor="text1"/>
          <w:lang w:eastAsia="en-GB"/>
        </w:rPr>
        <w:t>.</w:t>
      </w:r>
    </w:p>
    <w:p w14:paraId="632D2080" w14:textId="77777777" w:rsidR="00D422B1" w:rsidRPr="00D6259F" w:rsidRDefault="00D422B1" w:rsidP="007C7248">
      <w:pPr>
        <w:pStyle w:val="Heading4"/>
      </w:pPr>
      <w:r w:rsidRPr="00D6259F">
        <w:t xml:space="preserve">Credit </w:t>
      </w:r>
      <w:proofErr w:type="gramStart"/>
      <w:r w:rsidRPr="00D6259F">
        <w:t>risk</w:t>
      </w:r>
      <w:proofErr w:type="gramEnd"/>
    </w:p>
    <w:p w14:paraId="5544B873" w14:textId="5A459F86" w:rsidR="00D422B1" w:rsidRPr="00D6259F" w:rsidRDefault="00D422B1" w:rsidP="007C7248">
      <w:pPr>
        <w:rPr>
          <w:color w:val="000000" w:themeColor="text1"/>
          <w:lang w:eastAsia="en-GB"/>
        </w:rPr>
      </w:pPr>
      <w:r w:rsidRPr="00D6259F">
        <w:rPr>
          <w:color w:val="000000" w:themeColor="text1"/>
          <w:lang w:eastAsia="en-GB"/>
        </w:rPr>
        <w:t>Credit risk is the risk that a third party will default on its obligations to the</w:t>
      </w:r>
      <w:r w:rsidR="006020F7" w:rsidRPr="00D6259F">
        <w:rPr>
          <w:color w:val="000000" w:themeColor="text1"/>
          <w:lang w:eastAsia="en-GB"/>
        </w:rPr>
        <w:t xml:space="preserve"> Group</w:t>
      </w:r>
      <w:r w:rsidRPr="00D6259F">
        <w:rPr>
          <w:color w:val="000000" w:themeColor="text1"/>
          <w:lang w:eastAsia="en-GB"/>
        </w:rPr>
        <w:t>, thereby causing a financial loss. The</w:t>
      </w:r>
      <w:r w:rsidR="006020F7" w:rsidRPr="00D6259F">
        <w:rPr>
          <w:color w:val="000000" w:themeColor="text1"/>
          <w:lang w:eastAsia="en-GB"/>
        </w:rPr>
        <w:t xml:space="preserve"> Group</w:t>
      </w:r>
      <w:r w:rsidRPr="00D6259F">
        <w:rPr>
          <w:color w:val="000000" w:themeColor="text1"/>
          <w:lang w:eastAsia="en-GB"/>
        </w:rPr>
        <w:t xml:space="preserve"> is not exposed to any material concentrations of credit risk other than its exposure within the Wellington region</w:t>
      </w:r>
      <w:r w:rsidR="009A7AA9" w:rsidRPr="00D6259F">
        <w:rPr>
          <w:color w:val="000000" w:themeColor="text1"/>
          <w:lang w:eastAsia="en-GB"/>
        </w:rPr>
        <w:t xml:space="preserve">. </w:t>
      </w:r>
      <w:r w:rsidRPr="00D6259F">
        <w:rPr>
          <w:color w:val="000000" w:themeColor="text1"/>
          <w:lang w:eastAsia="en-GB"/>
        </w:rPr>
        <w:t xml:space="preserve">The maximum exposure to credit risk is represented by the carrying amount of each financial asset in the Statement of Financial Position and the face value of financial guarantees to related parties (refer </w:t>
      </w:r>
      <w:r w:rsidRPr="00D6259F">
        <w:rPr>
          <w:i/>
          <w:iCs/>
          <w:color w:val="000000" w:themeColor="text1"/>
          <w:lang w:eastAsia="en-GB"/>
        </w:rPr>
        <w:t>Note 3</w:t>
      </w:r>
      <w:r w:rsidR="00695A2E" w:rsidRPr="00D6259F">
        <w:rPr>
          <w:i/>
          <w:iCs/>
          <w:color w:val="000000" w:themeColor="text1"/>
          <w:lang w:eastAsia="en-GB"/>
        </w:rPr>
        <w:t>5</w:t>
      </w:r>
      <w:r w:rsidRPr="00D6259F">
        <w:rPr>
          <w:i/>
          <w:iCs/>
          <w:color w:val="000000" w:themeColor="text1"/>
          <w:lang w:eastAsia="en-GB"/>
        </w:rPr>
        <w:t>: Contingencies</w:t>
      </w:r>
      <w:r w:rsidRPr="00D6259F">
        <w:rPr>
          <w:color w:val="000000" w:themeColor="text1"/>
          <w:lang w:eastAsia="en-GB"/>
        </w:rPr>
        <w:t xml:space="preserve"> (</w:t>
      </w:r>
      <w:r w:rsidR="006F6060" w:rsidRPr="00D6259F">
        <w:rPr>
          <w:color w:val="000000" w:themeColor="text1"/>
          <w:lang w:eastAsia="en-GB"/>
        </w:rPr>
        <w:t>page</w:t>
      </w:r>
      <w:r w:rsidRPr="00D6259F">
        <w:rPr>
          <w:color w:val="000000" w:themeColor="text1"/>
          <w:lang w:eastAsia="en-GB"/>
        </w:rPr>
        <w:t xml:space="preserve"> </w:t>
      </w:r>
      <w:r w:rsidR="00B96F44" w:rsidRPr="00D6259F">
        <w:rPr>
          <w:color w:val="000000" w:themeColor="text1"/>
          <w:lang w:eastAsia="en-GB"/>
        </w:rPr>
        <w:t>108</w:t>
      </w:r>
      <w:r w:rsidRPr="00D6259F">
        <w:rPr>
          <w:color w:val="000000" w:themeColor="text1"/>
          <w:lang w:eastAsia="en-GB"/>
        </w:rPr>
        <w:t>)</w:t>
      </w:r>
      <w:r w:rsidR="00A117B4" w:rsidRPr="00D6259F">
        <w:rPr>
          <w:color w:val="000000" w:themeColor="text1"/>
          <w:lang w:eastAsia="en-GB"/>
        </w:rPr>
        <w:t>)</w:t>
      </w:r>
      <w:r w:rsidRPr="00D6259F">
        <w:rPr>
          <w:color w:val="000000" w:themeColor="text1"/>
          <w:lang w:eastAsia="en-GB"/>
        </w:rPr>
        <w:t>. There is currently no liability recognised for these guarantees as the</w:t>
      </w:r>
      <w:r w:rsidR="006020F7" w:rsidRPr="00D6259F">
        <w:rPr>
          <w:color w:val="000000" w:themeColor="text1"/>
          <w:lang w:eastAsia="en-GB"/>
        </w:rPr>
        <w:t xml:space="preserve"> Group</w:t>
      </w:r>
      <w:r w:rsidRPr="00D6259F">
        <w:rPr>
          <w:color w:val="000000" w:themeColor="text1"/>
          <w:lang w:eastAsia="en-GB"/>
        </w:rPr>
        <w:t xml:space="preserve"> does not expect to be called upon for payment.</w:t>
      </w:r>
    </w:p>
    <w:p w14:paraId="4864E779" w14:textId="7CE0A283" w:rsidR="00D422B1" w:rsidRPr="00D6259F" w:rsidRDefault="00D422B1" w:rsidP="007C7248">
      <w:pPr>
        <w:rPr>
          <w:color w:val="000000" w:themeColor="text1"/>
          <w:lang w:eastAsia="en-GB"/>
        </w:rPr>
      </w:pPr>
      <w:r w:rsidRPr="00D6259F">
        <w:rPr>
          <w:color w:val="000000" w:themeColor="text1"/>
          <w:lang w:eastAsia="en-GB"/>
        </w:rPr>
        <w:t>The</w:t>
      </w:r>
      <w:r w:rsidR="006020F7" w:rsidRPr="00D6259F">
        <w:rPr>
          <w:color w:val="000000" w:themeColor="text1"/>
          <w:lang w:eastAsia="en-GB"/>
        </w:rPr>
        <w:t xml:space="preserve"> Group</w:t>
      </w:r>
      <w:r w:rsidRPr="00D6259F">
        <w:rPr>
          <w:color w:val="000000" w:themeColor="text1"/>
          <w:lang w:eastAsia="en-GB"/>
        </w:rPr>
        <w:t xml:space="preserve">’s maximum exposure to credit risk at the end of the reporting period is detailed in </w:t>
      </w:r>
      <w:r w:rsidR="001651A1" w:rsidRPr="00D6259F">
        <w:rPr>
          <w:i/>
          <w:iCs/>
          <w:color w:val="000000" w:themeColor="text1"/>
          <w:lang w:eastAsia="en-GB"/>
        </w:rPr>
        <w:t xml:space="preserve">Table </w:t>
      </w:r>
      <w:r w:rsidR="00B96F44" w:rsidRPr="00D6259F">
        <w:rPr>
          <w:i/>
          <w:iCs/>
          <w:color w:val="000000" w:themeColor="text1"/>
          <w:lang w:eastAsia="en-GB"/>
        </w:rPr>
        <w:t>74</w:t>
      </w:r>
      <w:r w:rsidR="00B155CE" w:rsidRPr="00D6259F">
        <w:rPr>
          <w:color w:val="000000" w:themeColor="text1"/>
          <w:lang w:eastAsia="en-GB"/>
        </w:rPr>
        <w:t>.</w:t>
      </w:r>
    </w:p>
    <w:p w14:paraId="6210E2AC" w14:textId="4182DDEC" w:rsidR="00695A2E" w:rsidRPr="00D6259F" w:rsidRDefault="000F20D8" w:rsidP="007C7248">
      <w:pPr>
        <w:rPr>
          <w:color w:val="000000" w:themeColor="text1"/>
          <w:lang w:eastAsia="en-GB"/>
        </w:rPr>
      </w:pPr>
      <w:r w:rsidRPr="00D6259F">
        <w:rPr>
          <w:color w:val="000000" w:themeColor="text1"/>
          <w:lang w:eastAsia="en-GB"/>
        </w:rPr>
        <w:object w:dxaOrig="10530" w:dyaOrig="4815" w14:anchorId="700BE63C">
          <v:shape id="_x0000_i1108" type="#_x0000_t75" style="width:477pt;height:3in" o:ole="">
            <v:imagedata r:id="rId178" o:title=""/>
          </v:shape>
          <o:OLEObject Type="Link" ProgID="Excel.Sheet.12" ShapeID="_x0000_i1108" DrawAspect="Content" r:id="rId179" UpdateMode="Always">
            <o:LinkType>EnhancedMetaFile</o:LinkType>
            <o:LockedField>false</o:LockedField>
          </o:OLEObject>
        </w:object>
      </w:r>
    </w:p>
    <w:p w14:paraId="3CD4D8E5" w14:textId="66611133" w:rsidR="00D422B1" w:rsidRPr="00D6259F" w:rsidRDefault="00D422B1" w:rsidP="007C7248">
      <w:pPr>
        <w:rPr>
          <w:color w:val="000000" w:themeColor="text1"/>
          <w:lang w:eastAsia="en-GB"/>
        </w:rPr>
      </w:pPr>
      <w:r w:rsidRPr="00D6259F">
        <w:rPr>
          <w:color w:val="000000" w:themeColor="text1"/>
          <w:lang w:eastAsia="en-GB"/>
        </w:rPr>
        <w:t>Receivables and recoverables balances are monitored on an ongoing basis with the result that the</w:t>
      </w:r>
      <w:r w:rsidR="006020F7" w:rsidRPr="00D6259F">
        <w:rPr>
          <w:color w:val="000000" w:themeColor="text1"/>
          <w:lang w:eastAsia="en-GB"/>
        </w:rPr>
        <w:t xml:space="preserve"> Group</w:t>
      </w:r>
      <w:r w:rsidRPr="00D6259F">
        <w:rPr>
          <w:color w:val="000000" w:themeColor="text1"/>
          <w:lang w:eastAsia="en-GB"/>
        </w:rPr>
        <w:t xml:space="preserve">’s exposure to bad debts is not significant. </w:t>
      </w:r>
    </w:p>
    <w:p w14:paraId="4C919F0F" w14:textId="2C474A41" w:rsidR="00D422B1" w:rsidRPr="00D6259F" w:rsidRDefault="00D422B1" w:rsidP="007C7248">
      <w:pPr>
        <w:rPr>
          <w:color w:val="000000" w:themeColor="text1"/>
          <w:lang w:eastAsia="en-GB"/>
        </w:rPr>
      </w:pPr>
      <w:r w:rsidRPr="00D6259F">
        <w:rPr>
          <w:color w:val="000000" w:themeColor="text1"/>
          <w:lang w:eastAsia="en-GB"/>
        </w:rPr>
        <w:t>The</w:t>
      </w:r>
      <w:r w:rsidR="006020F7" w:rsidRPr="00D6259F">
        <w:rPr>
          <w:color w:val="000000" w:themeColor="text1"/>
          <w:lang w:eastAsia="en-GB"/>
        </w:rPr>
        <w:t xml:space="preserve"> Group</w:t>
      </w:r>
      <w:r w:rsidRPr="00D6259F">
        <w:rPr>
          <w:color w:val="000000" w:themeColor="text1"/>
          <w:lang w:eastAsia="en-GB"/>
        </w:rPr>
        <w:t xml:space="preserve"> is exposed to credit risk as a guarantor of the LGFA’s borrowings. Further information about this exposure is explained in </w:t>
      </w:r>
      <w:r w:rsidRPr="00D6259F">
        <w:rPr>
          <w:i/>
          <w:iCs/>
          <w:color w:val="000000" w:themeColor="text1"/>
          <w:lang w:eastAsia="en-GB"/>
        </w:rPr>
        <w:t>Note 3</w:t>
      </w:r>
      <w:r w:rsidR="00695A2E" w:rsidRPr="00D6259F">
        <w:rPr>
          <w:i/>
          <w:iCs/>
          <w:color w:val="000000" w:themeColor="text1"/>
          <w:lang w:eastAsia="en-GB"/>
        </w:rPr>
        <w:t>5</w:t>
      </w:r>
      <w:r w:rsidRPr="00D6259F">
        <w:rPr>
          <w:i/>
          <w:iCs/>
          <w:color w:val="000000" w:themeColor="text1"/>
          <w:lang w:eastAsia="en-GB"/>
        </w:rPr>
        <w:t>: Contingencies</w:t>
      </w:r>
      <w:r w:rsidRPr="00D6259F">
        <w:rPr>
          <w:color w:val="000000" w:themeColor="text1"/>
          <w:lang w:eastAsia="en-GB"/>
        </w:rPr>
        <w:t xml:space="preserve"> (</w:t>
      </w:r>
      <w:r w:rsidR="006F6060" w:rsidRPr="00D6259F">
        <w:rPr>
          <w:color w:val="000000" w:themeColor="text1"/>
          <w:lang w:eastAsia="en-GB"/>
        </w:rPr>
        <w:t>page</w:t>
      </w:r>
      <w:r w:rsidR="00C7599A" w:rsidRPr="00D6259F">
        <w:rPr>
          <w:color w:val="000000" w:themeColor="text1"/>
          <w:lang w:eastAsia="en-GB"/>
        </w:rPr>
        <w:t xml:space="preserve"> </w:t>
      </w:r>
      <w:r w:rsidR="00B96F44" w:rsidRPr="00D6259F">
        <w:rPr>
          <w:color w:val="000000" w:themeColor="text1"/>
          <w:lang w:eastAsia="en-GB"/>
        </w:rPr>
        <w:t>108</w:t>
      </w:r>
      <w:r w:rsidRPr="00D6259F">
        <w:rPr>
          <w:color w:val="000000" w:themeColor="text1"/>
          <w:lang w:eastAsia="en-GB"/>
        </w:rPr>
        <w:t>).</w:t>
      </w:r>
    </w:p>
    <w:p w14:paraId="098FE270" w14:textId="77777777" w:rsidR="00D422B1" w:rsidRPr="00D6259F" w:rsidRDefault="00D422B1" w:rsidP="00543A4C">
      <w:pPr>
        <w:pStyle w:val="Heading5"/>
        <w:rPr>
          <w:rFonts w:cs="Arial"/>
          <w:color w:val="000000" w:themeColor="text1"/>
        </w:rPr>
      </w:pPr>
      <w:r w:rsidRPr="00D6259F">
        <w:rPr>
          <w:color w:val="000000" w:themeColor="text1"/>
        </w:rPr>
        <w:t>Credit quality of financial assets</w:t>
      </w:r>
    </w:p>
    <w:p w14:paraId="6FEE89F3" w14:textId="578DD25E" w:rsidR="00D422B1" w:rsidRPr="00D6259F" w:rsidRDefault="00D422B1" w:rsidP="007C7248">
      <w:pPr>
        <w:rPr>
          <w:color w:val="000000" w:themeColor="text1"/>
          <w:lang w:eastAsia="en-GB"/>
        </w:rPr>
      </w:pPr>
      <w:r w:rsidRPr="00D6259F">
        <w:rPr>
          <w:color w:val="000000" w:themeColor="text1"/>
          <w:lang w:eastAsia="en-GB"/>
        </w:rPr>
        <w:t>The credit quality of financial assets that are neither past due or impaired can be assessed by reference to Standard and Poor’s credit ratings</w:t>
      </w:r>
      <w:r w:rsidR="001651A1" w:rsidRPr="00D6259F">
        <w:rPr>
          <w:color w:val="000000" w:themeColor="text1"/>
          <w:lang w:eastAsia="en-GB"/>
        </w:rPr>
        <w:t xml:space="preserve"> </w:t>
      </w:r>
      <w:r w:rsidR="006425D1" w:rsidRPr="00D6259F">
        <w:rPr>
          <w:color w:val="000000" w:themeColor="text1"/>
          <w:lang w:eastAsia="en-GB"/>
        </w:rPr>
        <w:t xml:space="preserve">(or otherwise as stated) </w:t>
      </w:r>
      <w:r w:rsidR="0088157A" w:rsidRPr="00D6259F">
        <w:rPr>
          <w:color w:val="000000" w:themeColor="text1"/>
          <w:lang w:eastAsia="en-GB"/>
        </w:rPr>
        <w:t>as shown i</w:t>
      </w:r>
      <w:r w:rsidR="001651A1" w:rsidRPr="00D6259F">
        <w:rPr>
          <w:color w:val="000000" w:themeColor="text1"/>
          <w:lang w:eastAsia="en-GB"/>
        </w:rPr>
        <w:t>n</w:t>
      </w:r>
      <w:r w:rsidR="0088157A" w:rsidRPr="00D6259F">
        <w:rPr>
          <w:color w:val="000000" w:themeColor="text1"/>
          <w:lang w:eastAsia="en-GB"/>
        </w:rPr>
        <w:t xml:space="preserve"> </w:t>
      </w:r>
      <w:r w:rsidR="001651A1" w:rsidRPr="00D6259F">
        <w:rPr>
          <w:i/>
          <w:iCs/>
          <w:color w:val="000000" w:themeColor="text1"/>
          <w:lang w:eastAsia="en-GB"/>
        </w:rPr>
        <w:t xml:space="preserve">Table </w:t>
      </w:r>
      <w:r w:rsidR="00B96F44" w:rsidRPr="00D6259F">
        <w:rPr>
          <w:i/>
          <w:iCs/>
          <w:color w:val="000000" w:themeColor="text1"/>
          <w:lang w:eastAsia="en-GB"/>
        </w:rPr>
        <w:t>75</w:t>
      </w:r>
      <w:r w:rsidR="0088157A" w:rsidRPr="00D6259F">
        <w:rPr>
          <w:color w:val="000000" w:themeColor="text1"/>
          <w:lang w:eastAsia="en-GB"/>
        </w:rPr>
        <w:t>.</w:t>
      </w:r>
    </w:p>
    <w:p w14:paraId="2D2F1003" w14:textId="52C172F3" w:rsidR="00D422B1" w:rsidRPr="00D6259F" w:rsidRDefault="000F20D8" w:rsidP="007C7248">
      <w:pPr>
        <w:rPr>
          <w:color w:val="000000" w:themeColor="text1"/>
        </w:rPr>
      </w:pPr>
      <w:r w:rsidRPr="00D6259F">
        <w:rPr>
          <w:color w:val="000000" w:themeColor="text1"/>
          <w:lang w:eastAsia="en-GB"/>
        </w:rPr>
        <w:object w:dxaOrig="10530" w:dyaOrig="6465" w14:anchorId="5B586C22">
          <v:shape id="_x0000_i1109" type="#_x0000_t75" style="width:433pt;height:294pt" o:ole="">
            <v:imagedata r:id="rId180" o:title="" cropbottom="6069f"/>
          </v:shape>
          <o:OLEObject Type="Link" ProgID="Excel.Sheet.12" ShapeID="_x0000_i1109" DrawAspect="Content" r:id="rId181" UpdateMode="Always">
            <o:LinkType>EnhancedMetaFile</o:LinkType>
            <o:LockedField>false</o:LockedField>
          </o:OLEObject>
        </w:object>
      </w:r>
    </w:p>
    <w:p w14:paraId="018609C0" w14:textId="77777777" w:rsidR="00D422B1" w:rsidRPr="00D6259F" w:rsidRDefault="00D422B1" w:rsidP="007C7248">
      <w:pPr>
        <w:pStyle w:val="Heading4"/>
      </w:pPr>
      <w:r w:rsidRPr="00D6259F">
        <w:t>Liquidity risk</w:t>
      </w:r>
    </w:p>
    <w:p w14:paraId="0E30C93E" w14:textId="156A1431" w:rsidR="00D422B1" w:rsidRPr="00D6259F" w:rsidRDefault="00D422B1" w:rsidP="007C7248">
      <w:pPr>
        <w:rPr>
          <w:rFonts w:ascii="Times New Roman" w:hAnsi="Times New Roman"/>
          <w:color w:val="000000" w:themeColor="text1"/>
          <w:sz w:val="20"/>
          <w:szCs w:val="20"/>
          <w:lang w:eastAsia="en-GB"/>
        </w:rPr>
      </w:pPr>
      <w:r w:rsidRPr="00D6259F">
        <w:rPr>
          <w:color w:val="000000" w:themeColor="text1"/>
          <w:lang w:eastAsia="en-GB"/>
        </w:rPr>
        <w:t>Liquidity risk refers to the situation where the</w:t>
      </w:r>
      <w:r w:rsidR="006020F7" w:rsidRPr="00D6259F">
        <w:rPr>
          <w:color w:val="000000" w:themeColor="text1"/>
          <w:lang w:eastAsia="en-GB"/>
        </w:rPr>
        <w:t xml:space="preserve"> Group</w:t>
      </w:r>
      <w:r w:rsidRPr="00D6259F">
        <w:rPr>
          <w:color w:val="000000" w:themeColor="text1"/>
          <w:lang w:eastAsia="en-GB"/>
        </w:rPr>
        <w:t xml:space="preserve"> may encounter difficulty in meeting obligations associated with financial liabilities. The</w:t>
      </w:r>
      <w:r w:rsidR="006020F7" w:rsidRPr="00D6259F">
        <w:rPr>
          <w:color w:val="000000" w:themeColor="text1"/>
          <w:lang w:eastAsia="en-GB"/>
        </w:rPr>
        <w:t xml:space="preserve"> Group</w:t>
      </w:r>
      <w:r w:rsidRPr="00D6259F">
        <w:rPr>
          <w:color w:val="000000" w:themeColor="text1"/>
          <w:lang w:eastAsia="en-GB"/>
        </w:rPr>
        <w:t xml:space="preserve"> maintains sufficient funds to cover all obligations as they fall due. Facilities are maintained in accordance with the Council’s Liability Management Policy to ensure the</w:t>
      </w:r>
      <w:r w:rsidR="006020F7" w:rsidRPr="00D6259F">
        <w:rPr>
          <w:color w:val="000000" w:themeColor="text1"/>
          <w:lang w:eastAsia="en-GB"/>
        </w:rPr>
        <w:t xml:space="preserve"> Group</w:t>
      </w:r>
      <w:r w:rsidRPr="00D6259F">
        <w:rPr>
          <w:color w:val="000000" w:themeColor="text1"/>
          <w:lang w:eastAsia="en-GB"/>
        </w:rPr>
        <w:t xml:space="preserve"> </w:t>
      </w:r>
      <w:r w:rsidR="00401930" w:rsidRPr="00D6259F">
        <w:rPr>
          <w:color w:val="000000" w:themeColor="text1"/>
          <w:lang w:eastAsia="en-GB"/>
        </w:rPr>
        <w:t>can</w:t>
      </w:r>
      <w:r w:rsidRPr="00D6259F">
        <w:rPr>
          <w:color w:val="000000" w:themeColor="text1"/>
          <w:lang w:eastAsia="en-GB"/>
        </w:rPr>
        <w:t xml:space="preserve"> access required funds.</w:t>
      </w:r>
    </w:p>
    <w:p w14:paraId="00A515BD" w14:textId="77777777" w:rsidR="00D422B1" w:rsidRPr="00D6259F" w:rsidRDefault="00D422B1" w:rsidP="007C7248">
      <w:pPr>
        <w:pStyle w:val="Heading5"/>
        <w:rPr>
          <w:color w:val="000000" w:themeColor="text1"/>
        </w:rPr>
      </w:pPr>
      <w:r w:rsidRPr="00D6259F">
        <w:rPr>
          <w:color w:val="000000" w:themeColor="text1"/>
        </w:rPr>
        <w:t>Contractual maturity</w:t>
      </w:r>
    </w:p>
    <w:p w14:paraId="65B86913" w14:textId="2EB24E6F" w:rsidR="00F8457E" w:rsidRPr="00D6259F" w:rsidRDefault="00D422B1" w:rsidP="00F8457E">
      <w:pPr>
        <w:spacing w:after="120"/>
        <w:rPr>
          <w:color w:val="000000" w:themeColor="text1"/>
          <w:lang w:eastAsia="en-GB"/>
        </w:rPr>
      </w:pPr>
      <w:r w:rsidRPr="00D6259F">
        <w:rPr>
          <w:color w:val="000000" w:themeColor="text1"/>
          <w:lang w:eastAsia="en-GB"/>
        </w:rPr>
        <w:t xml:space="preserve">The following maturity analysis in </w:t>
      </w:r>
      <w:r w:rsidRPr="00D6259F">
        <w:rPr>
          <w:i/>
          <w:color w:val="000000" w:themeColor="text1"/>
          <w:lang w:eastAsia="en-GB"/>
        </w:rPr>
        <w:t>Table</w:t>
      </w:r>
      <w:r w:rsidR="002F5404" w:rsidRPr="00D6259F">
        <w:rPr>
          <w:i/>
          <w:color w:val="000000" w:themeColor="text1"/>
          <w:lang w:eastAsia="en-GB"/>
        </w:rPr>
        <w:t xml:space="preserve"> 76</w:t>
      </w:r>
      <w:r w:rsidR="009256D0" w:rsidRPr="00D6259F">
        <w:rPr>
          <w:i/>
          <w:color w:val="000000" w:themeColor="text1"/>
          <w:lang w:eastAsia="en-GB"/>
        </w:rPr>
        <w:t xml:space="preserve"> </w:t>
      </w:r>
      <w:r w:rsidRPr="00D6259F">
        <w:rPr>
          <w:color w:val="000000" w:themeColor="text1"/>
          <w:lang w:eastAsia="en-GB"/>
        </w:rPr>
        <w:t xml:space="preserve">sets out the contractual cash flows for all financial liabilities </w:t>
      </w:r>
      <w:r w:rsidR="000521C7" w:rsidRPr="00D6259F">
        <w:rPr>
          <w:color w:val="000000" w:themeColor="text1"/>
          <w:lang w:eastAsia="en-GB"/>
        </w:rPr>
        <w:t xml:space="preserve">excluding derivatives </w:t>
      </w:r>
      <w:r w:rsidRPr="00D6259F">
        <w:rPr>
          <w:color w:val="000000" w:themeColor="text1"/>
          <w:lang w:eastAsia="en-GB"/>
        </w:rPr>
        <w:t>that are settled on a gross cash flow basis. Contractual cash flows for financial liabilities include the nominal amount and interest payable.</w:t>
      </w:r>
    </w:p>
    <w:p w14:paraId="1A178CB1" w14:textId="3C937997" w:rsidR="00D422B1" w:rsidRPr="00D6259F" w:rsidRDefault="000F20D8" w:rsidP="00F8457E">
      <w:pPr>
        <w:spacing w:after="0"/>
        <w:rPr>
          <w:noProof/>
          <w:color w:val="000000" w:themeColor="text1"/>
        </w:rPr>
      </w:pPr>
      <w:r w:rsidRPr="00D6259F">
        <w:rPr>
          <w:noProof/>
          <w:color w:val="000000" w:themeColor="text1"/>
        </w:rPr>
        <w:object w:dxaOrig="11040" w:dyaOrig="5325" w14:anchorId="283FDA9C">
          <v:shape id="_x0000_i1110" type="#_x0000_t75" style="width:490pt;height:268pt" o:ole="">
            <v:imagedata r:id="rId182" o:title=""/>
          </v:shape>
          <o:OLEObject Type="Link" ProgID="Excel.Sheet.12" ShapeID="_x0000_i1110" DrawAspect="Content" r:id="rId183" UpdateMode="Always">
            <o:LinkType>EnhancedMetaFile</o:LinkType>
            <o:LockedField>false</o:LockedField>
          </o:OLEObject>
        </w:object>
      </w:r>
    </w:p>
    <w:p w14:paraId="204E6739" w14:textId="62EC331E" w:rsidR="00D422B1" w:rsidRPr="00D6259F" w:rsidRDefault="00D422B1" w:rsidP="007C7248">
      <w:pPr>
        <w:rPr>
          <w:color w:val="000000" w:themeColor="text1"/>
          <w:lang w:eastAsia="en-GB"/>
        </w:rPr>
      </w:pPr>
      <w:r w:rsidRPr="00D6259F">
        <w:rPr>
          <w:color w:val="000000" w:themeColor="text1"/>
          <w:lang w:eastAsia="en-GB"/>
        </w:rPr>
        <w:t xml:space="preserve">Contractual cash flows for derivative financial liabilities are </w:t>
      </w:r>
      <w:r w:rsidR="000521C7" w:rsidRPr="00D6259F">
        <w:rPr>
          <w:color w:val="000000" w:themeColor="text1"/>
          <w:lang w:eastAsia="en-GB"/>
        </w:rPr>
        <w:t xml:space="preserve">settled on a net cash flow basis and are </w:t>
      </w:r>
      <w:r w:rsidRPr="00D6259F">
        <w:rPr>
          <w:color w:val="000000" w:themeColor="text1"/>
          <w:lang w:eastAsia="en-GB"/>
        </w:rPr>
        <w:t>the future interest payable</w:t>
      </w:r>
      <w:r w:rsidR="000521C7" w:rsidRPr="00D6259F">
        <w:rPr>
          <w:color w:val="000000" w:themeColor="text1"/>
          <w:lang w:eastAsia="en-GB"/>
        </w:rPr>
        <w:t>. H</w:t>
      </w:r>
      <w:r w:rsidR="00377E9D" w:rsidRPr="00D6259F">
        <w:rPr>
          <w:color w:val="000000" w:themeColor="text1"/>
          <w:lang w:eastAsia="en-GB"/>
        </w:rPr>
        <w:t>owever</w:t>
      </w:r>
      <w:r w:rsidR="000521C7" w:rsidRPr="00D6259F">
        <w:rPr>
          <w:color w:val="000000" w:themeColor="text1"/>
          <w:lang w:eastAsia="en-GB"/>
        </w:rPr>
        <w:t>,</w:t>
      </w:r>
      <w:r w:rsidR="00377E9D" w:rsidRPr="00D6259F">
        <w:rPr>
          <w:color w:val="000000" w:themeColor="text1"/>
          <w:lang w:eastAsia="en-GB"/>
        </w:rPr>
        <w:t xml:space="preserve"> due to </w:t>
      </w:r>
      <w:r w:rsidR="00377E9D" w:rsidRPr="00D6259F">
        <w:rPr>
          <w:color w:val="000000" w:themeColor="text1"/>
        </w:rPr>
        <w:t xml:space="preserve">favourable interest rate movements all derivatives (cash flow hedges) were assets </w:t>
      </w:r>
      <w:proofErr w:type="gramStart"/>
      <w:r w:rsidR="00377E9D" w:rsidRPr="00D6259F">
        <w:rPr>
          <w:color w:val="000000" w:themeColor="text1"/>
        </w:rPr>
        <w:t>at</w:t>
      </w:r>
      <w:proofErr w:type="gramEnd"/>
      <w:r w:rsidR="00377E9D" w:rsidRPr="00D6259F">
        <w:rPr>
          <w:color w:val="000000" w:themeColor="text1"/>
        </w:rPr>
        <w:t xml:space="preserve"> 30 June 2023 and 2024.</w:t>
      </w:r>
    </w:p>
    <w:p w14:paraId="33372F20" w14:textId="210A565E" w:rsidR="00203EAB" w:rsidRPr="00D6259F" w:rsidRDefault="00203EAB" w:rsidP="007C7248">
      <w:pPr>
        <w:rPr>
          <w:color w:val="000000" w:themeColor="text1"/>
          <w:lang w:eastAsia="en-GB"/>
        </w:rPr>
      </w:pPr>
      <w:r w:rsidRPr="00D6259F">
        <w:rPr>
          <w:color w:val="000000" w:themeColor="text1"/>
          <w:lang w:eastAsia="en-GB"/>
        </w:rPr>
        <w:t>In addition to cash to be received in 202</w:t>
      </w:r>
      <w:r w:rsidR="00C659F7" w:rsidRPr="00D6259F">
        <w:rPr>
          <w:color w:val="000000" w:themeColor="text1"/>
          <w:lang w:eastAsia="en-GB"/>
        </w:rPr>
        <w:t>4</w:t>
      </w:r>
      <w:r w:rsidRPr="00D6259F">
        <w:rPr>
          <w:color w:val="000000" w:themeColor="text1"/>
          <w:lang w:eastAsia="en-GB"/>
        </w:rPr>
        <w:t>/2</w:t>
      </w:r>
      <w:r w:rsidR="00C659F7" w:rsidRPr="00D6259F">
        <w:rPr>
          <w:color w:val="000000" w:themeColor="text1"/>
          <w:lang w:eastAsia="en-GB"/>
        </w:rPr>
        <w:t>5</w:t>
      </w:r>
      <w:r w:rsidRPr="00D6259F">
        <w:rPr>
          <w:color w:val="000000" w:themeColor="text1"/>
          <w:lang w:eastAsia="en-GB"/>
        </w:rPr>
        <w:t xml:space="preserve"> the</w:t>
      </w:r>
      <w:r w:rsidR="006020F7" w:rsidRPr="00D6259F">
        <w:rPr>
          <w:color w:val="000000" w:themeColor="text1"/>
          <w:lang w:eastAsia="en-GB"/>
        </w:rPr>
        <w:t xml:space="preserve"> Group</w:t>
      </w:r>
      <w:r w:rsidRPr="00D6259F">
        <w:rPr>
          <w:color w:val="000000" w:themeColor="text1"/>
          <w:lang w:eastAsia="en-GB"/>
        </w:rPr>
        <w:t xml:space="preserve"> currently has </w:t>
      </w:r>
      <w:r w:rsidR="00D42A7A" w:rsidRPr="00D6259F">
        <w:rPr>
          <w:color w:val="000000" w:themeColor="text1"/>
          <w:lang w:eastAsia="en-GB"/>
        </w:rPr>
        <w:t>$24</w:t>
      </w:r>
      <w:r w:rsidR="00204483" w:rsidRPr="00D6259F">
        <w:rPr>
          <w:color w:val="000000" w:themeColor="text1"/>
          <w:lang w:eastAsia="en-GB"/>
        </w:rPr>
        <w:t>1</w:t>
      </w:r>
      <w:r w:rsidR="00D42A7A" w:rsidRPr="00D6259F">
        <w:rPr>
          <w:color w:val="000000" w:themeColor="text1"/>
          <w:lang w:eastAsia="en-GB"/>
        </w:rPr>
        <w:t>.</w:t>
      </w:r>
      <w:r w:rsidR="00204483" w:rsidRPr="00D6259F">
        <w:rPr>
          <w:color w:val="000000" w:themeColor="text1"/>
          <w:lang w:eastAsia="en-GB"/>
        </w:rPr>
        <w:t>9</w:t>
      </w:r>
      <w:r w:rsidR="00D42A7A" w:rsidRPr="00D6259F">
        <w:rPr>
          <w:color w:val="000000" w:themeColor="text1"/>
          <w:lang w:eastAsia="en-GB"/>
        </w:rPr>
        <w:t>m</w:t>
      </w:r>
      <w:r w:rsidR="007A5378" w:rsidRPr="00D6259F">
        <w:rPr>
          <w:color w:val="000000" w:themeColor="text1"/>
          <w:lang w:eastAsia="en-GB"/>
        </w:rPr>
        <w:t xml:space="preserve"> </w:t>
      </w:r>
      <w:r w:rsidRPr="00D6259F">
        <w:rPr>
          <w:color w:val="000000" w:themeColor="text1"/>
          <w:lang w:eastAsia="en-GB"/>
        </w:rPr>
        <w:t>(202</w:t>
      </w:r>
      <w:r w:rsidR="00D210BC" w:rsidRPr="00D6259F">
        <w:rPr>
          <w:color w:val="000000" w:themeColor="text1"/>
          <w:lang w:eastAsia="en-GB"/>
        </w:rPr>
        <w:t>3</w:t>
      </w:r>
      <w:r w:rsidRPr="00D6259F">
        <w:rPr>
          <w:color w:val="000000" w:themeColor="text1"/>
          <w:lang w:eastAsia="en-GB"/>
        </w:rPr>
        <w:t>: $</w:t>
      </w:r>
      <w:r w:rsidR="00D210BC" w:rsidRPr="00D6259F">
        <w:rPr>
          <w:color w:val="000000" w:themeColor="text1"/>
          <w:lang w:eastAsia="en-GB"/>
        </w:rPr>
        <w:t>2</w:t>
      </w:r>
      <w:r w:rsidR="00E248FA" w:rsidRPr="00D6259F">
        <w:rPr>
          <w:color w:val="000000" w:themeColor="text1"/>
          <w:lang w:eastAsia="en-GB"/>
        </w:rPr>
        <w:t>1</w:t>
      </w:r>
      <w:r w:rsidR="00204483" w:rsidRPr="00D6259F">
        <w:rPr>
          <w:color w:val="000000" w:themeColor="text1"/>
          <w:lang w:eastAsia="en-GB"/>
        </w:rPr>
        <w:t>1</w:t>
      </w:r>
      <w:r w:rsidR="00D42A7A" w:rsidRPr="00D6259F">
        <w:rPr>
          <w:color w:val="000000" w:themeColor="text1"/>
          <w:lang w:eastAsia="en-GB"/>
        </w:rPr>
        <w:t>.</w:t>
      </w:r>
      <w:r w:rsidR="00204483" w:rsidRPr="00D6259F">
        <w:rPr>
          <w:color w:val="000000" w:themeColor="text1"/>
          <w:lang w:eastAsia="en-GB"/>
        </w:rPr>
        <w:t>9</w:t>
      </w:r>
      <w:r w:rsidR="00D42A7A" w:rsidRPr="00D6259F">
        <w:rPr>
          <w:color w:val="000000" w:themeColor="text1"/>
          <w:lang w:eastAsia="en-GB"/>
        </w:rPr>
        <w:t>m</w:t>
      </w:r>
      <w:r w:rsidRPr="00D6259F">
        <w:rPr>
          <w:color w:val="000000" w:themeColor="text1"/>
          <w:lang w:eastAsia="en-GB"/>
        </w:rPr>
        <w:t>) in unutilised committed bank facilities available to settle obligations as well as $</w:t>
      </w:r>
      <w:r w:rsidR="00E248FA" w:rsidRPr="00D6259F">
        <w:rPr>
          <w:color w:val="000000" w:themeColor="text1"/>
          <w:lang w:eastAsia="en-GB"/>
        </w:rPr>
        <w:t>2</w:t>
      </w:r>
      <w:r w:rsidR="00013620" w:rsidRPr="00D6259F">
        <w:rPr>
          <w:color w:val="000000" w:themeColor="text1"/>
          <w:lang w:eastAsia="en-GB"/>
        </w:rPr>
        <w:t>05.3</w:t>
      </w:r>
      <w:r w:rsidR="00E248FA" w:rsidRPr="00D6259F">
        <w:rPr>
          <w:color w:val="000000" w:themeColor="text1"/>
          <w:lang w:eastAsia="en-GB"/>
        </w:rPr>
        <w:t>m</w:t>
      </w:r>
      <w:r w:rsidR="00817BC3" w:rsidRPr="00D6259F">
        <w:rPr>
          <w:color w:val="000000" w:themeColor="text1"/>
        </w:rPr>
        <w:t xml:space="preserve"> </w:t>
      </w:r>
      <w:r w:rsidRPr="00D6259F">
        <w:rPr>
          <w:color w:val="000000" w:themeColor="text1"/>
          <w:lang w:eastAsia="en-GB"/>
        </w:rPr>
        <w:t>(202</w:t>
      </w:r>
      <w:r w:rsidR="00D210BC" w:rsidRPr="00D6259F">
        <w:rPr>
          <w:color w:val="000000" w:themeColor="text1"/>
          <w:lang w:eastAsia="en-GB"/>
        </w:rPr>
        <w:t>3</w:t>
      </w:r>
      <w:r w:rsidRPr="00D6259F">
        <w:rPr>
          <w:color w:val="000000" w:themeColor="text1"/>
          <w:lang w:eastAsia="en-GB"/>
        </w:rPr>
        <w:t>: $</w:t>
      </w:r>
      <w:r w:rsidR="00D210BC" w:rsidRPr="00D6259F">
        <w:rPr>
          <w:color w:val="000000" w:themeColor="text1"/>
          <w:lang w:eastAsia="en-GB"/>
        </w:rPr>
        <w:t>167.4m</w:t>
      </w:r>
      <w:r w:rsidRPr="00D6259F">
        <w:rPr>
          <w:color w:val="000000" w:themeColor="text1"/>
          <w:lang w:eastAsia="en-GB"/>
        </w:rPr>
        <w:t>) of cash, cash equivalents and receivables and is expected to have sufficient cash to meet all contractual liabilities as they fall due.</w:t>
      </w:r>
    </w:p>
    <w:p w14:paraId="6717A62E" w14:textId="6C13CDF2" w:rsidR="00D422B1" w:rsidRPr="00D6259F" w:rsidRDefault="00D422B1" w:rsidP="007C7248">
      <w:pPr>
        <w:rPr>
          <w:color w:val="000000" w:themeColor="text1"/>
          <w:lang w:eastAsia="en-GB"/>
        </w:rPr>
      </w:pPr>
      <w:r w:rsidRPr="00D6259F">
        <w:rPr>
          <w:color w:val="000000" w:themeColor="text1"/>
          <w:lang w:eastAsia="en-GB"/>
        </w:rPr>
        <w:t>The</w:t>
      </w:r>
      <w:r w:rsidR="006020F7" w:rsidRPr="00D6259F">
        <w:rPr>
          <w:color w:val="000000" w:themeColor="text1"/>
          <w:lang w:eastAsia="en-GB"/>
        </w:rPr>
        <w:t xml:space="preserve"> Group</w:t>
      </w:r>
      <w:r w:rsidRPr="00D6259F">
        <w:rPr>
          <w:color w:val="000000" w:themeColor="text1"/>
          <w:lang w:eastAsia="en-GB"/>
        </w:rPr>
        <w:t xml:space="preserve"> is exposed to liquidity risk as a guarantor of </w:t>
      </w:r>
      <w:r w:rsidR="00532E16" w:rsidRPr="00D6259F">
        <w:rPr>
          <w:color w:val="000000" w:themeColor="text1"/>
          <w:lang w:eastAsia="en-GB"/>
        </w:rPr>
        <w:t>all</w:t>
      </w:r>
      <w:r w:rsidRPr="00D6259F">
        <w:rPr>
          <w:color w:val="000000" w:themeColor="text1"/>
          <w:lang w:eastAsia="en-GB"/>
        </w:rPr>
        <w:t xml:space="preserve"> LGFA’s borrowings. This guarantee becomes callable in the event of the LGFA failing to pay its obligations when they fall due. Information about this exposure is explained in </w:t>
      </w:r>
      <w:r w:rsidRPr="00D6259F">
        <w:rPr>
          <w:i/>
          <w:iCs/>
          <w:color w:val="000000" w:themeColor="text1"/>
          <w:lang w:eastAsia="en-GB"/>
        </w:rPr>
        <w:t>Note 3</w:t>
      </w:r>
      <w:r w:rsidR="00695A2E" w:rsidRPr="00D6259F">
        <w:rPr>
          <w:i/>
          <w:iCs/>
          <w:color w:val="000000" w:themeColor="text1"/>
          <w:lang w:eastAsia="en-GB"/>
        </w:rPr>
        <w:t>5</w:t>
      </w:r>
      <w:r w:rsidRPr="00D6259F">
        <w:rPr>
          <w:i/>
          <w:iCs/>
          <w:color w:val="000000" w:themeColor="text1"/>
          <w:lang w:eastAsia="en-GB"/>
        </w:rPr>
        <w:t>: Contingencies</w:t>
      </w:r>
      <w:r w:rsidRPr="00D6259F">
        <w:rPr>
          <w:color w:val="000000" w:themeColor="text1"/>
          <w:lang w:eastAsia="en-GB"/>
        </w:rPr>
        <w:t xml:space="preserve"> (</w:t>
      </w:r>
      <w:r w:rsidR="006F6060" w:rsidRPr="00D6259F">
        <w:rPr>
          <w:color w:val="000000" w:themeColor="text1"/>
          <w:lang w:eastAsia="en-GB"/>
        </w:rPr>
        <w:t>page</w:t>
      </w:r>
      <w:r w:rsidR="00C7599A" w:rsidRPr="00D6259F">
        <w:rPr>
          <w:color w:val="000000" w:themeColor="text1"/>
          <w:lang w:eastAsia="en-GB"/>
        </w:rPr>
        <w:t xml:space="preserve"> </w:t>
      </w:r>
      <w:r w:rsidR="00B96F44" w:rsidRPr="00D6259F">
        <w:rPr>
          <w:color w:val="000000" w:themeColor="text1"/>
          <w:lang w:eastAsia="en-GB"/>
        </w:rPr>
        <w:t>108</w:t>
      </w:r>
      <w:r w:rsidR="000D2234" w:rsidRPr="00D6259F">
        <w:rPr>
          <w:color w:val="000000" w:themeColor="text1"/>
          <w:lang w:eastAsia="en-GB"/>
        </w:rPr>
        <w:t>)</w:t>
      </w:r>
      <w:r w:rsidR="009F4963" w:rsidRPr="00D6259F">
        <w:rPr>
          <w:color w:val="000000" w:themeColor="text1"/>
          <w:lang w:eastAsia="en-GB"/>
        </w:rPr>
        <w:t>.</w:t>
      </w:r>
      <w:r w:rsidRPr="00D6259F">
        <w:rPr>
          <w:color w:val="000000" w:themeColor="text1"/>
          <w:lang w:eastAsia="en-GB"/>
        </w:rPr>
        <w:t xml:space="preserve"> </w:t>
      </w:r>
    </w:p>
    <w:p w14:paraId="114F1E76" w14:textId="532B6AA7" w:rsidR="00D422B1" w:rsidRPr="00D6259F" w:rsidRDefault="00D422B1" w:rsidP="007C7248">
      <w:pPr>
        <w:rPr>
          <w:color w:val="000000" w:themeColor="text1"/>
          <w:lang w:eastAsia="en-GB"/>
        </w:rPr>
      </w:pPr>
      <w:r w:rsidRPr="00D6259F">
        <w:rPr>
          <w:color w:val="000000" w:themeColor="text1"/>
          <w:lang w:eastAsia="en-GB"/>
        </w:rPr>
        <w:t>The</w:t>
      </w:r>
      <w:r w:rsidR="006020F7" w:rsidRPr="00D6259F">
        <w:rPr>
          <w:color w:val="000000" w:themeColor="text1"/>
          <w:lang w:eastAsia="en-GB"/>
        </w:rPr>
        <w:t xml:space="preserve"> Group</w:t>
      </w:r>
      <w:r w:rsidRPr="00D6259F">
        <w:rPr>
          <w:color w:val="000000" w:themeColor="text1"/>
          <w:lang w:eastAsia="en-GB"/>
        </w:rPr>
        <w:t xml:space="preserve"> mitigates exposure to liquidity risk by managing the maturity of its borrowings programme within the following maturity limits as shown in </w:t>
      </w:r>
      <w:r w:rsidRPr="00D6259F">
        <w:rPr>
          <w:i/>
          <w:color w:val="000000" w:themeColor="text1"/>
          <w:lang w:eastAsia="en-GB"/>
        </w:rPr>
        <w:t>Table</w:t>
      </w:r>
      <w:r w:rsidR="0007007B" w:rsidRPr="00D6259F">
        <w:rPr>
          <w:i/>
          <w:color w:val="000000" w:themeColor="text1"/>
          <w:lang w:eastAsia="en-GB"/>
        </w:rPr>
        <w:t xml:space="preserve"> </w:t>
      </w:r>
      <w:r w:rsidR="00B96F44" w:rsidRPr="00D6259F">
        <w:rPr>
          <w:i/>
          <w:color w:val="000000" w:themeColor="text1"/>
          <w:lang w:eastAsia="en-GB"/>
        </w:rPr>
        <w:t>77</w:t>
      </w:r>
      <w:r w:rsidR="00260073" w:rsidRPr="00D6259F">
        <w:rPr>
          <w:i/>
          <w:color w:val="000000" w:themeColor="text1"/>
          <w:lang w:eastAsia="en-GB"/>
        </w:rPr>
        <w:t>.</w:t>
      </w:r>
    </w:p>
    <w:p w14:paraId="23504FFD" w14:textId="0B5A6C66" w:rsidR="00D422B1" w:rsidRPr="00D6259F" w:rsidRDefault="000F20D8" w:rsidP="007C7248">
      <w:pPr>
        <w:rPr>
          <w:noProof/>
          <w:color w:val="000000" w:themeColor="text1"/>
        </w:rPr>
      </w:pPr>
      <w:r w:rsidRPr="00D6259F">
        <w:rPr>
          <w:noProof/>
          <w:color w:val="000000" w:themeColor="text1"/>
        </w:rPr>
        <w:object w:dxaOrig="9270" w:dyaOrig="2865" w14:anchorId="1E8C0C8E">
          <v:shape id="_x0000_i1111" type="#_x0000_t75" style="width:395pt;height:134pt" o:ole="">
            <v:imagedata r:id="rId184" o:title=""/>
          </v:shape>
          <o:OLEObject Type="Link" ProgID="Excel.Sheet.12" ShapeID="_x0000_i1111" DrawAspect="Content" r:id="rId185" UpdateMode="Always">
            <o:LinkType>EnhancedMetaFile</o:LinkType>
            <o:LockedField>false</o:LockedField>
          </o:OLEObject>
        </w:object>
      </w:r>
    </w:p>
    <w:p w14:paraId="184FA5DF" w14:textId="4845D0FB" w:rsidR="004B010A" w:rsidRPr="00D6259F" w:rsidRDefault="004B010A" w:rsidP="004B010A">
      <w:pPr>
        <w:rPr>
          <w:color w:val="000000" w:themeColor="text1"/>
        </w:rPr>
      </w:pPr>
      <w:r w:rsidRPr="00D6259F">
        <w:rPr>
          <w:color w:val="000000" w:themeColor="text1"/>
        </w:rPr>
        <w:t xml:space="preserve">These profiles demonstrate how </w:t>
      </w:r>
      <w:r w:rsidR="00543A4C" w:rsidRPr="00D6259F">
        <w:rPr>
          <w:color w:val="000000" w:themeColor="text1"/>
        </w:rPr>
        <w:t xml:space="preserve">the </w:t>
      </w:r>
      <w:r w:rsidRPr="00D6259F">
        <w:rPr>
          <w:color w:val="000000" w:themeColor="text1"/>
        </w:rPr>
        <w:t xml:space="preserve">Council must spread and smooth repricing to avoid large concentrations of repricing risk in any given annual period. </w:t>
      </w:r>
    </w:p>
    <w:p w14:paraId="5B195C73" w14:textId="77777777" w:rsidR="00D422B1" w:rsidRPr="00D6259F" w:rsidRDefault="00D422B1" w:rsidP="007C7248">
      <w:pPr>
        <w:pStyle w:val="Heading4"/>
      </w:pPr>
      <w:r w:rsidRPr="00D6259F">
        <w:t>Market risk</w:t>
      </w:r>
    </w:p>
    <w:p w14:paraId="76FC82D0" w14:textId="135F3111" w:rsidR="00D422B1" w:rsidRPr="00D6259F" w:rsidRDefault="00D422B1" w:rsidP="007C7248">
      <w:pPr>
        <w:rPr>
          <w:color w:val="000000" w:themeColor="text1"/>
          <w:lang w:eastAsia="en-GB"/>
        </w:rPr>
      </w:pPr>
      <w:r w:rsidRPr="00D6259F">
        <w:rPr>
          <w:color w:val="000000" w:themeColor="text1"/>
          <w:lang w:eastAsia="en-GB"/>
        </w:rPr>
        <w:t>Market risk is the risk that the value of an investment will decrease, or a liability will increase due to changes in market conditions. The</w:t>
      </w:r>
      <w:r w:rsidR="006020F7" w:rsidRPr="00D6259F">
        <w:rPr>
          <w:color w:val="000000" w:themeColor="text1"/>
          <w:lang w:eastAsia="en-GB"/>
        </w:rPr>
        <w:t xml:space="preserve"> Group</w:t>
      </w:r>
      <w:r w:rsidRPr="00D6259F">
        <w:rPr>
          <w:color w:val="000000" w:themeColor="text1"/>
          <w:lang w:eastAsia="en-GB"/>
        </w:rPr>
        <w:t xml:space="preserve"> uses interest rate swaps in the ordinary course of business to </w:t>
      </w:r>
      <w:r w:rsidRPr="00D6259F">
        <w:rPr>
          <w:color w:val="000000" w:themeColor="text1"/>
          <w:lang w:eastAsia="en-GB"/>
        </w:rPr>
        <w:lastRenderedPageBreak/>
        <w:t xml:space="preserve">manage interest rate risks. A Treasury Committee, headed by senior management personnel and the Council’s treasury management advisors (presently PwC), provides oversight for financial risk management and derivative </w:t>
      </w:r>
      <w:r w:rsidR="00EF790E" w:rsidRPr="00D6259F">
        <w:rPr>
          <w:color w:val="000000" w:themeColor="text1"/>
          <w:lang w:eastAsia="en-GB"/>
        </w:rPr>
        <w:t>activities,</w:t>
      </w:r>
      <w:r w:rsidRPr="00D6259F">
        <w:rPr>
          <w:color w:val="000000" w:themeColor="text1"/>
          <w:lang w:eastAsia="en-GB"/>
        </w:rPr>
        <w:t xml:space="preserve"> and ensures any activities are in line with the </w:t>
      </w:r>
      <w:r w:rsidR="00076281" w:rsidRPr="00D6259F">
        <w:rPr>
          <w:color w:val="000000" w:themeColor="text1"/>
          <w:lang w:eastAsia="en-GB"/>
        </w:rPr>
        <w:t xml:space="preserve">Investment and </w:t>
      </w:r>
      <w:r w:rsidRPr="00D6259F">
        <w:rPr>
          <w:color w:val="000000" w:themeColor="text1"/>
          <w:lang w:eastAsia="en-GB"/>
        </w:rPr>
        <w:t>Liability Management Polic</w:t>
      </w:r>
      <w:r w:rsidR="00076281" w:rsidRPr="00D6259F">
        <w:rPr>
          <w:color w:val="000000" w:themeColor="text1"/>
          <w:lang w:eastAsia="en-GB"/>
        </w:rPr>
        <w:t>ies,</w:t>
      </w:r>
      <w:r w:rsidRPr="00D6259F">
        <w:rPr>
          <w:color w:val="000000" w:themeColor="text1"/>
          <w:lang w:eastAsia="en-GB"/>
        </w:rPr>
        <w:t xml:space="preserve"> which </w:t>
      </w:r>
      <w:r w:rsidR="00076281" w:rsidRPr="00D6259F">
        <w:rPr>
          <w:color w:val="000000" w:themeColor="text1"/>
          <w:lang w:eastAsia="en-GB"/>
        </w:rPr>
        <w:t>are</w:t>
      </w:r>
      <w:r w:rsidRPr="00D6259F">
        <w:rPr>
          <w:color w:val="000000" w:themeColor="text1"/>
          <w:lang w:eastAsia="en-GB"/>
        </w:rPr>
        <w:t xml:space="preserve"> formally approved by the Council as part of the LTP.</w:t>
      </w:r>
    </w:p>
    <w:p w14:paraId="50335A00" w14:textId="3B7367CD" w:rsidR="00D422B1" w:rsidRPr="00D6259F" w:rsidRDefault="00D422B1" w:rsidP="00543A4C">
      <w:pPr>
        <w:pStyle w:val="Heading5"/>
        <w:rPr>
          <w:color w:val="000000" w:themeColor="text1"/>
        </w:rPr>
      </w:pPr>
      <w:r w:rsidRPr="00D6259F">
        <w:rPr>
          <w:color w:val="000000" w:themeColor="text1"/>
        </w:rPr>
        <w:t xml:space="preserve">Cash flow and fair value interest rate </w:t>
      </w:r>
      <w:proofErr w:type="gramStart"/>
      <w:r w:rsidRPr="00D6259F">
        <w:rPr>
          <w:color w:val="000000" w:themeColor="text1"/>
        </w:rPr>
        <w:t>risk</w:t>
      </w:r>
      <w:proofErr w:type="gramEnd"/>
    </w:p>
    <w:p w14:paraId="2A9BDF1C" w14:textId="40F0FD73" w:rsidR="00362D73" w:rsidRPr="00D6259F" w:rsidRDefault="00362D73" w:rsidP="00362D73">
      <w:pPr>
        <w:rPr>
          <w:color w:val="000000" w:themeColor="text1"/>
          <w:lang w:eastAsia="en-GB"/>
        </w:rPr>
      </w:pPr>
      <w:r w:rsidRPr="00D6259F">
        <w:rPr>
          <w:color w:val="000000" w:themeColor="text1"/>
          <w:lang w:eastAsia="en-GB"/>
        </w:rPr>
        <w:t>Cash flow interest rate risk is the risk that the cash flows from a financial instrument will fluctuate because of changes in market interest rates. The Council and</w:t>
      </w:r>
      <w:r w:rsidR="006020F7" w:rsidRPr="00D6259F">
        <w:rPr>
          <w:color w:val="000000" w:themeColor="text1"/>
          <w:lang w:eastAsia="en-GB"/>
        </w:rPr>
        <w:t xml:space="preserve"> Group</w:t>
      </w:r>
      <w:r w:rsidRPr="00D6259F">
        <w:rPr>
          <w:color w:val="000000" w:themeColor="text1"/>
          <w:lang w:eastAsia="en-GB"/>
        </w:rPr>
        <w:t xml:space="preserve">’s exposure to changes in market interest rates primarily arises from borrowings issued at variable interest rates. </w:t>
      </w:r>
    </w:p>
    <w:p w14:paraId="716A0374" w14:textId="389B790C" w:rsidR="00362D73" w:rsidRPr="00D6259F" w:rsidRDefault="00362D73" w:rsidP="00362D73">
      <w:pPr>
        <w:rPr>
          <w:color w:val="000000" w:themeColor="text1"/>
        </w:rPr>
      </w:pPr>
      <w:r w:rsidRPr="00D6259F">
        <w:rPr>
          <w:color w:val="000000" w:themeColor="text1"/>
        </w:rPr>
        <w:t xml:space="preserve">Generally, </w:t>
      </w:r>
      <w:r w:rsidR="00B947B6" w:rsidRPr="00D6259F">
        <w:rPr>
          <w:color w:val="000000" w:themeColor="text1"/>
        </w:rPr>
        <w:t xml:space="preserve">the </w:t>
      </w:r>
      <w:r w:rsidRPr="00D6259F">
        <w:rPr>
          <w:color w:val="000000" w:themeColor="text1"/>
        </w:rPr>
        <w:t xml:space="preserve">Council raises long-term borrowings at floating rates. The Liability </w:t>
      </w:r>
      <w:r w:rsidR="00377E9D" w:rsidRPr="00D6259F">
        <w:rPr>
          <w:color w:val="000000" w:themeColor="text1"/>
        </w:rPr>
        <w:t>M</w:t>
      </w:r>
      <w:r w:rsidRPr="00D6259F">
        <w:rPr>
          <w:color w:val="000000" w:themeColor="text1"/>
        </w:rPr>
        <w:t xml:space="preserve">anagement </w:t>
      </w:r>
      <w:r w:rsidR="00377E9D" w:rsidRPr="00D6259F">
        <w:rPr>
          <w:color w:val="000000" w:themeColor="text1"/>
        </w:rPr>
        <w:t>P</w:t>
      </w:r>
      <w:r w:rsidRPr="00D6259F">
        <w:rPr>
          <w:color w:val="000000" w:themeColor="text1"/>
        </w:rPr>
        <w:t>olicy requires that at least 50</w:t>
      </w:r>
      <w:r w:rsidR="00EB2CE4" w:rsidRPr="00D6259F">
        <w:rPr>
          <w:color w:val="000000" w:themeColor="text1"/>
        </w:rPr>
        <w:t xml:space="preserve"> percent</w:t>
      </w:r>
      <w:r w:rsidRPr="00D6259F">
        <w:rPr>
          <w:color w:val="000000" w:themeColor="text1"/>
        </w:rPr>
        <w:t xml:space="preserve"> of borrowings are at fixed rates of interest. To achieve this, </w:t>
      </w:r>
      <w:r w:rsidR="00B947B6" w:rsidRPr="00D6259F">
        <w:rPr>
          <w:color w:val="000000" w:themeColor="text1"/>
        </w:rPr>
        <w:t xml:space="preserve">the </w:t>
      </w:r>
      <w:r w:rsidRPr="00D6259F">
        <w:rPr>
          <w:color w:val="000000" w:themeColor="text1"/>
        </w:rPr>
        <w:t xml:space="preserve">Council uses interest rate swaps. Interest rate swaps have the economic effect of converting borrowings at floating rates into fixed rates to provide longer term certainty of funding costs than what would be achievable under floating rates. Under the interest rate swaps, </w:t>
      </w:r>
      <w:r w:rsidR="00B947B6" w:rsidRPr="00D6259F">
        <w:rPr>
          <w:color w:val="000000" w:themeColor="text1"/>
        </w:rPr>
        <w:t xml:space="preserve">the </w:t>
      </w:r>
      <w:r w:rsidRPr="00D6259F">
        <w:rPr>
          <w:color w:val="000000" w:themeColor="text1"/>
        </w:rPr>
        <w:t xml:space="preserve">Council agrees with other parties to exchange at specified intervals, the difference between fixed contract rates and floating rate interest amounts calculated by reference to the agreed notional principal amounts. </w:t>
      </w:r>
    </w:p>
    <w:p w14:paraId="18439366" w14:textId="334167F0" w:rsidR="00362D73" w:rsidRPr="00D6259F" w:rsidRDefault="00362D73" w:rsidP="00362D73">
      <w:pPr>
        <w:rPr>
          <w:color w:val="000000" w:themeColor="text1"/>
        </w:rPr>
      </w:pPr>
      <w:r w:rsidRPr="00D6259F">
        <w:rPr>
          <w:color w:val="000000" w:themeColor="text1"/>
        </w:rPr>
        <w:t xml:space="preserve">For material financial liability exposures, </w:t>
      </w:r>
      <w:r w:rsidR="00B947B6" w:rsidRPr="00D6259F">
        <w:rPr>
          <w:color w:val="000000" w:themeColor="text1"/>
        </w:rPr>
        <w:t xml:space="preserve">the </w:t>
      </w:r>
      <w:r w:rsidRPr="00D6259F">
        <w:rPr>
          <w:color w:val="000000" w:themeColor="text1"/>
        </w:rPr>
        <w:t>Council has policy settings with</w:t>
      </w:r>
      <w:r w:rsidR="00F74BFA" w:rsidRPr="00D6259F">
        <w:rPr>
          <w:color w:val="000000" w:themeColor="text1"/>
        </w:rPr>
        <w:t>in</w:t>
      </w:r>
      <w:r w:rsidRPr="00D6259F">
        <w:rPr>
          <w:color w:val="000000" w:themeColor="text1"/>
        </w:rPr>
        <w:t xml:space="preserve"> the </w:t>
      </w:r>
      <w:r w:rsidR="00377E9D" w:rsidRPr="00D6259F">
        <w:rPr>
          <w:color w:val="000000" w:themeColor="text1"/>
        </w:rPr>
        <w:t>L</w:t>
      </w:r>
      <w:r w:rsidRPr="00D6259F">
        <w:rPr>
          <w:color w:val="000000" w:themeColor="text1"/>
        </w:rPr>
        <w:t xml:space="preserve">iability </w:t>
      </w:r>
      <w:r w:rsidR="00377E9D" w:rsidRPr="00D6259F">
        <w:rPr>
          <w:color w:val="000000" w:themeColor="text1"/>
        </w:rPr>
        <w:t>M</w:t>
      </w:r>
      <w:r w:rsidRPr="00D6259F">
        <w:rPr>
          <w:color w:val="000000" w:themeColor="text1"/>
        </w:rPr>
        <w:t xml:space="preserve">anagement </w:t>
      </w:r>
      <w:r w:rsidR="00377E9D" w:rsidRPr="00D6259F">
        <w:rPr>
          <w:color w:val="000000" w:themeColor="text1"/>
        </w:rPr>
        <w:t>P</w:t>
      </w:r>
      <w:r w:rsidRPr="00D6259F">
        <w:rPr>
          <w:color w:val="000000" w:themeColor="text1"/>
        </w:rPr>
        <w:t xml:space="preserve">olicy that determine how the repricing of interest rate risks must be managed. For the year ended </w:t>
      </w:r>
      <w:r w:rsidR="005D56AC" w:rsidRPr="00D6259F">
        <w:rPr>
          <w:color w:val="000000" w:themeColor="text1"/>
        </w:rPr>
        <w:t>30 June 2024</w:t>
      </w:r>
      <w:r w:rsidRPr="00D6259F">
        <w:rPr>
          <w:color w:val="000000" w:themeColor="text1"/>
        </w:rPr>
        <w:t xml:space="preserve">, the material exposures were Borrowings and Derivative financial instruments (interest rate swaps). Refer to </w:t>
      </w:r>
      <w:r w:rsidR="00F74BFA" w:rsidRPr="00D6259F">
        <w:rPr>
          <w:i/>
          <w:iCs/>
          <w:color w:val="000000" w:themeColor="text1"/>
        </w:rPr>
        <w:t>N</w:t>
      </w:r>
      <w:r w:rsidRPr="00D6259F">
        <w:rPr>
          <w:i/>
          <w:iCs/>
          <w:color w:val="000000" w:themeColor="text1"/>
        </w:rPr>
        <w:t>ote 12</w:t>
      </w:r>
      <w:r w:rsidR="00F74BFA" w:rsidRPr="00D6259F">
        <w:rPr>
          <w:i/>
          <w:iCs/>
          <w:color w:val="000000" w:themeColor="text1"/>
        </w:rPr>
        <w:t>: Derivatives</w:t>
      </w:r>
      <w:r w:rsidR="00F74BFA" w:rsidRPr="00D6259F">
        <w:rPr>
          <w:color w:val="000000" w:themeColor="text1"/>
        </w:rPr>
        <w:t>, for further information (</w:t>
      </w:r>
      <w:r w:rsidR="006F6060" w:rsidRPr="00D6259F">
        <w:rPr>
          <w:color w:val="000000" w:themeColor="text1"/>
        </w:rPr>
        <w:t>page</w:t>
      </w:r>
      <w:r w:rsidR="00B96F44" w:rsidRPr="00D6259F">
        <w:rPr>
          <w:color w:val="000000" w:themeColor="text1"/>
        </w:rPr>
        <w:t xml:space="preserve"> 32</w:t>
      </w:r>
      <w:r w:rsidR="00F74BFA" w:rsidRPr="00D6259F">
        <w:rPr>
          <w:color w:val="000000" w:themeColor="text1"/>
        </w:rPr>
        <w:t>)</w:t>
      </w:r>
      <w:r w:rsidR="00817BC3" w:rsidRPr="00D6259F">
        <w:rPr>
          <w:color w:val="000000" w:themeColor="text1"/>
        </w:rPr>
        <w:t>.</w:t>
      </w:r>
    </w:p>
    <w:p w14:paraId="75FAFC5F" w14:textId="3627F0D8" w:rsidR="00D422B1" w:rsidRPr="00D6259F" w:rsidRDefault="00D422B1" w:rsidP="008C086B">
      <w:pPr>
        <w:spacing w:after="0"/>
        <w:rPr>
          <w:color w:val="000000" w:themeColor="text1"/>
          <w:lang w:eastAsia="en-NZ"/>
        </w:rPr>
      </w:pPr>
      <w:r w:rsidRPr="00D6259F">
        <w:rPr>
          <w:color w:val="000000" w:themeColor="text1"/>
          <w:lang w:eastAsia="en-NZ"/>
        </w:rPr>
        <w:t xml:space="preserve">The proportion of gross borrowing at a fixed interest rate </w:t>
      </w:r>
      <w:r w:rsidR="004F6E9C" w:rsidRPr="00D6259F">
        <w:rPr>
          <w:color w:val="000000" w:themeColor="text1"/>
          <w:lang w:eastAsia="en-NZ"/>
        </w:rPr>
        <w:t xml:space="preserve">(after taking into effect the interest rate swaps) </w:t>
      </w:r>
      <w:r w:rsidRPr="00D6259F">
        <w:rPr>
          <w:color w:val="000000" w:themeColor="text1"/>
          <w:lang w:eastAsia="en-NZ"/>
        </w:rPr>
        <w:t xml:space="preserve">for the </w:t>
      </w:r>
      <w:r w:rsidR="00DE7420" w:rsidRPr="00D6259F">
        <w:rPr>
          <w:color w:val="000000" w:themeColor="text1"/>
          <w:lang w:eastAsia="en-NZ"/>
        </w:rPr>
        <w:t>year</w:t>
      </w:r>
      <w:r w:rsidRPr="00D6259F">
        <w:rPr>
          <w:color w:val="000000" w:themeColor="text1"/>
          <w:lang w:eastAsia="en-NZ"/>
        </w:rPr>
        <w:t xml:space="preserve"> end</w:t>
      </w:r>
      <w:r w:rsidR="00F8457E" w:rsidRPr="00D6259F">
        <w:rPr>
          <w:color w:val="000000" w:themeColor="text1"/>
          <w:lang w:eastAsia="en-NZ"/>
        </w:rPr>
        <w:t>ed</w:t>
      </w:r>
      <w:r w:rsidRPr="00D6259F">
        <w:rPr>
          <w:color w:val="000000" w:themeColor="text1"/>
          <w:lang w:eastAsia="en-NZ"/>
        </w:rPr>
        <w:t xml:space="preserve"> </w:t>
      </w:r>
      <w:r w:rsidR="005D56AC" w:rsidRPr="00D6259F">
        <w:rPr>
          <w:color w:val="000000" w:themeColor="text1"/>
          <w:lang w:eastAsia="en-NZ"/>
        </w:rPr>
        <w:t>30 June 2024</w:t>
      </w:r>
      <w:r w:rsidRPr="00D6259F">
        <w:rPr>
          <w:color w:val="000000" w:themeColor="text1"/>
          <w:lang w:eastAsia="en-NZ"/>
        </w:rPr>
        <w:t xml:space="preserve"> is </w:t>
      </w:r>
      <w:r w:rsidR="00D073BD" w:rsidRPr="00D6259F">
        <w:rPr>
          <w:color w:val="000000" w:themeColor="text1"/>
          <w:lang w:eastAsia="en-GB"/>
        </w:rPr>
        <w:t>5</w:t>
      </w:r>
      <w:r w:rsidR="008C086B" w:rsidRPr="00D6259F">
        <w:rPr>
          <w:color w:val="000000" w:themeColor="text1"/>
          <w:lang w:eastAsia="en-GB"/>
        </w:rPr>
        <w:t>6</w:t>
      </w:r>
      <w:r w:rsidR="004F6E9C" w:rsidRPr="00D6259F">
        <w:rPr>
          <w:color w:val="000000" w:themeColor="text1"/>
          <w:lang w:eastAsia="en-GB"/>
        </w:rPr>
        <w:t xml:space="preserve"> </w:t>
      </w:r>
      <w:r w:rsidR="00FA6D44" w:rsidRPr="00D6259F">
        <w:rPr>
          <w:color w:val="000000" w:themeColor="text1"/>
          <w:lang w:eastAsia="en-NZ"/>
        </w:rPr>
        <w:t>percent</w:t>
      </w:r>
      <w:r w:rsidR="00DE7420" w:rsidRPr="00D6259F">
        <w:rPr>
          <w:color w:val="000000" w:themeColor="text1"/>
          <w:lang w:eastAsia="en-NZ"/>
        </w:rPr>
        <w:t xml:space="preserve"> </w:t>
      </w:r>
      <w:r w:rsidR="00066AC2" w:rsidRPr="00D6259F">
        <w:rPr>
          <w:color w:val="000000" w:themeColor="text1"/>
          <w:lang w:eastAsia="en-NZ"/>
        </w:rPr>
        <w:t>(202</w:t>
      </w:r>
      <w:r w:rsidR="00D210BC" w:rsidRPr="00D6259F">
        <w:rPr>
          <w:color w:val="000000" w:themeColor="text1"/>
          <w:lang w:eastAsia="en-NZ"/>
        </w:rPr>
        <w:t>3</w:t>
      </w:r>
      <w:r w:rsidR="00066AC2" w:rsidRPr="00D6259F">
        <w:rPr>
          <w:color w:val="000000" w:themeColor="text1"/>
          <w:lang w:eastAsia="en-NZ"/>
        </w:rPr>
        <w:t xml:space="preserve">: </w:t>
      </w:r>
      <w:r w:rsidR="000D2234" w:rsidRPr="00D6259F">
        <w:rPr>
          <w:color w:val="000000" w:themeColor="text1"/>
          <w:lang w:eastAsia="en-NZ"/>
        </w:rPr>
        <w:t>5</w:t>
      </w:r>
      <w:r w:rsidR="00D210BC" w:rsidRPr="00D6259F">
        <w:rPr>
          <w:color w:val="000000" w:themeColor="text1"/>
          <w:lang w:eastAsia="en-NZ"/>
        </w:rPr>
        <w:t>3</w:t>
      </w:r>
      <w:r w:rsidR="00066AC2" w:rsidRPr="00D6259F">
        <w:rPr>
          <w:color w:val="000000" w:themeColor="text1"/>
          <w:lang w:eastAsia="en-NZ"/>
        </w:rPr>
        <w:t xml:space="preserve"> percent)</w:t>
      </w:r>
      <w:r w:rsidR="00817BC3" w:rsidRPr="00D6259F">
        <w:rPr>
          <w:color w:val="000000" w:themeColor="text1"/>
          <w:lang w:eastAsia="en-NZ"/>
        </w:rPr>
        <w:t>.</w:t>
      </w:r>
    </w:p>
    <w:p w14:paraId="59CE6D9A" w14:textId="77777777" w:rsidR="008C086B" w:rsidRPr="00D6259F" w:rsidRDefault="008C086B" w:rsidP="008C086B">
      <w:pPr>
        <w:spacing w:after="0"/>
        <w:rPr>
          <w:color w:val="000000" w:themeColor="text1"/>
          <w:lang w:eastAsia="en-NZ"/>
        </w:rPr>
      </w:pPr>
    </w:p>
    <w:p w14:paraId="38B0CB30" w14:textId="56049304" w:rsidR="00D422B1" w:rsidRPr="00D6259F" w:rsidRDefault="00D422B1" w:rsidP="007C7248">
      <w:pPr>
        <w:rPr>
          <w:color w:val="000000" w:themeColor="text1"/>
          <w:lang w:eastAsia="en-GB"/>
        </w:rPr>
      </w:pPr>
      <w:r w:rsidRPr="00D6259F">
        <w:rPr>
          <w:i/>
          <w:color w:val="000000" w:themeColor="text1"/>
          <w:lang w:eastAsia="en-GB"/>
        </w:rPr>
        <w:t xml:space="preserve">Table </w:t>
      </w:r>
      <w:r w:rsidR="00B96F44" w:rsidRPr="00D6259F">
        <w:rPr>
          <w:i/>
          <w:color w:val="000000" w:themeColor="text1"/>
          <w:lang w:eastAsia="en-GB"/>
        </w:rPr>
        <w:t>78</w:t>
      </w:r>
      <w:r w:rsidR="00817BC3" w:rsidRPr="00D6259F">
        <w:rPr>
          <w:i/>
          <w:color w:val="000000" w:themeColor="text1"/>
          <w:lang w:eastAsia="en-GB"/>
        </w:rPr>
        <w:t xml:space="preserve"> shows</w:t>
      </w:r>
      <w:r w:rsidRPr="00D6259F">
        <w:rPr>
          <w:color w:val="000000" w:themeColor="text1"/>
          <w:lang w:eastAsia="en-GB"/>
        </w:rPr>
        <w:t xml:space="preserve"> the effect of the interest rate swaps at reducing the Council’s </w:t>
      </w:r>
      <w:r w:rsidR="005648FB" w:rsidRPr="00D6259F">
        <w:rPr>
          <w:color w:val="000000" w:themeColor="text1"/>
          <w:lang w:eastAsia="en-GB"/>
        </w:rPr>
        <w:t>and</w:t>
      </w:r>
      <w:r w:rsidR="006020F7" w:rsidRPr="00D6259F">
        <w:rPr>
          <w:color w:val="000000" w:themeColor="text1"/>
          <w:lang w:eastAsia="en-GB"/>
        </w:rPr>
        <w:t xml:space="preserve"> Group</w:t>
      </w:r>
      <w:r w:rsidR="005648FB" w:rsidRPr="00D6259F">
        <w:rPr>
          <w:color w:val="000000" w:themeColor="text1"/>
          <w:lang w:eastAsia="en-GB"/>
        </w:rPr>
        <w:t xml:space="preserve">’s </w:t>
      </w:r>
      <w:r w:rsidRPr="00D6259F">
        <w:rPr>
          <w:color w:val="000000" w:themeColor="text1"/>
          <w:lang w:eastAsia="en-GB"/>
        </w:rPr>
        <w:t>exposure to interest rate risk</w:t>
      </w:r>
      <w:r w:rsidR="00377E9D" w:rsidRPr="00D6259F">
        <w:rPr>
          <w:color w:val="000000" w:themeColor="text1"/>
          <w:lang w:eastAsia="en-GB"/>
        </w:rPr>
        <w:t>.</w:t>
      </w:r>
    </w:p>
    <w:p w14:paraId="716FC1E2" w14:textId="10C5942C" w:rsidR="00D422B1" w:rsidRPr="00D6259F" w:rsidRDefault="000F20D8" w:rsidP="007C7248">
      <w:pPr>
        <w:rPr>
          <w:color w:val="000000" w:themeColor="text1"/>
        </w:rPr>
      </w:pPr>
      <w:r w:rsidRPr="00D6259F">
        <w:rPr>
          <w:noProof/>
          <w:color w:val="000000" w:themeColor="text1"/>
        </w:rPr>
        <w:object w:dxaOrig="11190" w:dyaOrig="5955" w14:anchorId="77C78E2F">
          <v:shape id="_x0000_i1112" type="#_x0000_t75" style="width:496pt;height:297pt" o:ole="">
            <v:imagedata r:id="rId186" o:title=""/>
          </v:shape>
          <o:OLEObject Type="Link" ProgID="Excel.Sheet.12" ShapeID="_x0000_i1112" DrawAspect="Content" r:id="rId187" UpdateMode="Always">
            <o:LinkType>EnhancedMetaFile</o:LinkType>
            <o:LockedField>false</o:LockedField>
          </o:OLEObject>
        </w:object>
      </w:r>
    </w:p>
    <w:p w14:paraId="676DE5F2" w14:textId="03A1AA3D" w:rsidR="00876FFA" w:rsidRPr="00D6259F" w:rsidRDefault="00D422B1" w:rsidP="007C7248">
      <w:pPr>
        <w:rPr>
          <w:color w:val="000000" w:themeColor="text1"/>
          <w:lang w:eastAsia="en-GB"/>
        </w:rPr>
      </w:pPr>
      <w:r w:rsidRPr="00D6259F">
        <w:rPr>
          <w:color w:val="000000" w:themeColor="text1"/>
          <w:lang w:eastAsia="en-GB"/>
        </w:rPr>
        <w:lastRenderedPageBreak/>
        <w:t>These interest rate swaps have a nominal value which represents the value of the debt that they are covering (included above). This amount is not recorded in the financial statements</w:t>
      </w:r>
      <w:r w:rsidR="009149A4" w:rsidRPr="00D6259F">
        <w:rPr>
          <w:color w:val="000000" w:themeColor="text1"/>
          <w:lang w:eastAsia="en-GB"/>
        </w:rPr>
        <w:t>. I</w:t>
      </w:r>
      <w:r w:rsidR="00876FFA" w:rsidRPr="00D6259F">
        <w:rPr>
          <w:color w:val="000000" w:themeColor="text1"/>
          <w:lang w:eastAsia="en-GB"/>
        </w:rPr>
        <w:t>nstead,</w:t>
      </w:r>
      <w:r w:rsidRPr="00D6259F">
        <w:rPr>
          <w:color w:val="000000" w:themeColor="text1"/>
          <w:lang w:eastAsia="en-GB"/>
        </w:rPr>
        <w:t xml:space="preserve"> the fair value of these interest rate swaps is recognised. This represents the difference between the forecast current floating interest rate and the fixed swap interest rate discounted back to present value. A</w:t>
      </w:r>
      <w:r w:rsidR="006A70A6" w:rsidRPr="00D6259F">
        <w:rPr>
          <w:color w:val="000000" w:themeColor="text1"/>
          <w:lang w:eastAsia="en-GB"/>
        </w:rPr>
        <w:t xml:space="preserve">s </w:t>
      </w:r>
      <w:proofErr w:type="gramStart"/>
      <w:r w:rsidR="006A70A6" w:rsidRPr="00D6259F">
        <w:rPr>
          <w:color w:val="000000" w:themeColor="text1"/>
          <w:lang w:eastAsia="en-GB"/>
        </w:rPr>
        <w:t>a</w:t>
      </w:r>
      <w:r w:rsidRPr="00D6259F">
        <w:rPr>
          <w:color w:val="000000" w:themeColor="text1"/>
          <w:lang w:eastAsia="en-GB"/>
        </w:rPr>
        <w:t>t</w:t>
      </w:r>
      <w:proofErr w:type="gramEnd"/>
      <w:r w:rsidRPr="00D6259F">
        <w:rPr>
          <w:color w:val="000000" w:themeColor="text1"/>
          <w:lang w:eastAsia="en-GB"/>
        </w:rPr>
        <w:t xml:space="preserve"> 30 June 202</w:t>
      </w:r>
      <w:r w:rsidR="00D210BC" w:rsidRPr="00D6259F">
        <w:rPr>
          <w:color w:val="000000" w:themeColor="text1"/>
          <w:lang w:eastAsia="en-GB"/>
        </w:rPr>
        <w:t>4</w:t>
      </w:r>
      <w:r w:rsidR="006A70A6" w:rsidRPr="00D6259F">
        <w:rPr>
          <w:color w:val="000000" w:themeColor="text1"/>
          <w:lang w:eastAsia="en-GB"/>
        </w:rPr>
        <w:t>,</w:t>
      </w:r>
      <w:r w:rsidRPr="00D6259F">
        <w:rPr>
          <w:color w:val="000000" w:themeColor="text1"/>
          <w:lang w:eastAsia="en-GB"/>
        </w:rPr>
        <w:t xml:space="preserve"> the fair value of the interest rate swaps was </w:t>
      </w:r>
      <w:r w:rsidR="00FB42A7" w:rsidRPr="00D6259F">
        <w:rPr>
          <w:color w:val="000000" w:themeColor="text1"/>
          <w:lang w:eastAsia="en-GB"/>
        </w:rPr>
        <w:t>$64.4m</w:t>
      </w:r>
      <w:r w:rsidR="00817BC3" w:rsidRPr="00D6259F">
        <w:rPr>
          <w:color w:val="000000" w:themeColor="text1"/>
          <w:lang w:eastAsia="en-GB"/>
        </w:rPr>
        <w:t xml:space="preserve"> </w:t>
      </w:r>
      <w:r w:rsidR="00817BC3" w:rsidRPr="00D6259F">
        <w:rPr>
          <w:color w:val="000000" w:themeColor="text1"/>
        </w:rPr>
        <w:t>(</w:t>
      </w:r>
      <w:r w:rsidRPr="00D6259F">
        <w:rPr>
          <w:color w:val="000000" w:themeColor="text1"/>
          <w:lang w:eastAsia="en-GB"/>
        </w:rPr>
        <w:t>20</w:t>
      </w:r>
      <w:r w:rsidR="00203EAB" w:rsidRPr="00D6259F">
        <w:rPr>
          <w:color w:val="000000" w:themeColor="text1"/>
          <w:lang w:eastAsia="en-GB"/>
        </w:rPr>
        <w:t>2</w:t>
      </w:r>
      <w:r w:rsidR="00D210BC" w:rsidRPr="00D6259F">
        <w:rPr>
          <w:color w:val="000000" w:themeColor="text1"/>
          <w:lang w:eastAsia="en-GB"/>
        </w:rPr>
        <w:t>3</w:t>
      </w:r>
      <w:r w:rsidRPr="00D6259F">
        <w:rPr>
          <w:color w:val="000000" w:themeColor="text1"/>
          <w:lang w:eastAsia="en-GB"/>
        </w:rPr>
        <w:t>:</w:t>
      </w:r>
      <w:r w:rsidR="009A7AA9" w:rsidRPr="00D6259F">
        <w:rPr>
          <w:color w:val="000000" w:themeColor="text1"/>
          <w:lang w:eastAsia="en-GB"/>
        </w:rPr>
        <w:t xml:space="preserve"> </w:t>
      </w:r>
      <w:r w:rsidR="009D60E9" w:rsidRPr="00D6259F">
        <w:rPr>
          <w:color w:val="000000" w:themeColor="text1"/>
          <w:lang w:eastAsia="en-GB"/>
        </w:rPr>
        <w:t>$</w:t>
      </w:r>
      <w:r w:rsidR="00D210BC" w:rsidRPr="00D6259F">
        <w:rPr>
          <w:color w:val="000000" w:themeColor="text1"/>
          <w:lang w:eastAsia="en-GB"/>
        </w:rPr>
        <w:t>73.</w:t>
      </w:r>
      <w:r w:rsidR="00D803C9" w:rsidRPr="00D6259F">
        <w:rPr>
          <w:color w:val="000000" w:themeColor="text1"/>
          <w:lang w:eastAsia="en-GB"/>
        </w:rPr>
        <w:t>2</w:t>
      </w:r>
      <w:r w:rsidR="00D210BC" w:rsidRPr="00D6259F">
        <w:rPr>
          <w:color w:val="000000" w:themeColor="text1"/>
          <w:lang w:eastAsia="en-GB"/>
        </w:rPr>
        <w:t>m</w:t>
      </w:r>
      <w:r w:rsidR="00F54DBB" w:rsidRPr="00D6259F">
        <w:rPr>
          <w:color w:val="000000" w:themeColor="text1"/>
          <w:lang w:eastAsia="en-GB"/>
        </w:rPr>
        <w:t xml:space="preserve">). The asset represents the forecast </w:t>
      </w:r>
      <w:r w:rsidR="00517326" w:rsidRPr="00D6259F">
        <w:rPr>
          <w:color w:val="000000" w:themeColor="text1"/>
          <w:lang w:eastAsia="en-GB"/>
        </w:rPr>
        <w:t>cost savings</w:t>
      </w:r>
      <w:r w:rsidR="00F54DBB" w:rsidRPr="00D6259F">
        <w:rPr>
          <w:color w:val="000000" w:themeColor="text1"/>
          <w:lang w:eastAsia="en-GB"/>
        </w:rPr>
        <w:t xml:space="preserve"> the Council is expected to receive from locking in fixed interest rates lower than current market rates</w:t>
      </w:r>
      <w:r w:rsidR="00517326" w:rsidRPr="00D6259F">
        <w:rPr>
          <w:color w:val="000000" w:themeColor="text1"/>
          <w:lang w:eastAsia="en-GB"/>
        </w:rPr>
        <w:t xml:space="preserve"> over the period of the swap contracts versus floating rates.</w:t>
      </w:r>
    </w:p>
    <w:p w14:paraId="1E5C57EC" w14:textId="5BFA748C" w:rsidR="00CA0194" w:rsidRPr="00D6259F" w:rsidRDefault="00754FEF" w:rsidP="00CA0194">
      <w:pPr>
        <w:pStyle w:val="Heading5"/>
        <w:rPr>
          <w:color w:val="000000" w:themeColor="text1"/>
        </w:rPr>
      </w:pPr>
      <w:r w:rsidRPr="00D6259F">
        <w:rPr>
          <w:color w:val="000000" w:themeColor="text1"/>
        </w:rPr>
        <w:t xml:space="preserve">Interest rate </w:t>
      </w:r>
      <w:r w:rsidR="00050C3C" w:rsidRPr="00D6259F">
        <w:rPr>
          <w:color w:val="000000" w:themeColor="text1"/>
        </w:rPr>
        <w:t>hedge effectiveness</w:t>
      </w:r>
    </w:p>
    <w:p w14:paraId="4EADE489" w14:textId="3657CEB9" w:rsidR="00CA0194" w:rsidRPr="00D6259F" w:rsidRDefault="000F20D8" w:rsidP="007C7248">
      <w:pPr>
        <w:rPr>
          <w:color w:val="000000" w:themeColor="text1"/>
          <w:lang w:eastAsia="en-GB"/>
        </w:rPr>
      </w:pPr>
      <w:r w:rsidRPr="00D6259F">
        <w:rPr>
          <w:color w:val="000000" w:themeColor="text1"/>
          <w:lang w:eastAsia="en-GB"/>
        </w:rPr>
        <w:object w:dxaOrig="11190" w:dyaOrig="1815" w14:anchorId="7BC311B9">
          <v:shape id="_x0000_i1113" type="#_x0000_t75" style="width:458pt;height:91pt" o:ole="">
            <v:imagedata r:id="rId188" o:title=""/>
          </v:shape>
          <o:OLEObject Type="Link" ProgID="Excel.Sheet.12" ShapeID="_x0000_i1113" DrawAspect="Content" r:id="rId189" UpdateMode="Always">
            <o:LinkType>EnhancedMetaFile</o:LinkType>
            <o:LockedField>false</o:LockedField>
          </o:OLEObject>
        </w:object>
      </w:r>
    </w:p>
    <w:p w14:paraId="2BDDCEAD" w14:textId="7BBB4A73" w:rsidR="00CA0194" w:rsidRPr="00D6259F" w:rsidRDefault="006510B2" w:rsidP="007C7248">
      <w:pPr>
        <w:rPr>
          <w:color w:val="000000" w:themeColor="text1"/>
          <w:lang w:eastAsia="en-GB"/>
        </w:rPr>
      </w:pPr>
      <w:r w:rsidRPr="00D6259F">
        <w:rPr>
          <w:color w:val="000000" w:themeColor="text1"/>
          <w:lang w:eastAsia="en-GB"/>
        </w:rPr>
        <w:t xml:space="preserve">The fair value of the hedging instruments is no longer the same as the fair value of the hedged items due to a small amount of ineffectiveness introduced during the year. </w:t>
      </w:r>
      <w:r w:rsidR="00754FEF" w:rsidRPr="00D6259F">
        <w:rPr>
          <w:color w:val="000000" w:themeColor="text1"/>
          <w:lang w:eastAsia="en-GB"/>
        </w:rPr>
        <w:t>As no designated forecast relationships were no longer expected to occur, there were no reclassifications.</w:t>
      </w:r>
      <w:r w:rsidRPr="00D6259F">
        <w:rPr>
          <w:color w:val="000000" w:themeColor="text1"/>
          <w:lang w:eastAsia="en-GB"/>
        </w:rPr>
        <w:t xml:space="preserve"> </w:t>
      </w:r>
    </w:p>
    <w:p w14:paraId="080AF6D2" w14:textId="595B0734" w:rsidR="006B3C18" w:rsidRPr="00D6259F" w:rsidRDefault="006B3C18" w:rsidP="006B3C18">
      <w:pPr>
        <w:pStyle w:val="Heading5"/>
        <w:rPr>
          <w:color w:val="000000" w:themeColor="text1"/>
        </w:rPr>
      </w:pPr>
      <w:r w:rsidRPr="00D6259F">
        <w:rPr>
          <w:color w:val="000000" w:themeColor="text1"/>
        </w:rPr>
        <w:t xml:space="preserve">Weighted effective interest </w:t>
      </w:r>
      <w:proofErr w:type="gramStart"/>
      <w:r w:rsidRPr="00D6259F">
        <w:rPr>
          <w:color w:val="000000" w:themeColor="text1"/>
        </w:rPr>
        <w:t>rates</w:t>
      </w:r>
      <w:proofErr w:type="gramEnd"/>
    </w:p>
    <w:p w14:paraId="7E1B7603" w14:textId="0BB6FCC5" w:rsidR="00D422B1" w:rsidRPr="00D6259F" w:rsidRDefault="00D422B1" w:rsidP="007C7248">
      <w:pPr>
        <w:rPr>
          <w:color w:val="000000" w:themeColor="text1"/>
          <w:lang w:eastAsia="en-GB"/>
        </w:rPr>
      </w:pPr>
      <w:r w:rsidRPr="00D6259F">
        <w:rPr>
          <w:color w:val="000000" w:themeColor="text1"/>
          <w:lang w:eastAsia="en-GB"/>
        </w:rPr>
        <w:t xml:space="preserve">Given that the interest rate swaps have </w:t>
      </w:r>
      <w:r w:rsidR="0033274B" w:rsidRPr="00D6259F">
        <w:rPr>
          <w:rFonts w:eastAsia="Times New Roman"/>
          <w:color w:val="000000" w:themeColor="text1"/>
        </w:rPr>
        <w:t xml:space="preserve">settlement dates that coincide with the dates on which interest is payable on the underlying debt </w:t>
      </w:r>
      <w:r w:rsidRPr="00D6259F">
        <w:rPr>
          <w:color w:val="000000" w:themeColor="text1"/>
          <w:lang w:eastAsia="en-GB"/>
        </w:rPr>
        <w:t xml:space="preserve">(short term bank facilities, commercial </w:t>
      </w:r>
      <w:proofErr w:type="gramStart"/>
      <w:r w:rsidRPr="00D6259F">
        <w:rPr>
          <w:color w:val="000000" w:themeColor="text1"/>
          <w:lang w:eastAsia="en-GB"/>
        </w:rPr>
        <w:t>paper</w:t>
      </w:r>
      <w:proofErr w:type="gramEnd"/>
      <w:r w:rsidRPr="00D6259F">
        <w:rPr>
          <w:color w:val="000000" w:themeColor="text1"/>
          <w:lang w:eastAsia="en-GB"/>
        </w:rPr>
        <w:t xml:space="preserve"> and debt securities), it is appropriate to include the effect of the interest rate swaps on the borrowings interest rate and present the net effective interest rates for the underlying borrowings </w:t>
      </w:r>
      <w:r w:rsidR="0088157A" w:rsidRPr="00D6259F">
        <w:rPr>
          <w:color w:val="000000" w:themeColor="text1"/>
          <w:lang w:eastAsia="en-GB"/>
        </w:rPr>
        <w:t xml:space="preserve">as shown </w:t>
      </w:r>
      <w:r w:rsidRPr="00D6259F">
        <w:rPr>
          <w:color w:val="000000" w:themeColor="text1"/>
          <w:lang w:eastAsia="en-GB"/>
        </w:rPr>
        <w:t xml:space="preserve">in </w:t>
      </w:r>
      <w:r w:rsidRPr="00D6259F">
        <w:rPr>
          <w:i/>
          <w:iCs/>
          <w:color w:val="000000" w:themeColor="text1"/>
          <w:lang w:eastAsia="en-GB"/>
        </w:rPr>
        <w:t xml:space="preserve">Table </w:t>
      </w:r>
      <w:r w:rsidR="008B0E35" w:rsidRPr="00D6259F">
        <w:rPr>
          <w:i/>
          <w:iCs/>
          <w:color w:val="000000" w:themeColor="text1"/>
          <w:lang w:eastAsia="en-GB"/>
        </w:rPr>
        <w:t>80</w:t>
      </w:r>
      <w:r w:rsidRPr="00D6259F">
        <w:rPr>
          <w:color w:val="000000" w:themeColor="text1"/>
          <w:lang w:eastAsia="en-GB"/>
        </w:rPr>
        <w:t>.</w:t>
      </w:r>
      <w:r w:rsidR="00695A2E" w:rsidRPr="00D6259F">
        <w:rPr>
          <w:color w:val="000000" w:themeColor="text1"/>
          <w:lang w:eastAsia="en-GB"/>
        </w:rPr>
        <w:t xml:space="preserve"> </w:t>
      </w:r>
    </w:p>
    <w:p w14:paraId="7E8B5004" w14:textId="20B362E3" w:rsidR="00203EAB" w:rsidRPr="00D6259F" w:rsidRDefault="000F20D8" w:rsidP="007C7248">
      <w:pPr>
        <w:rPr>
          <w:color w:val="000000" w:themeColor="text1"/>
        </w:rPr>
      </w:pPr>
      <w:r w:rsidRPr="00D6259F">
        <w:rPr>
          <w:noProof/>
          <w:color w:val="000000" w:themeColor="text1"/>
        </w:rPr>
        <w:object w:dxaOrig="10470" w:dyaOrig="4815" w14:anchorId="37758578">
          <v:shape id="_x0000_i1114" type="#_x0000_t75" style="width:496pt;height:227pt" o:ole="">
            <v:imagedata r:id="rId190" o:title=""/>
          </v:shape>
          <o:OLEObject Type="Link" ProgID="Excel.Sheet.12" ShapeID="_x0000_i1114" DrawAspect="Content" r:id="rId191" UpdateMode="Always">
            <o:LinkType>EnhancedMetaFile</o:LinkType>
            <o:LockedField>false</o:LockedField>
          </o:OLEObject>
        </w:object>
      </w:r>
    </w:p>
    <w:p w14:paraId="41899E44" w14:textId="54745941" w:rsidR="00D422B1" w:rsidRPr="00D6259F" w:rsidRDefault="00D422B1" w:rsidP="007C7248">
      <w:pPr>
        <w:rPr>
          <w:color w:val="000000" w:themeColor="text1"/>
          <w:lang w:eastAsia="en-GB"/>
        </w:rPr>
      </w:pPr>
      <w:r w:rsidRPr="00D6259F">
        <w:rPr>
          <w:color w:val="000000" w:themeColor="text1"/>
          <w:lang w:eastAsia="en-GB"/>
        </w:rPr>
        <w:t xml:space="preserve">The </w:t>
      </w:r>
      <w:r w:rsidR="009B02D9" w:rsidRPr="00D6259F">
        <w:rPr>
          <w:color w:val="000000" w:themeColor="text1"/>
          <w:lang w:eastAsia="en-GB"/>
        </w:rPr>
        <w:t xml:space="preserve">original </w:t>
      </w:r>
      <w:r w:rsidRPr="00D6259F">
        <w:rPr>
          <w:color w:val="000000" w:themeColor="text1"/>
          <w:lang w:eastAsia="en-GB"/>
        </w:rPr>
        <w:t xml:space="preserve">related party loan to </w:t>
      </w:r>
      <w:r w:rsidR="00D8018B" w:rsidRPr="00D6259F">
        <w:rPr>
          <w:color w:val="000000" w:themeColor="text1"/>
          <w:lang w:eastAsia="en-GB"/>
        </w:rPr>
        <w:t>WRST</w:t>
      </w:r>
      <w:r w:rsidR="009B02D9" w:rsidRPr="00D6259F">
        <w:rPr>
          <w:color w:val="000000" w:themeColor="text1"/>
          <w:lang w:eastAsia="en-GB"/>
        </w:rPr>
        <w:t xml:space="preserve"> for the Stadium construction and membership underwrite</w:t>
      </w:r>
      <w:r w:rsidR="00D53B94" w:rsidRPr="00D6259F">
        <w:rPr>
          <w:color w:val="000000" w:themeColor="text1"/>
          <w:lang w:eastAsia="en-GB"/>
        </w:rPr>
        <w:t xml:space="preserve"> advance</w:t>
      </w:r>
      <w:r w:rsidR="009B02D9" w:rsidRPr="00D6259F">
        <w:rPr>
          <w:color w:val="000000" w:themeColor="text1"/>
          <w:lang w:eastAsia="en-GB"/>
        </w:rPr>
        <w:t xml:space="preserve"> </w:t>
      </w:r>
      <w:r w:rsidR="00553400" w:rsidRPr="00D6259F">
        <w:rPr>
          <w:color w:val="000000" w:themeColor="text1"/>
          <w:lang w:eastAsia="en-GB"/>
        </w:rPr>
        <w:t>are</w:t>
      </w:r>
      <w:r w:rsidRPr="00D6259F">
        <w:rPr>
          <w:color w:val="000000" w:themeColor="text1"/>
          <w:lang w:eastAsia="en-GB"/>
        </w:rPr>
        <w:t xml:space="preserve"> on interest free terms.</w:t>
      </w:r>
    </w:p>
    <w:p w14:paraId="5789776F" w14:textId="138AE6E8" w:rsidR="009B02D9" w:rsidRPr="00D6259F" w:rsidRDefault="009B02D9" w:rsidP="007C7248">
      <w:pPr>
        <w:rPr>
          <w:color w:val="000000" w:themeColor="text1"/>
          <w:lang w:eastAsia="en-GB"/>
        </w:rPr>
      </w:pPr>
      <w:r w:rsidRPr="00D6259F">
        <w:rPr>
          <w:color w:val="000000" w:themeColor="text1"/>
          <w:lang w:eastAsia="en-GB"/>
        </w:rPr>
        <w:t xml:space="preserve">The loan to WRST for COVID-19 support and further upgrade of the Fran Wilde walkway </w:t>
      </w:r>
      <w:r w:rsidR="000D2234" w:rsidRPr="00D6259F">
        <w:rPr>
          <w:color w:val="000000" w:themeColor="text1"/>
          <w:lang w:eastAsia="en-GB"/>
        </w:rPr>
        <w:t xml:space="preserve">is </w:t>
      </w:r>
      <w:r w:rsidRPr="00D6259F">
        <w:rPr>
          <w:color w:val="000000" w:themeColor="text1"/>
          <w:lang w:eastAsia="en-GB"/>
        </w:rPr>
        <w:t xml:space="preserve">at </w:t>
      </w:r>
      <w:r w:rsidR="003403AC" w:rsidRPr="00D6259F">
        <w:rPr>
          <w:color w:val="000000" w:themeColor="text1"/>
          <w:lang w:eastAsia="en-GB"/>
        </w:rPr>
        <w:t xml:space="preserve">an interest rate of </w:t>
      </w:r>
      <w:r w:rsidRPr="00D6259F">
        <w:rPr>
          <w:color w:val="000000" w:themeColor="text1"/>
          <w:lang w:eastAsia="en-GB"/>
        </w:rPr>
        <w:t>3</w:t>
      </w:r>
      <w:r w:rsidR="00EB2CE4" w:rsidRPr="00D6259F">
        <w:rPr>
          <w:color w:val="000000" w:themeColor="text1"/>
          <w:lang w:eastAsia="en-GB"/>
        </w:rPr>
        <w:t xml:space="preserve"> percent</w:t>
      </w:r>
      <w:r w:rsidRPr="00D6259F">
        <w:rPr>
          <w:color w:val="000000" w:themeColor="text1"/>
          <w:lang w:eastAsia="en-GB"/>
        </w:rPr>
        <w:t xml:space="preserve"> p.a. </w:t>
      </w:r>
      <w:r w:rsidR="000D2234" w:rsidRPr="00D6259F">
        <w:rPr>
          <w:color w:val="000000" w:themeColor="text1"/>
          <w:lang w:eastAsia="en-GB"/>
        </w:rPr>
        <w:t xml:space="preserve">and is now effective as the </w:t>
      </w:r>
      <w:r w:rsidR="0001267C" w:rsidRPr="00D6259F">
        <w:rPr>
          <w:color w:val="000000" w:themeColor="text1"/>
          <w:lang w:eastAsia="en-GB"/>
        </w:rPr>
        <w:t>initial 2-year interest free period has expired.</w:t>
      </w:r>
    </w:p>
    <w:p w14:paraId="4FB7CA45" w14:textId="77777777" w:rsidR="00D422B1" w:rsidRPr="00D6259F" w:rsidRDefault="00D422B1" w:rsidP="007C7248">
      <w:pPr>
        <w:pStyle w:val="Heading5"/>
        <w:rPr>
          <w:rFonts w:cs="Arial"/>
          <w:color w:val="000000" w:themeColor="text1"/>
        </w:rPr>
      </w:pPr>
      <w:r w:rsidRPr="00D6259F">
        <w:rPr>
          <w:color w:val="000000" w:themeColor="text1"/>
        </w:rPr>
        <w:lastRenderedPageBreak/>
        <w:t xml:space="preserve">Sensitivity analysis </w:t>
      </w:r>
    </w:p>
    <w:p w14:paraId="58D796F3" w14:textId="4BAD9FB2" w:rsidR="00D422B1" w:rsidRPr="00D6259F" w:rsidRDefault="00D422B1" w:rsidP="007C7248">
      <w:pPr>
        <w:rPr>
          <w:color w:val="000000" w:themeColor="text1"/>
          <w:lang w:eastAsia="en-GB"/>
        </w:rPr>
      </w:pPr>
      <w:r w:rsidRPr="00D6259F">
        <w:rPr>
          <w:color w:val="000000" w:themeColor="text1"/>
          <w:lang w:eastAsia="en-GB"/>
        </w:rPr>
        <w:t>While the</w:t>
      </w:r>
      <w:r w:rsidR="006020F7" w:rsidRPr="00D6259F">
        <w:rPr>
          <w:color w:val="000000" w:themeColor="text1"/>
          <w:lang w:eastAsia="en-GB"/>
        </w:rPr>
        <w:t xml:space="preserve"> Group</w:t>
      </w:r>
      <w:r w:rsidRPr="00D6259F">
        <w:rPr>
          <w:color w:val="000000" w:themeColor="text1"/>
          <w:lang w:eastAsia="en-GB"/>
        </w:rPr>
        <w:t xml:space="preserve"> has significantly reduced the impact of short-term fluctuations on the</w:t>
      </w:r>
      <w:r w:rsidR="006020F7" w:rsidRPr="00D6259F">
        <w:rPr>
          <w:color w:val="000000" w:themeColor="text1"/>
          <w:lang w:eastAsia="en-GB"/>
        </w:rPr>
        <w:t xml:space="preserve"> Group</w:t>
      </w:r>
      <w:r w:rsidRPr="00D6259F">
        <w:rPr>
          <w:color w:val="000000" w:themeColor="text1"/>
          <w:lang w:eastAsia="en-GB"/>
        </w:rPr>
        <w:t xml:space="preserve">’s earnings through interest rate swap arrangements, there is still some exposure to changes in interest rates. </w:t>
      </w:r>
    </w:p>
    <w:p w14:paraId="61C6D8F8" w14:textId="7F6B3C2B" w:rsidR="00B956E2" w:rsidRPr="00D6259F" w:rsidRDefault="00D422B1" w:rsidP="007C7248">
      <w:pPr>
        <w:rPr>
          <w:color w:val="000000" w:themeColor="text1"/>
          <w:lang w:eastAsia="en-GB"/>
        </w:rPr>
      </w:pPr>
      <w:r w:rsidRPr="00D6259F">
        <w:rPr>
          <w:i/>
          <w:color w:val="000000" w:themeColor="text1"/>
          <w:lang w:eastAsia="en-GB"/>
        </w:rPr>
        <w:t>Table</w:t>
      </w:r>
      <w:r w:rsidR="00264A47" w:rsidRPr="00D6259F">
        <w:rPr>
          <w:i/>
          <w:color w:val="000000" w:themeColor="text1"/>
          <w:lang w:eastAsia="en-GB"/>
        </w:rPr>
        <w:t xml:space="preserve"> </w:t>
      </w:r>
      <w:r w:rsidR="008B0E35" w:rsidRPr="00D6259F">
        <w:rPr>
          <w:i/>
          <w:color w:val="000000" w:themeColor="text1"/>
          <w:lang w:eastAsia="en-GB"/>
        </w:rPr>
        <w:t>81</w:t>
      </w:r>
      <w:r w:rsidR="00DE7420" w:rsidRPr="00D6259F">
        <w:rPr>
          <w:i/>
          <w:color w:val="000000" w:themeColor="text1"/>
          <w:lang w:eastAsia="en-GB"/>
        </w:rPr>
        <w:t xml:space="preserve"> </w:t>
      </w:r>
      <w:r w:rsidRPr="00D6259F">
        <w:rPr>
          <w:color w:val="000000" w:themeColor="text1"/>
          <w:lang w:eastAsia="en-GB"/>
        </w:rPr>
        <w:t xml:space="preserve">illustrates the potential surplus or deficit impact of a </w:t>
      </w:r>
      <w:r w:rsidR="002D2597" w:rsidRPr="00D6259F">
        <w:rPr>
          <w:color w:val="000000" w:themeColor="text1"/>
          <w:lang w:eastAsia="en-GB"/>
        </w:rPr>
        <w:t>2</w:t>
      </w:r>
      <w:r w:rsidR="00FA6D44" w:rsidRPr="00D6259F">
        <w:rPr>
          <w:color w:val="000000" w:themeColor="text1"/>
          <w:lang w:eastAsia="en-GB"/>
        </w:rPr>
        <w:t xml:space="preserve"> percent</w:t>
      </w:r>
      <w:r w:rsidRPr="00D6259F">
        <w:rPr>
          <w:color w:val="000000" w:themeColor="text1"/>
          <w:lang w:eastAsia="en-GB"/>
        </w:rPr>
        <w:t xml:space="preserve"> change in interest rates based on the</w:t>
      </w:r>
      <w:r w:rsidR="006020F7" w:rsidRPr="00D6259F">
        <w:rPr>
          <w:color w:val="000000" w:themeColor="text1"/>
          <w:lang w:eastAsia="en-GB"/>
        </w:rPr>
        <w:t xml:space="preserve"> Group</w:t>
      </w:r>
      <w:r w:rsidRPr="00D6259F">
        <w:rPr>
          <w:color w:val="000000" w:themeColor="text1"/>
          <w:lang w:eastAsia="en-GB"/>
        </w:rPr>
        <w:t>’s exposures at the end of the reporting period:</w:t>
      </w:r>
    </w:p>
    <w:p w14:paraId="247E8321" w14:textId="063C892E" w:rsidR="00D422B1" w:rsidRPr="00D6259F" w:rsidRDefault="000F20D8" w:rsidP="00C07D5A">
      <w:pPr>
        <w:spacing w:after="0"/>
        <w:rPr>
          <w:noProof/>
          <w:color w:val="000000" w:themeColor="text1"/>
        </w:rPr>
      </w:pPr>
      <w:r w:rsidRPr="00D6259F">
        <w:rPr>
          <w:noProof/>
          <w:color w:val="000000" w:themeColor="text1"/>
        </w:rPr>
        <w:object w:dxaOrig="10755" w:dyaOrig="5880" w14:anchorId="5A611D1B">
          <v:shape id="_x0000_i1115" type="#_x0000_t75" style="width:489pt;height:275pt" o:ole="">
            <v:imagedata r:id="rId192" o:title=""/>
          </v:shape>
          <o:OLEObject Type="Link" ProgID="Excel.Sheet.12" ShapeID="_x0000_i1115" DrawAspect="Content" r:id="rId193" UpdateMode="Always">
            <o:LinkType>EnhancedMetaFile</o:LinkType>
            <o:LockedField>false</o:LockedField>
          </o:OLEObject>
        </w:object>
      </w:r>
    </w:p>
    <w:p w14:paraId="7E06F550" w14:textId="785FF333" w:rsidR="00F63614" w:rsidRPr="00D6259F" w:rsidRDefault="000F20D8" w:rsidP="007C7248">
      <w:pPr>
        <w:rPr>
          <w:noProof/>
          <w:color w:val="000000" w:themeColor="text1"/>
        </w:rPr>
      </w:pPr>
      <w:r w:rsidRPr="00D6259F">
        <w:rPr>
          <w:noProof/>
          <w:color w:val="000000" w:themeColor="text1"/>
        </w:rPr>
        <w:object w:dxaOrig="10755" w:dyaOrig="5655" w14:anchorId="61D9174C">
          <v:shape id="_x0000_i1116" type="#_x0000_t75" style="width:489pt;height:272pt" o:ole="">
            <v:imagedata r:id="rId194" o:title=""/>
          </v:shape>
          <o:OLEObject Type="Link" ProgID="Excel.Sheet.12" ShapeID="_x0000_i1116" DrawAspect="Content" r:id="rId195" UpdateMode="Always">
            <o:LinkType>EnhancedMetaFile</o:LinkType>
            <o:LockedField>false</o:LockedField>
          </o:OLEObject>
        </w:object>
      </w:r>
    </w:p>
    <w:p w14:paraId="24794515" w14:textId="77777777" w:rsidR="00D422B1" w:rsidRPr="00D6259F" w:rsidRDefault="00D422B1" w:rsidP="00593E3D">
      <w:pPr>
        <w:pStyle w:val="Heading6"/>
        <w:rPr>
          <w:color w:val="000000" w:themeColor="text1"/>
        </w:rPr>
      </w:pPr>
      <w:r w:rsidRPr="00D6259F">
        <w:rPr>
          <w:color w:val="000000" w:themeColor="text1"/>
        </w:rPr>
        <w:t>a. Cash and cash equivalents</w:t>
      </w:r>
    </w:p>
    <w:p w14:paraId="5B5C0407" w14:textId="280F7466" w:rsidR="00D422B1" w:rsidRPr="00D6259F" w:rsidRDefault="007C7055" w:rsidP="007C7248">
      <w:pPr>
        <w:rPr>
          <w:color w:val="000000" w:themeColor="text1"/>
          <w:lang w:eastAsia="en-GB"/>
        </w:rPr>
      </w:pPr>
      <w:r w:rsidRPr="00D6259F">
        <w:rPr>
          <w:color w:val="000000" w:themeColor="text1"/>
          <w:lang w:eastAsia="en-GB"/>
        </w:rPr>
        <w:t>Group</w:t>
      </w:r>
      <w:r w:rsidR="00D422B1" w:rsidRPr="00D6259F">
        <w:rPr>
          <w:color w:val="000000" w:themeColor="text1"/>
          <w:lang w:eastAsia="en-GB"/>
        </w:rPr>
        <w:t xml:space="preserve"> funds </w:t>
      </w:r>
      <w:r w:rsidR="00830F21" w:rsidRPr="00D6259F">
        <w:rPr>
          <w:color w:val="000000" w:themeColor="text1"/>
          <w:lang w:eastAsia="en-GB"/>
        </w:rPr>
        <w:t>of $</w:t>
      </w:r>
      <w:r w:rsidR="00414C37" w:rsidRPr="00D6259F">
        <w:rPr>
          <w:color w:val="000000" w:themeColor="text1"/>
          <w:lang w:eastAsia="en-GB"/>
        </w:rPr>
        <w:t>100.</w:t>
      </w:r>
      <w:r w:rsidR="00EB57AE" w:rsidRPr="00D6259F">
        <w:rPr>
          <w:color w:val="000000" w:themeColor="text1"/>
          <w:lang w:eastAsia="en-GB"/>
        </w:rPr>
        <w:t>1</w:t>
      </w:r>
      <w:r w:rsidR="00414C37" w:rsidRPr="00D6259F">
        <w:rPr>
          <w:color w:val="000000" w:themeColor="text1"/>
          <w:lang w:eastAsia="en-GB"/>
        </w:rPr>
        <w:t>m</w:t>
      </w:r>
      <w:r w:rsidR="00385703" w:rsidRPr="00D6259F">
        <w:rPr>
          <w:color w:val="000000" w:themeColor="text1"/>
          <w:lang w:eastAsia="en-GB"/>
        </w:rPr>
        <w:t xml:space="preserve"> </w:t>
      </w:r>
      <w:r w:rsidR="00385703" w:rsidRPr="00D6259F">
        <w:rPr>
          <w:color w:val="000000" w:themeColor="text1"/>
        </w:rPr>
        <w:t>(</w:t>
      </w:r>
      <w:r w:rsidR="00830F21" w:rsidRPr="00D6259F">
        <w:rPr>
          <w:color w:val="000000" w:themeColor="text1"/>
          <w:lang w:eastAsia="en-GB"/>
        </w:rPr>
        <w:t>202</w:t>
      </w:r>
      <w:r w:rsidR="00D210BC" w:rsidRPr="00D6259F">
        <w:rPr>
          <w:color w:val="000000" w:themeColor="text1"/>
          <w:lang w:eastAsia="en-GB"/>
        </w:rPr>
        <w:t>3</w:t>
      </w:r>
      <w:r w:rsidR="00830F21" w:rsidRPr="00D6259F">
        <w:rPr>
          <w:color w:val="000000" w:themeColor="text1"/>
          <w:lang w:eastAsia="en-GB"/>
        </w:rPr>
        <w:t>: $</w:t>
      </w:r>
      <w:r w:rsidR="00D210BC" w:rsidRPr="00D6259F">
        <w:rPr>
          <w:color w:val="000000" w:themeColor="text1"/>
          <w:lang w:eastAsia="en-GB"/>
        </w:rPr>
        <w:t>87.7m</w:t>
      </w:r>
      <w:r w:rsidR="00830F21" w:rsidRPr="00D6259F">
        <w:rPr>
          <w:color w:val="000000" w:themeColor="text1"/>
          <w:lang w:eastAsia="en-GB"/>
        </w:rPr>
        <w:t xml:space="preserve">) </w:t>
      </w:r>
      <w:r w:rsidR="00D422B1" w:rsidRPr="00D6259F">
        <w:rPr>
          <w:color w:val="000000" w:themeColor="text1"/>
          <w:lang w:eastAsia="en-GB"/>
        </w:rPr>
        <w:t xml:space="preserve">are in </w:t>
      </w:r>
      <w:r w:rsidR="00393B4B" w:rsidRPr="00D6259F">
        <w:rPr>
          <w:color w:val="000000" w:themeColor="text1"/>
          <w:lang w:eastAsia="en-GB"/>
        </w:rPr>
        <w:t>several</w:t>
      </w:r>
      <w:r w:rsidR="00D422B1" w:rsidRPr="00D6259F">
        <w:rPr>
          <w:color w:val="000000" w:themeColor="text1"/>
          <w:lang w:eastAsia="en-GB"/>
        </w:rPr>
        <w:t xml:space="preserve"> different registered bank accounts with interest </w:t>
      </w:r>
      <w:r w:rsidR="00DE7420" w:rsidRPr="00D6259F">
        <w:rPr>
          <w:color w:val="000000" w:themeColor="text1"/>
          <w:lang w:eastAsia="en-GB"/>
        </w:rPr>
        <w:t>receivable</w:t>
      </w:r>
      <w:r w:rsidR="00D422B1" w:rsidRPr="00D6259F">
        <w:rPr>
          <w:color w:val="000000" w:themeColor="text1"/>
          <w:lang w:eastAsia="en-GB"/>
        </w:rPr>
        <w:t xml:space="preserve"> on the aggregation of all accounts. While most of the funds are held on short-term deposit, they are subject to interest rate movement on any subsequent reinvestment.</w:t>
      </w:r>
    </w:p>
    <w:p w14:paraId="741372BB" w14:textId="77777777" w:rsidR="00D422B1" w:rsidRPr="00D6259F" w:rsidRDefault="00D422B1" w:rsidP="00593E3D">
      <w:pPr>
        <w:pStyle w:val="Heading6"/>
        <w:rPr>
          <w:color w:val="000000" w:themeColor="text1"/>
        </w:rPr>
      </w:pPr>
      <w:r w:rsidRPr="00D6259F">
        <w:rPr>
          <w:color w:val="000000" w:themeColor="text1"/>
        </w:rPr>
        <w:lastRenderedPageBreak/>
        <w:t>b. LGFA borrower notes</w:t>
      </w:r>
    </w:p>
    <w:p w14:paraId="2925693F" w14:textId="1C8DB32D" w:rsidR="00D422B1" w:rsidRPr="00D6259F" w:rsidRDefault="00D422B1" w:rsidP="007C7248">
      <w:pPr>
        <w:rPr>
          <w:color w:val="000000" w:themeColor="text1"/>
          <w:lang w:eastAsia="en-GB"/>
        </w:rPr>
      </w:pPr>
      <w:r w:rsidRPr="00D6259F">
        <w:rPr>
          <w:color w:val="000000" w:themeColor="text1"/>
          <w:lang w:eastAsia="en-GB"/>
        </w:rPr>
        <w:t>The</w:t>
      </w:r>
      <w:r w:rsidR="006020F7" w:rsidRPr="00D6259F">
        <w:rPr>
          <w:color w:val="000000" w:themeColor="text1"/>
          <w:lang w:eastAsia="en-GB"/>
        </w:rPr>
        <w:t xml:space="preserve"> Group</w:t>
      </w:r>
      <w:r w:rsidRPr="00D6259F">
        <w:rPr>
          <w:color w:val="000000" w:themeColor="text1"/>
          <w:lang w:eastAsia="en-GB"/>
        </w:rPr>
        <w:t xml:space="preserve"> holds $</w:t>
      </w:r>
      <w:r w:rsidR="00414C37" w:rsidRPr="00D6259F">
        <w:rPr>
          <w:color w:val="000000" w:themeColor="text1"/>
          <w:lang w:eastAsia="en-GB"/>
        </w:rPr>
        <w:t>36.0m</w:t>
      </w:r>
      <w:r w:rsidR="00385703" w:rsidRPr="00D6259F">
        <w:rPr>
          <w:color w:val="000000" w:themeColor="text1"/>
          <w:lang w:eastAsia="en-GB"/>
        </w:rPr>
        <w:t xml:space="preserve"> </w:t>
      </w:r>
      <w:r w:rsidR="00385703" w:rsidRPr="00D6259F">
        <w:rPr>
          <w:color w:val="000000" w:themeColor="text1"/>
        </w:rPr>
        <w:t>(</w:t>
      </w:r>
      <w:r w:rsidR="00D8018B" w:rsidRPr="00D6259F">
        <w:rPr>
          <w:color w:val="000000" w:themeColor="text1"/>
          <w:lang w:eastAsia="en-GB"/>
        </w:rPr>
        <w:t>202</w:t>
      </w:r>
      <w:r w:rsidR="00D210BC" w:rsidRPr="00D6259F">
        <w:rPr>
          <w:color w:val="000000" w:themeColor="text1"/>
          <w:lang w:eastAsia="en-GB"/>
        </w:rPr>
        <w:t>3</w:t>
      </w:r>
      <w:r w:rsidR="00D8018B" w:rsidRPr="00D6259F">
        <w:rPr>
          <w:color w:val="000000" w:themeColor="text1"/>
          <w:lang w:eastAsia="en-GB"/>
        </w:rPr>
        <w:t>: $</w:t>
      </w:r>
      <w:r w:rsidR="00D210BC" w:rsidRPr="00D6259F">
        <w:rPr>
          <w:color w:val="000000" w:themeColor="text1"/>
          <w:lang w:eastAsia="en-GB"/>
        </w:rPr>
        <w:t>25.</w:t>
      </w:r>
      <w:r w:rsidR="00D803C9" w:rsidRPr="00D6259F">
        <w:rPr>
          <w:color w:val="000000" w:themeColor="text1"/>
          <w:lang w:eastAsia="en-GB"/>
        </w:rPr>
        <w:t>2</w:t>
      </w:r>
      <w:r w:rsidR="00D210BC" w:rsidRPr="00D6259F">
        <w:rPr>
          <w:color w:val="000000" w:themeColor="text1"/>
          <w:lang w:eastAsia="en-GB"/>
        </w:rPr>
        <w:t>m</w:t>
      </w:r>
      <w:r w:rsidR="00D8018B" w:rsidRPr="00D6259F">
        <w:rPr>
          <w:color w:val="000000" w:themeColor="text1"/>
          <w:lang w:eastAsia="en-GB"/>
        </w:rPr>
        <w:t xml:space="preserve">) </w:t>
      </w:r>
      <w:r w:rsidRPr="00D6259F">
        <w:rPr>
          <w:color w:val="000000" w:themeColor="text1"/>
          <w:lang w:eastAsia="en-GB"/>
        </w:rPr>
        <w:t>of borrower notes which are investments held by LGFA as part of their lending policy. They are subject to quarterly interest rate resetting.</w:t>
      </w:r>
      <w:r w:rsidR="007A5378" w:rsidRPr="00D6259F">
        <w:rPr>
          <w:color w:val="000000" w:themeColor="text1"/>
          <w:lang w:eastAsia="en-GB"/>
        </w:rPr>
        <w:t xml:space="preserve"> </w:t>
      </w:r>
      <w:r w:rsidR="00830F21" w:rsidRPr="00D6259F">
        <w:rPr>
          <w:color w:val="000000" w:themeColor="text1"/>
          <w:lang w:eastAsia="en-GB"/>
        </w:rPr>
        <w:t>As these debt investments are now subject to fair value, the effect of discounting has a greater impact than the increase/decrease in interest earned.</w:t>
      </w:r>
      <w:r w:rsidR="00C42628" w:rsidRPr="00D6259F">
        <w:rPr>
          <w:color w:val="000000" w:themeColor="text1"/>
          <w:lang w:eastAsia="en-GB"/>
        </w:rPr>
        <w:t xml:space="preserve"> </w:t>
      </w:r>
    </w:p>
    <w:p w14:paraId="1B434C5D" w14:textId="5DB62014" w:rsidR="00D422B1" w:rsidRPr="00D6259F" w:rsidRDefault="00D422B1" w:rsidP="00593E3D">
      <w:pPr>
        <w:pStyle w:val="Heading6"/>
        <w:rPr>
          <w:color w:val="000000" w:themeColor="text1"/>
        </w:rPr>
      </w:pPr>
      <w:r w:rsidRPr="00D6259F">
        <w:rPr>
          <w:color w:val="000000" w:themeColor="text1"/>
        </w:rPr>
        <w:t>c. Bank term deposits &gt; than 3 months</w:t>
      </w:r>
      <w:r w:rsidR="00B56528" w:rsidRPr="00D6259F">
        <w:rPr>
          <w:color w:val="000000" w:themeColor="text1"/>
        </w:rPr>
        <w:t xml:space="preserve"> at acquisition</w:t>
      </w:r>
    </w:p>
    <w:p w14:paraId="7FD54148" w14:textId="1E807143" w:rsidR="00D422B1" w:rsidRPr="00D6259F" w:rsidRDefault="00D422B1" w:rsidP="007C7248">
      <w:pPr>
        <w:rPr>
          <w:color w:val="000000" w:themeColor="text1"/>
          <w:lang w:eastAsia="en-GB"/>
        </w:rPr>
      </w:pPr>
      <w:r w:rsidRPr="00D6259F">
        <w:rPr>
          <w:color w:val="000000" w:themeColor="text1"/>
          <w:lang w:eastAsia="en-GB"/>
        </w:rPr>
        <w:t xml:space="preserve">Bank </w:t>
      </w:r>
      <w:r w:rsidR="00D8018B" w:rsidRPr="00D6259F">
        <w:rPr>
          <w:color w:val="000000" w:themeColor="text1"/>
          <w:lang w:eastAsia="en-GB"/>
        </w:rPr>
        <w:t xml:space="preserve">term </w:t>
      </w:r>
      <w:r w:rsidRPr="00D6259F">
        <w:rPr>
          <w:color w:val="000000" w:themeColor="text1"/>
          <w:lang w:eastAsia="en-GB"/>
        </w:rPr>
        <w:t xml:space="preserve">deposits with maturities greater than 3 months </w:t>
      </w:r>
      <w:r w:rsidR="00490727" w:rsidRPr="00D6259F">
        <w:rPr>
          <w:color w:val="000000" w:themeColor="text1"/>
          <w:lang w:eastAsia="en-GB"/>
        </w:rPr>
        <w:t xml:space="preserve">at acquisition </w:t>
      </w:r>
      <w:r w:rsidR="005D6054" w:rsidRPr="00D6259F">
        <w:rPr>
          <w:color w:val="000000" w:themeColor="text1"/>
          <w:lang w:eastAsia="en-GB"/>
        </w:rPr>
        <w:t xml:space="preserve">of </w:t>
      </w:r>
      <w:r w:rsidR="00C31E52" w:rsidRPr="00D6259F">
        <w:rPr>
          <w:color w:val="000000" w:themeColor="text1"/>
          <w:lang w:eastAsia="en-GB"/>
        </w:rPr>
        <w:t>$</w:t>
      </w:r>
      <w:r w:rsidR="00414C37" w:rsidRPr="00D6259F">
        <w:rPr>
          <w:color w:val="000000" w:themeColor="text1"/>
          <w:lang w:eastAsia="en-GB"/>
        </w:rPr>
        <w:t>161</w:t>
      </w:r>
      <w:r w:rsidR="001A7A72" w:rsidRPr="00D6259F">
        <w:rPr>
          <w:color w:val="000000" w:themeColor="text1"/>
          <w:lang w:eastAsia="en-GB"/>
        </w:rPr>
        <w:t>.</w:t>
      </w:r>
      <w:r w:rsidR="00D53B94" w:rsidRPr="00D6259F">
        <w:rPr>
          <w:color w:val="000000" w:themeColor="text1"/>
          <w:lang w:eastAsia="en-GB"/>
        </w:rPr>
        <w:t>6</w:t>
      </w:r>
      <w:r w:rsidR="00414C37" w:rsidRPr="00D6259F">
        <w:rPr>
          <w:color w:val="000000" w:themeColor="text1"/>
          <w:lang w:eastAsia="en-GB"/>
        </w:rPr>
        <w:t xml:space="preserve">m </w:t>
      </w:r>
      <w:r w:rsidR="005D6054" w:rsidRPr="00D6259F">
        <w:rPr>
          <w:color w:val="000000" w:themeColor="text1"/>
        </w:rPr>
        <w:t>(</w:t>
      </w:r>
      <w:r w:rsidR="00C31E52" w:rsidRPr="00D6259F">
        <w:rPr>
          <w:color w:val="000000" w:themeColor="text1"/>
          <w:lang w:eastAsia="en-GB"/>
        </w:rPr>
        <w:t>202</w:t>
      </w:r>
      <w:r w:rsidR="00D210BC" w:rsidRPr="00D6259F">
        <w:rPr>
          <w:color w:val="000000" w:themeColor="text1"/>
          <w:lang w:eastAsia="en-GB"/>
        </w:rPr>
        <w:t>3</w:t>
      </w:r>
      <w:r w:rsidR="00C31E52" w:rsidRPr="00D6259F">
        <w:rPr>
          <w:color w:val="000000" w:themeColor="text1"/>
          <w:lang w:eastAsia="en-GB"/>
        </w:rPr>
        <w:t>: $</w:t>
      </w:r>
      <w:r w:rsidR="00D210BC" w:rsidRPr="00D6259F">
        <w:rPr>
          <w:color w:val="000000" w:themeColor="text1"/>
          <w:lang w:eastAsia="en-GB"/>
        </w:rPr>
        <w:t>46.</w:t>
      </w:r>
      <w:r w:rsidR="00D803C9" w:rsidRPr="00D6259F">
        <w:rPr>
          <w:color w:val="000000" w:themeColor="text1"/>
          <w:lang w:eastAsia="en-GB"/>
        </w:rPr>
        <w:t>1</w:t>
      </w:r>
      <w:r w:rsidR="00D210BC" w:rsidRPr="00D6259F">
        <w:rPr>
          <w:color w:val="000000" w:themeColor="text1"/>
          <w:lang w:eastAsia="en-GB"/>
        </w:rPr>
        <w:t>m</w:t>
      </w:r>
      <w:r w:rsidR="00C31E52" w:rsidRPr="00D6259F">
        <w:rPr>
          <w:color w:val="000000" w:themeColor="text1"/>
          <w:lang w:eastAsia="en-GB"/>
        </w:rPr>
        <w:t xml:space="preserve">) </w:t>
      </w:r>
      <w:r w:rsidRPr="00D6259F">
        <w:rPr>
          <w:color w:val="000000" w:themeColor="text1"/>
          <w:lang w:eastAsia="en-GB"/>
        </w:rPr>
        <w:t>are subject to interest rate movement on any subsequent reinvestment.</w:t>
      </w:r>
    </w:p>
    <w:p w14:paraId="33365B85" w14:textId="413DEDAF" w:rsidR="00D422B1" w:rsidRPr="00D6259F" w:rsidRDefault="00D422B1" w:rsidP="00593E3D">
      <w:pPr>
        <w:pStyle w:val="Heading6"/>
        <w:rPr>
          <w:color w:val="000000" w:themeColor="text1"/>
        </w:rPr>
      </w:pPr>
      <w:r w:rsidRPr="00D6259F">
        <w:rPr>
          <w:color w:val="000000" w:themeColor="text1"/>
        </w:rPr>
        <w:t xml:space="preserve">d. </w:t>
      </w:r>
      <w:r w:rsidR="00591286" w:rsidRPr="00D6259F">
        <w:rPr>
          <w:color w:val="000000" w:themeColor="text1"/>
        </w:rPr>
        <w:t>Interest rate swaps – cash flow hedges</w:t>
      </w:r>
    </w:p>
    <w:p w14:paraId="4761DA9A" w14:textId="016E3569" w:rsidR="00D422B1" w:rsidRPr="00D6259F" w:rsidRDefault="00591286" w:rsidP="007C7248">
      <w:pPr>
        <w:rPr>
          <w:color w:val="000000" w:themeColor="text1"/>
          <w:lang w:eastAsia="en-GB"/>
        </w:rPr>
      </w:pPr>
      <w:r w:rsidRPr="00D6259F">
        <w:rPr>
          <w:color w:val="000000" w:themeColor="text1"/>
          <w:lang w:eastAsia="en-GB"/>
        </w:rPr>
        <w:t>I</w:t>
      </w:r>
      <w:r w:rsidR="00D422B1" w:rsidRPr="00D6259F">
        <w:rPr>
          <w:color w:val="000000" w:themeColor="text1"/>
          <w:lang w:eastAsia="en-GB"/>
        </w:rPr>
        <w:t xml:space="preserve">nterest rate swaps </w:t>
      </w:r>
      <w:r w:rsidR="009559D1" w:rsidRPr="00D6259F">
        <w:rPr>
          <w:color w:val="000000" w:themeColor="text1"/>
          <w:lang w:eastAsia="en-GB"/>
        </w:rPr>
        <w:t>have</w:t>
      </w:r>
      <w:r w:rsidR="00D422B1" w:rsidRPr="00D6259F">
        <w:rPr>
          <w:color w:val="000000" w:themeColor="text1"/>
          <w:lang w:eastAsia="en-GB"/>
        </w:rPr>
        <w:t xml:space="preserve"> a fair value total</w:t>
      </w:r>
      <w:r w:rsidR="009559D1" w:rsidRPr="00D6259F">
        <w:rPr>
          <w:color w:val="000000" w:themeColor="text1"/>
          <w:lang w:eastAsia="en-GB"/>
        </w:rPr>
        <w:t>ling</w:t>
      </w:r>
      <w:r w:rsidR="00D422B1" w:rsidRPr="00D6259F">
        <w:rPr>
          <w:color w:val="000000" w:themeColor="text1"/>
          <w:lang w:eastAsia="en-GB"/>
        </w:rPr>
        <w:t xml:space="preserve"> </w:t>
      </w:r>
      <w:r w:rsidR="00531B5F" w:rsidRPr="00D6259F">
        <w:rPr>
          <w:color w:val="000000" w:themeColor="text1"/>
          <w:lang w:eastAsia="en-GB"/>
        </w:rPr>
        <w:t>$</w:t>
      </w:r>
      <w:r w:rsidR="00414C37" w:rsidRPr="00D6259F">
        <w:rPr>
          <w:color w:val="000000" w:themeColor="text1"/>
          <w:lang w:eastAsia="en-GB"/>
        </w:rPr>
        <w:t xml:space="preserve">64.4m </w:t>
      </w:r>
      <w:r w:rsidR="005D6054" w:rsidRPr="00D6259F">
        <w:rPr>
          <w:color w:val="000000" w:themeColor="text1"/>
        </w:rPr>
        <w:t>(</w:t>
      </w:r>
      <w:r w:rsidR="00D8018B" w:rsidRPr="00D6259F">
        <w:rPr>
          <w:color w:val="000000" w:themeColor="text1"/>
          <w:lang w:eastAsia="en-GB"/>
        </w:rPr>
        <w:t>202</w:t>
      </w:r>
      <w:r w:rsidR="00D210BC" w:rsidRPr="00D6259F">
        <w:rPr>
          <w:color w:val="000000" w:themeColor="text1"/>
          <w:lang w:eastAsia="en-GB"/>
        </w:rPr>
        <w:t>3</w:t>
      </w:r>
      <w:r w:rsidR="00D8018B" w:rsidRPr="00D6259F">
        <w:rPr>
          <w:color w:val="000000" w:themeColor="text1"/>
          <w:lang w:eastAsia="en-GB"/>
        </w:rPr>
        <w:t>: $</w:t>
      </w:r>
      <w:r w:rsidR="00D210BC" w:rsidRPr="00D6259F">
        <w:rPr>
          <w:color w:val="000000" w:themeColor="text1"/>
          <w:lang w:eastAsia="en-GB"/>
        </w:rPr>
        <w:t>73.</w:t>
      </w:r>
      <w:r w:rsidR="00D803C9" w:rsidRPr="00D6259F">
        <w:rPr>
          <w:color w:val="000000" w:themeColor="text1"/>
          <w:lang w:eastAsia="en-GB"/>
        </w:rPr>
        <w:t>2</w:t>
      </w:r>
      <w:r w:rsidR="00D210BC" w:rsidRPr="00D6259F">
        <w:rPr>
          <w:color w:val="000000" w:themeColor="text1"/>
          <w:lang w:eastAsia="en-GB"/>
        </w:rPr>
        <w:t>m</w:t>
      </w:r>
      <w:r w:rsidR="00D8018B" w:rsidRPr="00D6259F">
        <w:rPr>
          <w:color w:val="000000" w:themeColor="text1"/>
          <w:lang w:eastAsia="en-GB"/>
        </w:rPr>
        <w:t>).</w:t>
      </w:r>
    </w:p>
    <w:p w14:paraId="100C2542" w14:textId="77777777" w:rsidR="00D422B1" w:rsidRPr="00D6259F" w:rsidRDefault="00D422B1" w:rsidP="00593E3D">
      <w:pPr>
        <w:pStyle w:val="Heading6"/>
        <w:rPr>
          <w:color w:val="000000" w:themeColor="text1"/>
        </w:rPr>
      </w:pPr>
      <w:r w:rsidRPr="00D6259F">
        <w:rPr>
          <w:color w:val="000000" w:themeColor="text1"/>
        </w:rPr>
        <w:t>e. Debt securities – floating rate notes</w:t>
      </w:r>
    </w:p>
    <w:p w14:paraId="3CFE0A40" w14:textId="641A6EFC" w:rsidR="00D422B1" w:rsidRPr="00D6259F" w:rsidRDefault="00D422B1" w:rsidP="007C7248">
      <w:pPr>
        <w:rPr>
          <w:color w:val="000000" w:themeColor="text1"/>
          <w:lang w:eastAsia="en-GB"/>
        </w:rPr>
      </w:pPr>
      <w:r w:rsidRPr="00D6259F">
        <w:rPr>
          <w:color w:val="000000" w:themeColor="text1"/>
          <w:lang w:eastAsia="en-GB"/>
        </w:rPr>
        <w:t>Debt securities at floating rates total $</w:t>
      </w:r>
      <w:r w:rsidR="0028121C" w:rsidRPr="00D6259F">
        <w:rPr>
          <w:color w:val="000000" w:themeColor="text1"/>
          <w:lang w:eastAsia="en-GB"/>
        </w:rPr>
        <w:t>1,420.0m</w:t>
      </w:r>
      <w:r w:rsidR="005D6054" w:rsidRPr="00D6259F">
        <w:rPr>
          <w:color w:val="000000" w:themeColor="text1"/>
          <w:lang w:eastAsia="en-GB"/>
        </w:rPr>
        <w:t xml:space="preserve"> </w:t>
      </w:r>
      <w:r w:rsidR="009559D1" w:rsidRPr="00D6259F">
        <w:rPr>
          <w:color w:val="000000" w:themeColor="text1"/>
          <w:lang w:eastAsia="en-GB"/>
        </w:rPr>
        <w:t>(202</w:t>
      </w:r>
      <w:r w:rsidR="00D210BC" w:rsidRPr="00D6259F">
        <w:rPr>
          <w:color w:val="000000" w:themeColor="text1"/>
          <w:lang w:eastAsia="en-GB"/>
        </w:rPr>
        <w:t>3</w:t>
      </w:r>
      <w:r w:rsidR="009559D1" w:rsidRPr="00D6259F">
        <w:rPr>
          <w:color w:val="000000" w:themeColor="text1"/>
          <w:lang w:eastAsia="en-GB"/>
        </w:rPr>
        <w:t>: $</w:t>
      </w:r>
      <w:r w:rsidR="00D210BC" w:rsidRPr="00D6259F">
        <w:rPr>
          <w:color w:val="000000" w:themeColor="text1"/>
          <w:lang w:eastAsia="en-GB"/>
        </w:rPr>
        <w:t>1,067.0m</w:t>
      </w:r>
      <w:r w:rsidR="009559D1" w:rsidRPr="00D6259F">
        <w:rPr>
          <w:color w:val="000000" w:themeColor="text1"/>
          <w:lang w:eastAsia="en-GB"/>
        </w:rPr>
        <w:t>).</w:t>
      </w:r>
      <w:r w:rsidRPr="00D6259F">
        <w:rPr>
          <w:color w:val="000000" w:themeColor="text1"/>
          <w:lang w:eastAsia="en-GB"/>
        </w:rPr>
        <w:t xml:space="preserve"> The full exposure to changes in interest rates has been reduced because the</w:t>
      </w:r>
      <w:r w:rsidR="006020F7" w:rsidRPr="00D6259F">
        <w:rPr>
          <w:color w:val="000000" w:themeColor="text1"/>
          <w:lang w:eastAsia="en-GB"/>
        </w:rPr>
        <w:t xml:space="preserve"> Group</w:t>
      </w:r>
      <w:r w:rsidRPr="00D6259F">
        <w:rPr>
          <w:color w:val="000000" w:themeColor="text1"/>
          <w:lang w:eastAsia="en-GB"/>
        </w:rPr>
        <w:t xml:space="preserve"> has $</w:t>
      </w:r>
      <w:r w:rsidR="00E664A1" w:rsidRPr="00D6259F">
        <w:rPr>
          <w:color w:val="000000" w:themeColor="text1"/>
          <w:lang w:eastAsia="en-GB"/>
        </w:rPr>
        <w:t>679</w:t>
      </w:r>
      <w:r w:rsidR="001A5773" w:rsidRPr="00D6259F">
        <w:rPr>
          <w:color w:val="000000" w:themeColor="text1"/>
          <w:lang w:eastAsia="en-GB"/>
        </w:rPr>
        <w:t>.0m</w:t>
      </w:r>
      <w:r w:rsidR="005D6054" w:rsidRPr="00D6259F">
        <w:rPr>
          <w:color w:val="000000" w:themeColor="text1"/>
          <w:lang w:eastAsia="en-GB"/>
        </w:rPr>
        <w:t xml:space="preserve"> </w:t>
      </w:r>
      <w:r w:rsidR="009559D1" w:rsidRPr="00D6259F">
        <w:rPr>
          <w:color w:val="000000" w:themeColor="text1"/>
          <w:lang w:eastAsia="en-GB"/>
        </w:rPr>
        <w:t>(202</w:t>
      </w:r>
      <w:r w:rsidR="00D210BC" w:rsidRPr="00D6259F">
        <w:rPr>
          <w:color w:val="000000" w:themeColor="text1"/>
          <w:lang w:eastAsia="en-GB"/>
        </w:rPr>
        <w:t>3</w:t>
      </w:r>
      <w:r w:rsidR="009559D1" w:rsidRPr="00D6259F">
        <w:rPr>
          <w:color w:val="000000" w:themeColor="text1"/>
          <w:lang w:eastAsia="en-GB"/>
        </w:rPr>
        <w:t>: $</w:t>
      </w:r>
      <w:r w:rsidR="00D210BC" w:rsidRPr="00D6259F">
        <w:rPr>
          <w:color w:val="000000" w:themeColor="text1"/>
          <w:lang w:eastAsia="en-GB"/>
        </w:rPr>
        <w:t>505.0m</w:t>
      </w:r>
      <w:r w:rsidR="009559D1" w:rsidRPr="00D6259F">
        <w:rPr>
          <w:color w:val="000000" w:themeColor="text1"/>
          <w:lang w:eastAsia="en-GB"/>
        </w:rPr>
        <w:t xml:space="preserve">) </w:t>
      </w:r>
      <w:r w:rsidRPr="00D6259F">
        <w:rPr>
          <w:color w:val="000000" w:themeColor="text1"/>
          <w:lang w:eastAsia="en-GB"/>
        </w:rPr>
        <w:t xml:space="preserve">of this debt at fixed rates through interest rate swaps. </w:t>
      </w:r>
    </w:p>
    <w:p w14:paraId="78DC18B5" w14:textId="3D4CDE72" w:rsidR="00D422B1" w:rsidRPr="00D6259F" w:rsidRDefault="0071680D" w:rsidP="00593E3D">
      <w:pPr>
        <w:pStyle w:val="Heading6"/>
        <w:rPr>
          <w:rFonts w:cs="Arial"/>
          <w:color w:val="000000" w:themeColor="text1"/>
        </w:rPr>
      </w:pPr>
      <w:r w:rsidRPr="00D6259F">
        <w:rPr>
          <w:color w:val="000000" w:themeColor="text1"/>
        </w:rPr>
        <w:t>f</w:t>
      </w:r>
      <w:r w:rsidR="00D422B1" w:rsidRPr="00D6259F">
        <w:rPr>
          <w:color w:val="000000" w:themeColor="text1"/>
        </w:rPr>
        <w:t xml:space="preserve">. Bank </w:t>
      </w:r>
      <w:r w:rsidR="009559D1" w:rsidRPr="00D6259F">
        <w:rPr>
          <w:color w:val="000000" w:themeColor="text1"/>
        </w:rPr>
        <w:t>l</w:t>
      </w:r>
      <w:r w:rsidR="00D422B1" w:rsidRPr="00D6259F">
        <w:rPr>
          <w:color w:val="000000" w:themeColor="text1"/>
        </w:rPr>
        <w:t>oan</w:t>
      </w:r>
      <w:r w:rsidR="00B956E2" w:rsidRPr="00D6259F">
        <w:rPr>
          <w:color w:val="000000" w:themeColor="text1"/>
        </w:rPr>
        <w:t>s</w:t>
      </w:r>
    </w:p>
    <w:p w14:paraId="2EACC154" w14:textId="71957ACA" w:rsidR="0071680D" w:rsidRPr="00D6259F" w:rsidRDefault="00D422B1" w:rsidP="007C7248">
      <w:pPr>
        <w:rPr>
          <w:color w:val="000000" w:themeColor="text1"/>
          <w:lang w:eastAsia="en-GB"/>
        </w:rPr>
      </w:pPr>
      <w:r w:rsidRPr="00D6259F">
        <w:rPr>
          <w:color w:val="000000" w:themeColor="text1"/>
          <w:lang w:eastAsia="en-GB"/>
        </w:rPr>
        <w:t>The</w:t>
      </w:r>
      <w:r w:rsidR="006020F7" w:rsidRPr="00D6259F">
        <w:rPr>
          <w:color w:val="000000" w:themeColor="text1"/>
          <w:lang w:eastAsia="en-GB"/>
        </w:rPr>
        <w:t xml:space="preserve"> Group</w:t>
      </w:r>
      <w:r w:rsidR="00D53B94" w:rsidRPr="00D6259F">
        <w:rPr>
          <w:color w:val="000000" w:themeColor="text1"/>
          <w:lang w:eastAsia="en-GB"/>
        </w:rPr>
        <w:t xml:space="preserve"> has a share of the borrowings made by Porirua City Council</w:t>
      </w:r>
      <w:r w:rsidRPr="00D6259F">
        <w:rPr>
          <w:color w:val="000000" w:themeColor="text1"/>
          <w:lang w:eastAsia="en-GB"/>
        </w:rPr>
        <w:t xml:space="preserve"> through the Council’s joint </w:t>
      </w:r>
      <w:r w:rsidR="00A50FC7" w:rsidRPr="00D6259F">
        <w:rPr>
          <w:color w:val="000000" w:themeColor="text1"/>
          <w:lang w:eastAsia="en-GB"/>
        </w:rPr>
        <w:t>operations</w:t>
      </w:r>
      <w:r w:rsidR="002145D9" w:rsidRPr="00D6259F">
        <w:rPr>
          <w:color w:val="000000" w:themeColor="text1"/>
          <w:lang w:eastAsia="en-GB"/>
        </w:rPr>
        <w:t xml:space="preserve">. These are disclosed as </w:t>
      </w:r>
      <w:r w:rsidRPr="00D6259F">
        <w:rPr>
          <w:color w:val="000000" w:themeColor="text1"/>
          <w:lang w:eastAsia="en-GB"/>
        </w:rPr>
        <w:t>bank term loan</w:t>
      </w:r>
      <w:r w:rsidR="0071680D" w:rsidRPr="00D6259F">
        <w:rPr>
          <w:color w:val="000000" w:themeColor="text1"/>
          <w:lang w:eastAsia="en-GB"/>
        </w:rPr>
        <w:t>s</w:t>
      </w:r>
      <w:r w:rsidRPr="00D6259F">
        <w:rPr>
          <w:color w:val="000000" w:themeColor="text1"/>
          <w:lang w:eastAsia="en-GB"/>
        </w:rPr>
        <w:t xml:space="preserve"> </w:t>
      </w:r>
      <w:r w:rsidR="00BA2B58" w:rsidRPr="00D6259F">
        <w:rPr>
          <w:color w:val="000000" w:themeColor="text1"/>
          <w:lang w:eastAsia="en-GB"/>
        </w:rPr>
        <w:t>and amount to</w:t>
      </w:r>
      <w:r w:rsidRPr="00D6259F">
        <w:rPr>
          <w:color w:val="000000" w:themeColor="text1"/>
          <w:lang w:eastAsia="en-GB"/>
        </w:rPr>
        <w:t xml:space="preserve"> $</w:t>
      </w:r>
      <w:r w:rsidR="0028121C" w:rsidRPr="00D6259F">
        <w:rPr>
          <w:color w:val="000000" w:themeColor="text1"/>
          <w:lang w:eastAsia="en-GB"/>
        </w:rPr>
        <w:t>25.</w:t>
      </w:r>
      <w:r w:rsidR="002145D9" w:rsidRPr="00D6259F">
        <w:rPr>
          <w:color w:val="000000" w:themeColor="text1"/>
          <w:lang w:eastAsia="en-GB"/>
        </w:rPr>
        <w:t>3</w:t>
      </w:r>
      <w:r w:rsidR="0028121C" w:rsidRPr="00D6259F">
        <w:rPr>
          <w:color w:val="000000" w:themeColor="text1"/>
          <w:lang w:eastAsia="en-GB"/>
        </w:rPr>
        <w:t>m</w:t>
      </w:r>
      <w:r w:rsidR="00385703" w:rsidRPr="00D6259F">
        <w:rPr>
          <w:color w:val="000000" w:themeColor="text1"/>
          <w:lang w:eastAsia="en-GB"/>
        </w:rPr>
        <w:t xml:space="preserve"> </w:t>
      </w:r>
      <w:r w:rsidR="00385703" w:rsidRPr="00D6259F">
        <w:rPr>
          <w:color w:val="000000" w:themeColor="text1"/>
        </w:rPr>
        <w:t>(</w:t>
      </w:r>
      <w:r w:rsidR="009559D1" w:rsidRPr="00D6259F">
        <w:rPr>
          <w:color w:val="000000" w:themeColor="text1"/>
          <w:lang w:eastAsia="en-GB"/>
        </w:rPr>
        <w:t>202</w:t>
      </w:r>
      <w:r w:rsidR="00D210BC" w:rsidRPr="00D6259F">
        <w:rPr>
          <w:color w:val="000000" w:themeColor="text1"/>
          <w:lang w:eastAsia="en-GB"/>
        </w:rPr>
        <w:t>3</w:t>
      </w:r>
      <w:r w:rsidR="009559D1" w:rsidRPr="00D6259F">
        <w:rPr>
          <w:color w:val="000000" w:themeColor="text1"/>
          <w:lang w:eastAsia="en-GB"/>
        </w:rPr>
        <w:t>: $</w:t>
      </w:r>
      <w:r w:rsidR="00D210BC" w:rsidRPr="00D6259F">
        <w:rPr>
          <w:color w:val="000000" w:themeColor="text1"/>
          <w:lang w:eastAsia="en-GB"/>
        </w:rPr>
        <w:t>10.</w:t>
      </w:r>
      <w:r w:rsidR="001774EE" w:rsidRPr="00D6259F">
        <w:rPr>
          <w:color w:val="000000" w:themeColor="text1"/>
          <w:lang w:eastAsia="en-GB"/>
        </w:rPr>
        <w:t>5</w:t>
      </w:r>
      <w:r w:rsidR="00D210BC" w:rsidRPr="00D6259F">
        <w:rPr>
          <w:color w:val="000000" w:themeColor="text1"/>
          <w:lang w:eastAsia="en-GB"/>
        </w:rPr>
        <w:t>m</w:t>
      </w:r>
      <w:r w:rsidR="009559D1" w:rsidRPr="00D6259F">
        <w:rPr>
          <w:color w:val="000000" w:themeColor="text1"/>
          <w:lang w:eastAsia="en-GB"/>
        </w:rPr>
        <w:t>)</w:t>
      </w:r>
      <w:r w:rsidRPr="00D6259F">
        <w:rPr>
          <w:color w:val="000000" w:themeColor="text1"/>
          <w:lang w:eastAsia="en-GB"/>
        </w:rPr>
        <w:t xml:space="preserve">. </w:t>
      </w:r>
      <w:r w:rsidR="003D33DE" w:rsidRPr="00D6259F">
        <w:rPr>
          <w:color w:val="000000" w:themeColor="text1"/>
          <w:lang w:eastAsia="en-GB"/>
        </w:rPr>
        <w:t xml:space="preserve">In </w:t>
      </w:r>
      <w:r w:rsidR="00385703" w:rsidRPr="00D6259F">
        <w:rPr>
          <w:color w:val="000000" w:themeColor="text1"/>
          <w:lang w:eastAsia="en-GB"/>
        </w:rPr>
        <w:t>addition,</w:t>
      </w:r>
      <w:r w:rsidR="003D33DE" w:rsidRPr="00D6259F">
        <w:rPr>
          <w:color w:val="000000" w:themeColor="text1"/>
          <w:lang w:eastAsia="en-GB"/>
        </w:rPr>
        <w:t xml:space="preserve"> Karori Sanctuary Trust </w:t>
      </w:r>
      <w:r w:rsidR="00440F79" w:rsidRPr="00D6259F">
        <w:rPr>
          <w:color w:val="000000" w:themeColor="text1"/>
          <w:lang w:eastAsia="en-GB"/>
        </w:rPr>
        <w:t>h</w:t>
      </w:r>
      <w:r w:rsidR="003D33DE" w:rsidRPr="00D6259F">
        <w:rPr>
          <w:color w:val="000000" w:themeColor="text1"/>
          <w:lang w:eastAsia="en-GB"/>
        </w:rPr>
        <w:t>as a $</w:t>
      </w:r>
      <w:r w:rsidR="0028121C" w:rsidRPr="00D6259F">
        <w:rPr>
          <w:color w:val="000000" w:themeColor="text1"/>
          <w:lang w:eastAsia="en-GB"/>
        </w:rPr>
        <w:t xml:space="preserve">1.5m </w:t>
      </w:r>
      <w:r w:rsidR="00440F79" w:rsidRPr="00D6259F">
        <w:rPr>
          <w:color w:val="000000" w:themeColor="text1"/>
          <w:lang w:eastAsia="en-GB"/>
        </w:rPr>
        <w:t>(202</w:t>
      </w:r>
      <w:r w:rsidR="00D210BC" w:rsidRPr="00D6259F">
        <w:rPr>
          <w:color w:val="000000" w:themeColor="text1"/>
          <w:lang w:eastAsia="en-GB"/>
        </w:rPr>
        <w:t>3</w:t>
      </w:r>
      <w:r w:rsidR="00440F79" w:rsidRPr="00D6259F">
        <w:rPr>
          <w:color w:val="000000" w:themeColor="text1"/>
          <w:lang w:eastAsia="en-GB"/>
        </w:rPr>
        <w:t>: $</w:t>
      </w:r>
      <w:r w:rsidR="00D210BC" w:rsidRPr="00D6259F">
        <w:rPr>
          <w:color w:val="000000" w:themeColor="text1"/>
          <w:lang w:eastAsia="en-GB"/>
        </w:rPr>
        <w:t>1.</w:t>
      </w:r>
      <w:r w:rsidR="001774EE" w:rsidRPr="00D6259F">
        <w:rPr>
          <w:color w:val="000000" w:themeColor="text1"/>
          <w:lang w:eastAsia="en-GB"/>
        </w:rPr>
        <w:t>5</w:t>
      </w:r>
      <w:r w:rsidR="00D210BC" w:rsidRPr="00D6259F">
        <w:rPr>
          <w:color w:val="000000" w:themeColor="text1"/>
          <w:lang w:eastAsia="en-GB"/>
        </w:rPr>
        <w:t>m</w:t>
      </w:r>
      <w:r w:rsidR="00440F79" w:rsidRPr="00D6259F">
        <w:rPr>
          <w:color w:val="000000" w:themeColor="text1"/>
          <w:lang w:eastAsia="en-GB"/>
        </w:rPr>
        <w:t>)</w:t>
      </w:r>
      <w:r w:rsidR="003D33DE" w:rsidRPr="00D6259F">
        <w:rPr>
          <w:color w:val="000000" w:themeColor="text1"/>
          <w:lang w:eastAsia="en-GB"/>
        </w:rPr>
        <w:t xml:space="preserve"> loan.</w:t>
      </w:r>
    </w:p>
    <w:p w14:paraId="34818ACF" w14:textId="77777777" w:rsidR="00D422B1" w:rsidRPr="00D6259F" w:rsidRDefault="0071680D" w:rsidP="00593E3D">
      <w:pPr>
        <w:pStyle w:val="Heading6"/>
        <w:rPr>
          <w:color w:val="000000" w:themeColor="text1"/>
        </w:rPr>
      </w:pPr>
      <w:r w:rsidRPr="00D6259F">
        <w:rPr>
          <w:color w:val="000000" w:themeColor="text1"/>
        </w:rPr>
        <w:t>g</w:t>
      </w:r>
      <w:r w:rsidR="00D422B1" w:rsidRPr="00D6259F">
        <w:rPr>
          <w:color w:val="000000" w:themeColor="text1"/>
        </w:rPr>
        <w:t>. Commercial paper</w:t>
      </w:r>
    </w:p>
    <w:p w14:paraId="68B6F220" w14:textId="2BA556D2" w:rsidR="00D422B1" w:rsidRPr="00D6259F" w:rsidRDefault="00D422B1" w:rsidP="007C7248">
      <w:pPr>
        <w:rPr>
          <w:color w:val="000000" w:themeColor="text1"/>
          <w:lang w:eastAsia="en-GB"/>
        </w:rPr>
      </w:pPr>
      <w:r w:rsidRPr="00D6259F">
        <w:rPr>
          <w:color w:val="000000" w:themeColor="text1"/>
          <w:lang w:eastAsia="en-GB"/>
        </w:rPr>
        <w:t>The</w:t>
      </w:r>
      <w:r w:rsidR="006020F7" w:rsidRPr="00D6259F">
        <w:rPr>
          <w:color w:val="000000" w:themeColor="text1"/>
          <w:lang w:eastAsia="en-GB"/>
        </w:rPr>
        <w:t xml:space="preserve"> Group</w:t>
      </w:r>
      <w:r w:rsidRPr="00D6259F">
        <w:rPr>
          <w:color w:val="000000" w:themeColor="text1"/>
          <w:lang w:eastAsia="en-GB"/>
        </w:rPr>
        <w:t xml:space="preserve"> has a </w:t>
      </w:r>
      <w:r w:rsidR="006C2201" w:rsidRPr="00D6259F">
        <w:rPr>
          <w:color w:val="000000" w:themeColor="text1"/>
          <w:lang w:eastAsia="en-GB"/>
        </w:rPr>
        <w:t>c</w:t>
      </w:r>
      <w:r w:rsidRPr="00D6259F">
        <w:rPr>
          <w:color w:val="000000" w:themeColor="text1"/>
          <w:lang w:eastAsia="en-GB"/>
        </w:rPr>
        <w:t xml:space="preserve">ommercial </w:t>
      </w:r>
      <w:r w:rsidR="006C2201" w:rsidRPr="00D6259F">
        <w:rPr>
          <w:color w:val="000000" w:themeColor="text1"/>
          <w:lang w:eastAsia="en-GB"/>
        </w:rPr>
        <w:t>p</w:t>
      </w:r>
      <w:r w:rsidRPr="00D6259F">
        <w:rPr>
          <w:color w:val="000000" w:themeColor="text1"/>
          <w:lang w:eastAsia="en-GB"/>
        </w:rPr>
        <w:t>aper programme which is subject to floating rates and totals $</w:t>
      </w:r>
      <w:r w:rsidR="0071680D" w:rsidRPr="00D6259F">
        <w:rPr>
          <w:color w:val="000000" w:themeColor="text1"/>
          <w:lang w:eastAsia="en-GB"/>
        </w:rPr>
        <w:t>100.0</w:t>
      </w:r>
      <w:r w:rsidR="0080041E" w:rsidRPr="00D6259F">
        <w:rPr>
          <w:color w:val="000000" w:themeColor="text1"/>
          <w:lang w:eastAsia="en-GB"/>
        </w:rPr>
        <w:t>m</w:t>
      </w:r>
      <w:r w:rsidRPr="00D6259F">
        <w:rPr>
          <w:color w:val="000000" w:themeColor="text1"/>
          <w:lang w:eastAsia="en-GB"/>
        </w:rPr>
        <w:t xml:space="preserve"> of which only </w:t>
      </w:r>
      <w:r w:rsidR="0028121C" w:rsidRPr="00D6259F">
        <w:rPr>
          <w:color w:val="000000" w:themeColor="text1"/>
          <w:lang w:eastAsia="en-GB"/>
        </w:rPr>
        <w:t>$66</w:t>
      </w:r>
      <w:r w:rsidR="00B72D9C" w:rsidRPr="00D6259F">
        <w:rPr>
          <w:color w:val="000000" w:themeColor="text1"/>
          <w:lang w:eastAsia="en-GB"/>
        </w:rPr>
        <w:t>.0</w:t>
      </w:r>
      <w:r w:rsidR="0028121C" w:rsidRPr="00D6259F">
        <w:rPr>
          <w:color w:val="000000" w:themeColor="text1"/>
          <w:lang w:eastAsia="en-GB"/>
        </w:rPr>
        <w:t>m</w:t>
      </w:r>
      <w:r w:rsidR="008B1D88" w:rsidRPr="00D6259F">
        <w:rPr>
          <w:color w:val="000000" w:themeColor="text1"/>
          <w:lang w:eastAsia="en-GB"/>
        </w:rPr>
        <w:t xml:space="preserve"> </w:t>
      </w:r>
      <w:r w:rsidR="008B1D88" w:rsidRPr="00D6259F">
        <w:rPr>
          <w:color w:val="000000" w:themeColor="text1"/>
        </w:rPr>
        <w:t>(</w:t>
      </w:r>
      <w:r w:rsidR="00A84C83" w:rsidRPr="00D6259F">
        <w:rPr>
          <w:color w:val="000000" w:themeColor="text1"/>
          <w:lang w:eastAsia="en-GB"/>
        </w:rPr>
        <w:t>202</w:t>
      </w:r>
      <w:r w:rsidR="0008159E" w:rsidRPr="00D6259F">
        <w:rPr>
          <w:color w:val="000000" w:themeColor="text1"/>
          <w:lang w:eastAsia="en-GB"/>
        </w:rPr>
        <w:t>3</w:t>
      </w:r>
      <w:r w:rsidR="00A84C83" w:rsidRPr="00D6259F">
        <w:rPr>
          <w:color w:val="000000" w:themeColor="text1"/>
          <w:lang w:eastAsia="en-GB"/>
        </w:rPr>
        <w:t>: $68.0m)</w:t>
      </w:r>
      <w:r w:rsidRPr="00D6259F">
        <w:rPr>
          <w:color w:val="000000" w:themeColor="text1"/>
          <w:lang w:eastAsia="en-GB"/>
        </w:rPr>
        <w:t xml:space="preserve"> is presently utilised. The full exposure to changes in interest rates has been reduced because the</w:t>
      </w:r>
      <w:r w:rsidR="006020F7" w:rsidRPr="00D6259F">
        <w:rPr>
          <w:color w:val="000000" w:themeColor="text1"/>
          <w:lang w:eastAsia="en-GB"/>
        </w:rPr>
        <w:t xml:space="preserve"> Group</w:t>
      </w:r>
      <w:r w:rsidRPr="00D6259F">
        <w:rPr>
          <w:color w:val="000000" w:themeColor="text1"/>
          <w:lang w:eastAsia="en-GB"/>
        </w:rPr>
        <w:t xml:space="preserve"> has </w:t>
      </w:r>
      <w:r w:rsidR="001A5773" w:rsidRPr="00D6259F">
        <w:rPr>
          <w:color w:val="000000" w:themeColor="text1"/>
          <w:lang w:eastAsia="en-GB"/>
        </w:rPr>
        <w:t>$</w:t>
      </w:r>
      <w:r w:rsidR="00E664A1" w:rsidRPr="00D6259F">
        <w:rPr>
          <w:color w:val="000000" w:themeColor="text1"/>
          <w:lang w:eastAsia="en-GB"/>
        </w:rPr>
        <w:t>28.0</w:t>
      </w:r>
      <w:r w:rsidR="00270E35" w:rsidRPr="00D6259F">
        <w:rPr>
          <w:color w:val="000000" w:themeColor="text1"/>
          <w:lang w:eastAsia="en-GB"/>
        </w:rPr>
        <w:t>m</w:t>
      </w:r>
      <w:r w:rsidR="008B1D88" w:rsidRPr="00D6259F">
        <w:rPr>
          <w:color w:val="000000" w:themeColor="text1"/>
          <w:lang w:eastAsia="en-GB"/>
        </w:rPr>
        <w:t xml:space="preserve"> </w:t>
      </w:r>
      <w:r w:rsidR="008B1D88" w:rsidRPr="00D6259F">
        <w:rPr>
          <w:color w:val="000000" w:themeColor="text1"/>
        </w:rPr>
        <w:t>(</w:t>
      </w:r>
      <w:r w:rsidR="00A84C83" w:rsidRPr="00D6259F">
        <w:rPr>
          <w:color w:val="000000" w:themeColor="text1"/>
          <w:lang w:eastAsia="en-GB"/>
        </w:rPr>
        <w:t>202</w:t>
      </w:r>
      <w:r w:rsidR="0008159E" w:rsidRPr="00D6259F">
        <w:rPr>
          <w:color w:val="000000" w:themeColor="text1"/>
          <w:lang w:eastAsia="en-GB"/>
        </w:rPr>
        <w:t>3</w:t>
      </w:r>
      <w:r w:rsidR="00A84C83" w:rsidRPr="00D6259F">
        <w:rPr>
          <w:color w:val="000000" w:themeColor="text1"/>
          <w:lang w:eastAsia="en-GB"/>
        </w:rPr>
        <w:t xml:space="preserve">: $51.0m) </w:t>
      </w:r>
      <w:r w:rsidRPr="00D6259F">
        <w:rPr>
          <w:color w:val="000000" w:themeColor="text1"/>
          <w:lang w:eastAsia="en-GB"/>
        </w:rPr>
        <w:t>of this debt at fixed rates through interest rate swaps.</w:t>
      </w:r>
      <w:r w:rsidR="00EF397D" w:rsidRPr="00D6259F">
        <w:rPr>
          <w:color w:val="000000" w:themeColor="text1"/>
          <w:lang w:eastAsia="en-GB"/>
        </w:rPr>
        <w:t xml:space="preserve"> </w:t>
      </w:r>
    </w:p>
    <w:p w14:paraId="21A34831" w14:textId="77777777" w:rsidR="006149B2" w:rsidRPr="00D6259F" w:rsidRDefault="006149B2" w:rsidP="006149B2">
      <w:pPr>
        <w:pStyle w:val="Heading4"/>
      </w:pPr>
      <w:r w:rsidRPr="00D6259F">
        <w:t>Foreign exchange risk</w:t>
      </w:r>
    </w:p>
    <w:p w14:paraId="185A1C99" w14:textId="2D8951B7" w:rsidR="006149B2" w:rsidRPr="00D6259F" w:rsidRDefault="006149B2" w:rsidP="006149B2">
      <w:pPr>
        <w:rPr>
          <w:color w:val="000000" w:themeColor="text1"/>
        </w:rPr>
      </w:pPr>
      <w:r w:rsidRPr="00D6259F">
        <w:rPr>
          <w:color w:val="000000" w:themeColor="text1"/>
        </w:rPr>
        <w:t>Foreign exchange risk is the risk that costs materially exceed budget due to adverse movements in foreign exchange rates.</w:t>
      </w:r>
    </w:p>
    <w:p w14:paraId="4ADF63C9" w14:textId="6CEBB83C" w:rsidR="006149B2" w:rsidRPr="00D6259F" w:rsidRDefault="006149B2" w:rsidP="006149B2">
      <w:pPr>
        <w:rPr>
          <w:color w:val="000000" w:themeColor="text1"/>
        </w:rPr>
      </w:pPr>
      <w:r w:rsidRPr="00D6259F">
        <w:rPr>
          <w:color w:val="000000" w:themeColor="text1"/>
        </w:rPr>
        <w:t>The</w:t>
      </w:r>
      <w:r w:rsidR="006020F7" w:rsidRPr="00D6259F">
        <w:rPr>
          <w:color w:val="000000" w:themeColor="text1"/>
        </w:rPr>
        <w:t xml:space="preserve"> Group</w:t>
      </w:r>
      <w:r w:rsidRPr="00D6259F">
        <w:rPr>
          <w:color w:val="000000" w:themeColor="text1"/>
        </w:rPr>
        <w:t xml:space="preserve"> is exposed to foreign exchange risk when it purchases equipment and services denominated in a foreign currency or has cash holdings denominated in a foreign currency.</w:t>
      </w:r>
    </w:p>
    <w:p w14:paraId="25999CD0" w14:textId="159CACE8" w:rsidR="00385703" w:rsidRPr="00D6259F" w:rsidRDefault="00385703" w:rsidP="006149B2">
      <w:pPr>
        <w:rPr>
          <w:color w:val="000000" w:themeColor="text1"/>
        </w:rPr>
      </w:pPr>
      <w:r w:rsidRPr="00D6259F">
        <w:rPr>
          <w:color w:val="000000" w:themeColor="text1"/>
        </w:rPr>
        <w:t xml:space="preserve">The Group has assessed that a reasonably possible change in foreign exchange rates (a 10 percent variance either way) would have a </w:t>
      </w:r>
      <w:r w:rsidR="00662DB1" w:rsidRPr="00D6259F">
        <w:rPr>
          <w:color w:val="000000" w:themeColor="text1"/>
        </w:rPr>
        <w:t>trivial</w:t>
      </w:r>
      <w:r w:rsidRPr="00D6259F">
        <w:rPr>
          <w:color w:val="000000" w:themeColor="text1"/>
        </w:rPr>
        <w:t xml:space="preserve"> impact on surplus or equity.</w:t>
      </w:r>
    </w:p>
    <w:p w14:paraId="6B804ED4" w14:textId="77777777" w:rsidR="006149B2" w:rsidRPr="00D6259F" w:rsidRDefault="006149B2" w:rsidP="006149B2">
      <w:pPr>
        <w:pStyle w:val="Heading5"/>
        <w:rPr>
          <w:color w:val="000000" w:themeColor="text1"/>
        </w:rPr>
      </w:pPr>
      <w:r w:rsidRPr="00D6259F">
        <w:rPr>
          <w:color w:val="000000" w:themeColor="text1"/>
        </w:rPr>
        <w:t xml:space="preserve">Risk </w:t>
      </w:r>
      <w:proofErr w:type="gramStart"/>
      <w:r w:rsidRPr="00D6259F">
        <w:rPr>
          <w:color w:val="000000" w:themeColor="text1"/>
        </w:rPr>
        <w:t>management</w:t>
      </w:r>
      <w:proofErr w:type="gramEnd"/>
    </w:p>
    <w:p w14:paraId="5A8A94C0" w14:textId="61F09918" w:rsidR="008F191C" w:rsidRPr="00D6259F" w:rsidRDefault="006149B2" w:rsidP="006149B2">
      <w:pPr>
        <w:rPr>
          <w:color w:val="000000" w:themeColor="text1"/>
        </w:rPr>
      </w:pPr>
      <w:r w:rsidRPr="00D6259F">
        <w:rPr>
          <w:color w:val="000000" w:themeColor="text1"/>
        </w:rPr>
        <w:t>The</w:t>
      </w:r>
      <w:r w:rsidR="006020F7" w:rsidRPr="00D6259F">
        <w:rPr>
          <w:color w:val="000000" w:themeColor="text1"/>
        </w:rPr>
        <w:t xml:space="preserve"> Group</w:t>
      </w:r>
      <w:r w:rsidRPr="00D6259F">
        <w:rPr>
          <w:color w:val="000000" w:themeColor="text1"/>
        </w:rPr>
        <w:t xml:space="preserve"> seeks to limit foreign exchange risk by</w:t>
      </w:r>
      <w:r w:rsidR="008F191C" w:rsidRPr="00D6259F">
        <w:rPr>
          <w:color w:val="000000" w:themeColor="text1"/>
        </w:rPr>
        <w:t xml:space="preserve"> holding foreign currency prior to material foreign</w:t>
      </w:r>
      <w:r w:rsidRPr="00D6259F">
        <w:rPr>
          <w:color w:val="000000" w:themeColor="text1"/>
        </w:rPr>
        <w:t xml:space="preserve"> currency denominated capital and operating expenditure</w:t>
      </w:r>
      <w:r w:rsidR="008F191C" w:rsidRPr="00D6259F">
        <w:rPr>
          <w:color w:val="000000" w:themeColor="text1"/>
        </w:rPr>
        <w:t>. F</w:t>
      </w:r>
      <w:r w:rsidRPr="00D6259F">
        <w:rPr>
          <w:color w:val="000000" w:themeColor="text1"/>
        </w:rPr>
        <w:t>oreign exchange exposure is recognised when the expenditure has been approved and a contract is expected to follow</w:t>
      </w:r>
      <w:r w:rsidR="008F191C" w:rsidRPr="00D6259F">
        <w:rPr>
          <w:color w:val="000000" w:themeColor="text1"/>
        </w:rPr>
        <w:t>.</w:t>
      </w:r>
    </w:p>
    <w:p w14:paraId="2AE38686" w14:textId="0F5AA552" w:rsidR="006149B2" w:rsidRPr="00D6259F" w:rsidRDefault="006149B2" w:rsidP="006149B2">
      <w:pPr>
        <w:rPr>
          <w:color w:val="000000" w:themeColor="text1"/>
        </w:rPr>
      </w:pPr>
      <w:r w:rsidRPr="00D6259F">
        <w:rPr>
          <w:color w:val="000000" w:themeColor="text1"/>
        </w:rPr>
        <w:t>The</w:t>
      </w:r>
      <w:r w:rsidR="006020F7" w:rsidRPr="00D6259F">
        <w:rPr>
          <w:color w:val="000000" w:themeColor="text1"/>
        </w:rPr>
        <w:t xml:space="preserve"> Group</w:t>
      </w:r>
      <w:r w:rsidRPr="00D6259F">
        <w:rPr>
          <w:color w:val="000000" w:themeColor="text1"/>
        </w:rPr>
        <w:t xml:space="preserve"> does not receive foreign currency revenue in its normal course of business.</w:t>
      </w:r>
    </w:p>
    <w:p w14:paraId="25CEE5CE" w14:textId="77777777" w:rsidR="00C53B00" w:rsidRPr="00D6259F" w:rsidRDefault="00C53B00">
      <w:pPr>
        <w:rPr>
          <w:rFonts w:ascii="Cambria" w:eastAsiaTheme="majorEastAsia" w:hAnsi="Cambria"/>
          <w:b/>
          <w:bCs/>
          <w:color w:val="000000" w:themeColor="text1"/>
          <w:sz w:val="48"/>
          <w:szCs w:val="40"/>
        </w:rPr>
      </w:pPr>
      <w:bookmarkStart w:id="207" w:name="_Toc55482682"/>
      <w:r w:rsidRPr="00D6259F">
        <w:rPr>
          <w:color w:val="000000" w:themeColor="text1"/>
        </w:rPr>
        <w:br w:type="page"/>
      </w:r>
    </w:p>
    <w:p w14:paraId="4D73A80A" w14:textId="06F5FBF0" w:rsidR="00D422B1" w:rsidRPr="00D6259F" w:rsidRDefault="00D422B1" w:rsidP="00583DF2">
      <w:pPr>
        <w:pStyle w:val="Heading2"/>
      </w:pPr>
      <w:bookmarkStart w:id="208" w:name="_Toc179890325"/>
      <w:r w:rsidRPr="00D6259F">
        <w:lastRenderedPageBreak/>
        <w:t>Note 3</w:t>
      </w:r>
      <w:r w:rsidR="00531B5F" w:rsidRPr="00D6259F">
        <w:t>4</w:t>
      </w:r>
      <w:r w:rsidRPr="00D6259F">
        <w:t>: Commitments</w:t>
      </w:r>
      <w:bookmarkEnd w:id="207"/>
      <w:bookmarkEnd w:id="208"/>
    </w:p>
    <w:p w14:paraId="010A65F4" w14:textId="2842479A" w:rsidR="00C53B00" w:rsidRPr="00D6259F" w:rsidRDefault="00C53B00" w:rsidP="00C53B00">
      <w:pPr>
        <w:pStyle w:val="Heading3"/>
      </w:pPr>
      <w:r w:rsidRPr="00D6259F">
        <w:t xml:space="preserve">Capital </w:t>
      </w:r>
      <w:proofErr w:type="gramStart"/>
      <w:r w:rsidRPr="00D6259F">
        <w:t>commitments</w:t>
      </w:r>
      <w:proofErr w:type="gramEnd"/>
    </w:p>
    <w:p w14:paraId="69026F7B" w14:textId="5527287D" w:rsidR="009F4963" w:rsidRPr="00D6259F" w:rsidRDefault="000F20D8" w:rsidP="007C7248">
      <w:pPr>
        <w:rPr>
          <w:noProof/>
          <w:color w:val="000000" w:themeColor="text1"/>
        </w:rPr>
      </w:pPr>
      <w:r w:rsidRPr="00D6259F">
        <w:rPr>
          <w:noProof/>
          <w:color w:val="000000" w:themeColor="text1"/>
        </w:rPr>
        <w:object w:dxaOrig="10530" w:dyaOrig="2715" w14:anchorId="65F99604">
          <v:shape id="_x0000_i1117" type="#_x0000_t75" style="width:483pt;height:131pt" o:ole="">
            <v:imagedata r:id="rId196" o:title=""/>
          </v:shape>
          <o:OLEObject Type="Link" ProgID="Excel.Sheet.12" ShapeID="_x0000_i1117" DrawAspect="Content" r:id="rId197" UpdateMode="Always">
            <o:LinkType>EnhancedMetaFile</o:LinkType>
            <o:LockedField>false</o:LockedField>
          </o:OLEObject>
        </w:object>
      </w:r>
    </w:p>
    <w:p w14:paraId="2E5FC36F" w14:textId="6AE6CF78" w:rsidR="00D422B1" w:rsidRPr="00D6259F" w:rsidRDefault="00D422B1" w:rsidP="007C7248">
      <w:pPr>
        <w:rPr>
          <w:color w:val="000000" w:themeColor="text1"/>
        </w:rPr>
      </w:pPr>
      <w:r w:rsidRPr="00D6259F">
        <w:rPr>
          <w:color w:val="000000" w:themeColor="text1"/>
        </w:rPr>
        <w:t xml:space="preserve">The capital commitments in </w:t>
      </w:r>
      <w:r w:rsidRPr="00D6259F">
        <w:rPr>
          <w:i/>
          <w:iCs/>
          <w:color w:val="000000" w:themeColor="text1"/>
        </w:rPr>
        <w:t xml:space="preserve">Table </w:t>
      </w:r>
      <w:r w:rsidR="008B0E35" w:rsidRPr="00D6259F">
        <w:rPr>
          <w:i/>
          <w:iCs/>
          <w:color w:val="000000" w:themeColor="text1"/>
        </w:rPr>
        <w:t>82</w:t>
      </w:r>
      <w:r w:rsidR="00BD03C1" w:rsidRPr="00D6259F">
        <w:rPr>
          <w:color w:val="000000" w:themeColor="text1"/>
        </w:rPr>
        <w:t xml:space="preserve"> </w:t>
      </w:r>
      <w:r w:rsidRPr="00D6259F">
        <w:rPr>
          <w:color w:val="000000" w:themeColor="text1"/>
        </w:rPr>
        <w:t>represent signed contracts in place at the end of the reporting period.</w:t>
      </w:r>
      <w:r w:rsidR="003A3180" w:rsidRPr="00D6259F">
        <w:rPr>
          <w:color w:val="000000" w:themeColor="text1"/>
        </w:rPr>
        <w:t xml:space="preserve"> </w:t>
      </w:r>
      <w:r w:rsidRPr="00D6259F">
        <w:rPr>
          <w:color w:val="000000" w:themeColor="text1"/>
        </w:rPr>
        <w:t>The contracts will often span more than one financial</w:t>
      </w:r>
      <w:r w:rsidR="001877CF" w:rsidRPr="00D6259F">
        <w:rPr>
          <w:color w:val="000000" w:themeColor="text1"/>
        </w:rPr>
        <w:t xml:space="preserve"> year</w:t>
      </w:r>
      <w:r w:rsidRPr="00D6259F">
        <w:rPr>
          <w:color w:val="000000" w:themeColor="text1"/>
        </w:rPr>
        <w:t>.</w:t>
      </w:r>
    </w:p>
    <w:p w14:paraId="1E2D8FAE" w14:textId="2DFEFF06" w:rsidR="003A3180" w:rsidRPr="00D6259F" w:rsidRDefault="003A3180" w:rsidP="007C7248">
      <w:pPr>
        <w:rPr>
          <w:color w:val="000000" w:themeColor="text1"/>
        </w:rPr>
      </w:pPr>
      <w:r w:rsidRPr="00D6259F">
        <w:rPr>
          <w:color w:val="000000" w:themeColor="text1"/>
        </w:rPr>
        <w:t xml:space="preserve">The large increase in capital commitments results from the committed expenditure for the </w:t>
      </w:r>
      <w:r w:rsidR="00B56528" w:rsidRPr="00D6259F">
        <w:rPr>
          <w:color w:val="000000" w:themeColor="text1"/>
        </w:rPr>
        <w:t>SMF</w:t>
      </w:r>
      <w:r w:rsidRPr="00D6259F">
        <w:rPr>
          <w:color w:val="000000" w:themeColor="text1"/>
        </w:rPr>
        <w:t xml:space="preserve"> at Moa Point and the Te Ng</w:t>
      </w:r>
      <w:r w:rsidR="00C06780" w:rsidRPr="00D6259F">
        <w:rPr>
          <w:color w:val="000000" w:themeColor="text1"/>
        </w:rPr>
        <w:t>ā</w:t>
      </w:r>
      <w:r w:rsidRPr="00D6259F">
        <w:rPr>
          <w:color w:val="000000" w:themeColor="text1"/>
        </w:rPr>
        <w:t>kau Civic Precinct</w:t>
      </w:r>
      <w:r w:rsidR="00747252" w:rsidRPr="00D6259F">
        <w:rPr>
          <w:color w:val="000000" w:themeColor="text1"/>
        </w:rPr>
        <w:t xml:space="preserve"> upgrade.</w:t>
      </w:r>
      <w:r w:rsidRPr="00D6259F">
        <w:rPr>
          <w:color w:val="000000" w:themeColor="text1"/>
        </w:rPr>
        <w:t xml:space="preserve">    </w:t>
      </w:r>
    </w:p>
    <w:p w14:paraId="53505D4A" w14:textId="76781C49" w:rsidR="00550DCD" w:rsidRPr="00D6259F" w:rsidRDefault="00550DCD" w:rsidP="007C7248">
      <w:pPr>
        <w:rPr>
          <w:color w:val="000000" w:themeColor="text1"/>
        </w:rPr>
      </w:pPr>
      <w:r w:rsidRPr="00D6259F">
        <w:rPr>
          <w:color w:val="000000" w:themeColor="text1"/>
        </w:rPr>
        <w:t xml:space="preserve">In 2024 we have provided additional information on capital commitments for the three waters network </w:t>
      </w:r>
      <w:proofErr w:type="gramStart"/>
      <w:r w:rsidRPr="00D6259F">
        <w:rPr>
          <w:color w:val="000000" w:themeColor="text1"/>
        </w:rPr>
        <w:t>entered into</w:t>
      </w:r>
      <w:proofErr w:type="gramEnd"/>
      <w:r w:rsidRPr="00D6259F">
        <w:rPr>
          <w:color w:val="000000" w:themeColor="text1"/>
        </w:rPr>
        <w:t xml:space="preserve"> by Wellington Water Limited on the Council’s behalf. For consistency we have also restated the 2023 comparatives. This has resulted in an additional $34.9m capital commitments for 2023 compared to that previously reported.</w:t>
      </w:r>
    </w:p>
    <w:p w14:paraId="2AD940E2" w14:textId="615C0A1C" w:rsidR="00D422B1" w:rsidRPr="00D6259F" w:rsidRDefault="00C53B00" w:rsidP="00583DF2">
      <w:pPr>
        <w:pStyle w:val="Heading3"/>
      </w:pPr>
      <w:bookmarkStart w:id="209" w:name="_Toc121217179"/>
      <w:r w:rsidRPr="00D6259F">
        <w:t>Operating l</w:t>
      </w:r>
      <w:r w:rsidR="00D422B1" w:rsidRPr="00D6259F">
        <w:t>ease commitments</w:t>
      </w:r>
      <w:bookmarkEnd w:id="209"/>
    </w:p>
    <w:p w14:paraId="6B9AE37C" w14:textId="2F190A28" w:rsidR="00D422B1" w:rsidRPr="00D6259F" w:rsidRDefault="00C53B00" w:rsidP="001F0D63">
      <w:pPr>
        <w:pStyle w:val="Heading5"/>
        <w:rPr>
          <w:color w:val="000000" w:themeColor="text1"/>
        </w:rPr>
      </w:pPr>
      <w:r w:rsidRPr="00D6259F">
        <w:rPr>
          <w:color w:val="000000" w:themeColor="text1"/>
        </w:rPr>
        <w:t>Council and</w:t>
      </w:r>
      <w:r w:rsidR="006020F7" w:rsidRPr="00D6259F">
        <w:rPr>
          <w:color w:val="000000" w:themeColor="text1"/>
        </w:rPr>
        <w:t xml:space="preserve"> Group</w:t>
      </w:r>
      <w:r w:rsidR="00D422B1" w:rsidRPr="00D6259F">
        <w:rPr>
          <w:color w:val="000000" w:themeColor="text1"/>
        </w:rPr>
        <w:t xml:space="preserve"> as lessee</w:t>
      </w:r>
    </w:p>
    <w:p w14:paraId="54463A05" w14:textId="60620791" w:rsidR="00D422B1" w:rsidRPr="00D6259F" w:rsidRDefault="00D422B1" w:rsidP="007C7248">
      <w:pPr>
        <w:rPr>
          <w:color w:val="000000" w:themeColor="text1"/>
        </w:rPr>
      </w:pPr>
      <w:r w:rsidRPr="00D6259F">
        <w:rPr>
          <w:color w:val="000000" w:themeColor="text1"/>
        </w:rPr>
        <w:t>The</w:t>
      </w:r>
      <w:r w:rsidR="006020F7" w:rsidRPr="00D6259F">
        <w:rPr>
          <w:color w:val="000000" w:themeColor="text1"/>
        </w:rPr>
        <w:t xml:space="preserve"> Group</w:t>
      </w:r>
      <w:r w:rsidRPr="00D6259F">
        <w:rPr>
          <w:color w:val="000000" w:themeColor="text1"/>
        </w:rPr>
        <w:t xml:space="preserve"> leases certain items of plant, equipment, </w:t>
      </w:r>
      <w:proofErr w:type="gramStart"/>
      <w:r w:rsidRPr="00D6259F">
        <w:rPr>
          <w:color w:val="000000" w:themeColor="text1"/>
        </w:rPr>
        <w:t>land</w:t>
      </w:r>
      <w:proofErr w:type="gramEnd"/>
      <w:r w:rsidRPr="00D6259F">
        <w:rPr>
          <w:color w:val="000000" w:themeColor="text1"/>
        </w:rPr>
        <w:t xml:space="preserve"> and buildings under various non-cancellable operating lease agreements.</w:t>
      </w:r>
      <w:r w:rsidR="00C06780" w:rsidRPr="00D6259F">
        <w:rPr>
          <w:color w:val="000000" w:themeColor="text1"/>
        </w:rPr>
        <w:t xml:space="preserve"> </w:t>
      </w:r>
      <w:r w:rsidRPr="00D6259F">
        <w:rPr>
          <w:color w:val="000000" w:themeColor="text1"/>
        </w:rPr>
        <w:t xml:space="preserve">The lease terms are between </w:t>
      </w:r>
      <w:r w:rsidR="001F0D63" w:rsidRPr="00D6259F">
        <w:rPr>
          <w:color w:val="000000" w:themeColor="text1"/>
        </w:rPr>
        <w:t xml:space="preserve">2 </w:t>
      </w:r>
      <w:r w:rsidRPr="00D6259F">
        <w:rPr>
          <w:color w:val="000000" w:themeColor="text1"/>
        </w:rPr>
        <w:t>and 2</w:t>
      </w:r>
      <w:r w:rsidR="003A3180" w:rsidRPr="00D6259F">
        <w:rPr>
          <w:color w:val="000000" w:themeColor="text1"/>
        </w:rPr>
        <w:t>5</w:t>
      </w:r>
      <w:r w:rsidRPr="00D6259F">
        <w:rPr>
          <w:color w:val="000000" w:themeColor="text1"/>
        </w:rPr>
        <w:t xml:space="preserve"> years and </w:t>
      </w:r>
      <w:proofErr w:type="gramStart"/>
      <w:r w:rsidRPr="00D6259F">
        <w:rPr>
          <w:color w:val="000000" w:themeColor="text1"/>
        </w:rPr>
        <w:t>the majority of</w:t>
      </w:r>
      <w:proofErr w:type="gramEnd"/>
      <w:r w:rsidRPr="00D6259F">
        <w:rPr>
          <w:color w:val="000000" w:themeColor="text1"/>
        </w:rPr>
        <w:t xml:space="preserve"> the lease agreements are generally renewable at the end of the lease period at market rates.   </w:t>
      </w:r>
    </w:p>
    <w:p w14:paraId="5D1D6436" w14:textId="0A86115D" w:rsidR="009B2D4E" w:rsidRPr="00D6259F" w:rsidRDefault="00D422B1" w:rsidP="007C7248">
      <w:pPr>
        <w:rPr>
          <w:color w:val="000000" w:themeColor="text1"/>
        </w:rPr>
      </w:pPr>
      <w:r w:rsidRPr="00D6259F">
        <w:rPr>
          <w:color w:val="000000" w:themeColor="text1"/>
        </w:rPr>
        <w:t xml:space="preserve">The minimum </w:t>
      </w:r>
      <w:r w:rsidR="00C83B48" w:rsidRPr="00D6259F">
        <w:rPr>
          <w:color w:val="000000" w:themeColor="text1"/>
        </w:rPr>
        <w:t xml:space="preserve">lease </w:t>
      </w:r>
      <w:r w:rsidRPr="00D6259F">
        <w:rPr>
          <w:color w:val="000000" w:themeColor="text1"/>
        </w:rPr>
        <w:t>payments</w:t>
      </w:r>
      <w:r w:rsidR="001877CF" w:rsidRPr="00D6259F">
        <w:rPr>
          <w:color w:val="000000" w:themeColor="text1"/>
        </w:rPr>
        <w:t xml:space="preserve"> incurred during the period</w:t>
      </w:r>
      <w:r w:rsidRPr="00D6259F">
        <w:rPr>
          <w:color w:val="000000" w:themeColor="text1"/>
        </w:rPr>
        <w:t xml:space="preserve"> for non-cancellable operating leases is recognised as an expense in </w:t>
      </w:r>
      <w:r w:rsidRPr="00D6259F">
        <w:rPr>
          <w:i/>
          <w:iCs/>
          <w:color w:val="000000" w:themeColor="text1"/>
        </w:rPr>
        <w:t>Note 7: Expenditure on operating activities</w:t>
      </w:r>
      <w:r w:rsidRPr="00D6259F">
        <w:rPr>
          <w:color w:val="000000" w:themeColor="text1"/>
        </w:rPr>
        <w:t xml:space="preserve"> (</w:t>
      </w:r>
      <w:r w:rsidR="006F6060" w:rsidRPr="00D6259F">
        <w:rPr>
          <w:color w:val="000000" w:themeColor="text1"/>
        </w:rPr>
        <w:t>page</w:t>
      </w:r>
      <w:r w:rsidR="008B0E35" w:rsidRPr="00D6259F">
        <w:rPr>
          <w:color w:val="000000" w:themeColor="text1"/>
        </w:rPr>
        <w:t xml:space="preserve"> 22</w:t>
      </w:r>
      <w:r w:rsidRPr="00D6259F">
        <w:rPr>
          <w:color w:val="000000" w:themeColor="text1"/>
        </w:rPr>
        <w:t>)</w:t>
      </w:r>
      <w:r w:rsidR="00C06780" w:rsidRPr="00D6259F">
        <w:rPr>
          <w:color w:val="000000" w:themeColor="text1"/>
        </w:rPr>
        <w:t xml:space="preserve"> and the </w:t>
      </w:r>
      <w:r w:rsidR="009B2D4E" w:rsidRPr="00D6259F">
        <w:rPr>
          <w:color w:val="000000" w:themeColor="text1"/>
        </w:rPr>
        <w:t xml:space="preserve">future expenditure committed by these leases is analysed as shown in </w:t>
      </w:r>
      <w:r w:rsidR="009B2D4E" w:rsidRPr="00D6259F">
        <w:rPr>
          <w:i/>
          <w:iCs/>
          <w:color w:val="000000" w:themeColor="text1"/>
        </w:rPr>
        <w:t xml:space="preserve">Table </w:t>
      </w:r>
      <w:r w:rsidR="008B0E35" w:rsidRPr="00D6259F">
        <w:rPr>
          <w:i/>
          <w:iCs/>
          <w:color w:val="000000" w:themeColor="text1"/>
        </w:rPr>
        <w:t>83</w:t>
      </w:r>
      <w:r w:rsidR="009B2D4E" w:rsidRPr="00D6259F">
        <w:rPr>
          <w:color w:val="000000" w:themeColor="text1"/>
        </w:rPr>
        <w:t>.</w:t>
      </w:r>
    </w:p>
    <w:p w14:paraId="01EFF346" w14:textId="29A14E6A" w:rsidR="002A73A4" w:rsidRPr="00D6259F" w:rsidRDefault="000F20D8" w:rsidP="002A73A4">
      <w:pPr>
        <w:rPr>
          <w:color w:val="000000" w:themeColor="text1"/>
        </w:rPr>
      </w:pPr>
      <w:r w:rsidRPr="00D6259F">
        <w:rPr>
          <w:color w:val="000000" w:themeColor="text1"/>
        </w:rPr>
        <w:object w:dxaOrig="10530" w:dyaOrig="4440" w14:anchorId="1391B5A3">
          <v:shape id="_x0000_i1118" type="#_x0000_t75" style="width:490pt;height:204pt" o:ole="">
            <v:imagedata r:id="rId198" o:title=""/>
          </v:shape>
          <o:OLEObject Type="Link" ProgID="Excel.Sheet.12" ShapeID="_x0000_i1118" DrawAspect="Content" r:id="rId199" UpdateMode="Always">
            <o:LinkType>EnhancedMetaFile</o:LinkType>
            <o:LockedField>false</o:LockedField>
          </o:OLEObject>
        </w:object>
      </w:r>
      <w:bookmarkStart w:id="210" w:name="_Toc121217180"/>
    </w:p>
    <w:p w14:paraId="12C10B0A" w14:textId="6D54889D" w:rsidR="00C06780" w:rsidRPr="00D6259F" w:rsidRDefault="00C06780" w:rsidP="002A73A4">
      <w:pPr>
        <w:rPr>
          <w:color w:val="000000" w:themeColor="text1"/>
        </w:rPr>
      </w:pPr>
      <w:r w:rsidRPr="00D6259F">
        <w:rPr>
          <w:color w:val="000000" w:themeColor="text1"/>
        </w:rPr>
        <w:lastRenderedPageBreak/>
        <w:t xml:space="preserve">The </w:t>
      </w:r>
      <w:r w:rsidR="00356CB4" w:rsidRPr="00D6259F">
        <w:rPr>
          <w:color w:val="000000" w:themeColor="text1"/>
        </w:rPr>
        <w:t xml:space="preserve">significant </w:t>
      </w:r>
      <w:r w:rsidRPr="00D6259F">
        <w:rPr>
          <w:color w:val="000000" w:themeColor="text1"/>
        </w:rPr>
        <w:t>increase in the value of non-cancellable operating lease</w:t>
      </w:r>
      <w:r w:rsidR="001877CF" w:rsidRPr="00D6259F">
        <w:rPr>
          <w:color w:val="000000" w:themeColor="text1"/>
        </w:rPr>
        <w:t xml:space="preserve"> commitment</w:t>
      </w:r>
      <w:r w:rsidRPr="00D6259F">
        <w:rPr>
          <w:color w:val="000000" w:themeColor="text1"/>
        </w:rPr>
        <w:t xml:space="preserve">s is driven from new </w:t>
      </w:r>
      <w:r w:rsidR="001877CF" w:rsidRPr="00D6259F">
        <w:rPr>
          <w:color w:val="000000" w:themeColor="text1"/>
        </w:rPr>
        <w:t xml:space="preserve">property </w:t>
      </w:r>
      <w:r w:rsidRPr="00D6259F">
        <w:rPr>
          <w:color w:val="000000" w:themeColor="text1"/>
        </w:rPr>
        <w:t>lease</w:t>
      </w:r>
      <w:r w:rsidR="001877CF" w:rsidRPr="00D6259F">
        <w:rPr>
          <w:color w:val="000000" w:themeColor="text1"/>
        </w:rPr>
        <w:t xml:space="preserve"> agreement</w:t>
      </w:r>
      <w:r w:rsidRPr="00D6259F">
        <w:rPr>
          <w:color w:val="000000" w:themeColor="text1"/>
        </w:rPr>
        <w:t xml:space="preserve">s </w:t>
      </w:r>
      <w:r w:rsidR="00356CB4" w:rsidRPr="00D6259F">
        <w:rPr>
          <w:color w:val="000000" w:themeColor="text1"/>
        </w:rPr>
        <w:t xml:space="preserve">for </w:t>
      </w:r>
      <w:r w:rsidR="00CD0EBB" w:rsidRPr="00D6259F">
        <w:rPr>
          <w:color w:val="000000" w:themeColor="text1"/>
        </w:rPr>
        <w:t xml:space="preserve">the </w:t>
      </w:r>
      <w:r w:rsidR="00356CB4" w:rsidRPr="00D6259F">
        <w:rPr>
          <w:color w:val="000000" w:themeColor="text1"/>
        </w:rPr>
        <w:t>Te K</w:t>
      </w:r>
      <w:r w:rsidR="00CD0EBB" w:rsidRPr="00D6259F">
        <w:rPr>
          <w:color w:val="000000" w:themeColor="text1"/>
        </w:rPr>
        <w:t>ā</w:t>
      </w:r>
      <w:r w:rsidR="00356CB4" w:rsidRPr="00D6259F">
        <w:rPr>
          <w:color w:val="000000" w:themeColor="text1"/>
        </w:rPr>
        <w:t xml:space="preserve">inga </w:t>
      </w:r>
      <w:r w:rsidR="00CD0EBB" w:rsidRPr="00D6259F">
        <w:rPr>
          <w:color w:val="000000" w:themeColor="text1"/>
        </w:rPr>
        <w:t xml:space="preserve">affordable rental programme </w:t>
      </w:r>
      <w:r w:rsidR="00356CB4" w:rsidRPr="00D6259F">
        <w:rPr>
          <w:color w:val="000000" w:themeColor="text1"/>
        </w:rPr>
        <w:t xml:space="preserve">and </w:t>
      </w:r>
      <w:r w:rsidR="001877CF" w:rsidRPr="00D6259F">
        <w:rPr>
          <w:color w:val="000000" w:themeColor="text1"/>
        </w:rPr>
        <w:t xml:space="preserve">the </w:t>
      </w:r>
      <w:r w:rsidR="00356CB4" w:rsidRPr="00D6259F">
        <w:rPr>
          <w:color w:val="000000" w:themeColor="text1"/>
        </w:rPr>
        <w:t xml:space="preserve">Council </w:t>
      </w:r>
      <w:r w:rsidR="001877CF" w:rsidRPr="00D6259F">
        <w:rPr>
          <w:color w:val="000000" w:themeColor="text1"/>
        </w:rPr>
        <w:t>h</w:t>
      </w:r>
      <w:r w:rsidR="00356CB4" w:rsidRPr="00D6259F">
        <w:rPr>
          <w:color w:val="000000" w:themeColor="text1"/>
        </w:rPr>
        <w:t xml:space="preserve">ead </w:t>
      </w:r>
      <w:r w:rsidR="00723F2B" w:rsidRPr="00D6259F">
        <w:rPr>
          <w:color w:val="000000" w:themeColor="text1"/>
        </w:rPr>
        <w:t>o</w:t>
      </w:r>
      <w:r w:rsidR="00356CB4" w:rsidRPr="00D6259F">
        <w:rPr>
          <w:color w:val="000000" w:themeColor="text1"/>
        </w:rPr>
        <w:t xml:space="preserve">ffice.  </w:t>
      </w:r>
      <w:r w:rsidRPr="00D6259F">
        <w:rPr>
          <w:color w:val="000000" w:themeColor="text1"/>
        </w:rPr>
        <w:t xml:space="preserve"> </w:t>
      </w:r>
    </w:p>
    <w:p w14:paraId="3EFB6F9B" w14:textId="2434A595" w:rsidR="00D422B1" w:rsidRPr="00D6259F" w:rsidRDefault="00D422B1" w:rsidP="00583DF2">
      <w:pPr>
        <w:pStyle w:val="Heading3"/>
      </w:pPr>
      <w:r w:rsidRPr="00D6259F">
        <w:t>Relevant significant accounting policies</w:t>
      </w:r>
      <w:bookmarkEnd w:id="210"/>
    </w:p>
    <w:p w14:paraId="4EF571DD" w14:textId="065DBA2F" w:rsidR="00D422B1" w:rsidRPr="00D6259F" w:rsidRDefault="00D422B1" w:rsidP="007C7248">
      <w:pPr>
        <w:rPr>
          <w:color w:val="000000" w:themeColor="text1"/>
        </w:rPr>
      </w:pPr>
      <w:r w:rsidRPr="00D6259F">
        <w:rPr>
          <w:color w:val="000000" w:themeColor="text1"/>
        </w:rPr>
        <w:t xml:space="preserve">Leases where the lessor retains substantially all the risks and rewards of ownership of the leased items are classified as operating leases. Payments made under operating leases </w:t>
      </w:r>
      <w:r w:rsidR="00452E49" w:rsidRPr="00D6259F">
        <w:rPr>
          <w:color w:val="000000" w:themeColor="text1"/>
        </w:rPr>
        <w:t xml:space="preserve">(net of any lease incentives) </w:t>
      </w:r>
      <w:r w:rsidRPr="00D6259F">
        <w:rPr>
          <w:color w:val="000000" w:themeColor="text1"/>
        </w:rPr>
        <w:t xml:space="preserve">are recognised </w:t>
      </w:r>
      <w:r w:rsidR="00452E49" w:rsidRPr="00D6259F">
        <w:rPr>
          <w:color w:val="000000" w:themeColor="text1"/>
        </w:rPr>
        <w:t xml:space="preserve">on a straight-line basis </w:t>
      </w:r>
      <w:r w:rsidRPr="00D6259F">
        <w:rPr>
          <w:color w:val="000000" w:themeColor="text1"/>
        </w:rPr>
        <w:t>over the term of the lease.</w:t>
      </w:r>
    </w:p>
    <w:p w14:paraId="3D80BC57" w14:textId="3A20F374" w:rsidR="00D422B1" w:rsidRPr="00D6259F" w:rsidRDefault="00FA380A" w:rsidP="007C7248">
      <w:pPr>
        <w:pStyle w:val="Heading5"/>
        <w:rPr>
          <w:color w:val="000000" w:themeColor="text1"/>
        </w:rPr>
      </w:pPr>
      <w:r w:rsidRPr="00D6259F">
        <w:rPr>
          <w:color w:val="000000" w:themeColor="text1"/>
        </w:rPr>
        <w:t>Council and</w:t>
      </w:r>
      <w:r w:rsidR="006020F7" w:rsidRPr="00D6259F">
        <w:rPr>
          <w:color w:val="000000" w:themeColor="text1"/>
        </w:rPr>
        <w:t xml:space="preserve"> Group</w:t>
      </w:r>
      <w:r w:rsidR="00D422B1" w:rsidRPr="00D6259F">
        <w:rPr>
          <w:color w:val="000000" w:themeColor="text1"/>
        </w:rPr>
        <w:t xml:space="preserve"> as lessor</w:t>
      </w:r>
    </w:p>
    <w:p w14:paraId="0EC61C7E" w14:textId="3922D41F" w:rsidR="00D422B1" w:rsidRPr="00D6259F" w:rsidRDefault="00D422B1" w:rsidP="007C7248">
      <w:pPr>
        <w:rPr>
          <w:color w:val="000000" w:themeColor="text1"/>
        </w:rPr>
      </w:pPr>
      <w:r w:rsidRPr="00D6259F">
        <w:rPr>
          <w:color w:val="000000" w:themeColor="text1"/>
        </w:rPr>
        <w:t>The</w:t>
      </w:r>
      <w:r w:rsidR="006020F7" w:rsidRPr="00D6259F">
        <w:rPr>
          <w:color w:val="000000" w:themeColor="text1"/>
        </w:rPr>
        <w:t xml:space="preserve"> </w:t>
      </w:r>
      <w:r w:rsidR="00FA380A" w:rsidRPr="00D6259F">
        <w:rPr>
          <w:color w:val="000000" w:themeColor="text1"/>
        </w:rPr>
        <w:t xml:space="preserve">Council and </w:t>
      </w:r>
      <w:r w:rsidR="006020F7" w:rsidRPr="00D6259F">
        <w:rPr>
          <w:color w:val="000000" w:themeColor="text1"/>
        </w:rPr>
        <w:t>Group</w:t>
      </w:r>
      <w:r w:rsidRPr="00D6259F">
        <w:rPr>
          <w:color w:val="000000" w:themeColor="text1"/>
        </w:rPr>
        <w:t xml:space="preserve"> has </w:t>
      </w:r>
      <w:proofErr w:type="gramStart"/>
      <w:r w:rsidRPr="00D6259F">
        <w:rPr>
          <w:color w:val="000000" w:themeColor="text1"/>
        </w:rPr>
        <w:t>entered into</w:t>
      </w:r>
      <w:proofErr w:type="gramEnd"/>
      <w:r w:rsidRPr="00D6259F">
        <w:rPr>
          <w:color w:val="000000" w:themeColor="text1"/>
        </w:rPr>
        <w:t xml:space="preserve"> commercial property leases of its investment property portfolio and </w:t>
      </w:r>
      <w:r w:rsidR="001877CF" w:rsidRPr="00D6259F">
        <w:rPr>
          <w:color w:val="000000" w:themeColor="text1"/>
        </w:rPr>
        <w:t>operational</w:t>
      </w:r>
      <w:r w:rsidRPr="00D6259F">
        <w:rPr>
          <w:color w:val="000000" w:themeColor="text1"/>
        </w:rPr>
        <w:t xml:space="preserve"> land and buildings. </w:t>
      </w:r>
    </w:p>
    <w:p w14:paraId="6E33ED0C" w14:textId="70FC2DCA" w:rsidR="001877CF" w:rsidRPr="00D6259F" w:rsidRDefault="001877CF" w:rsidP="001877CF">
      <w:pPr>
        <w:pStyle w:val="Heading4"/>
        <w:rPr>
          <w:sz w:val="26"/>
          <w:szCs w:val="26"/>
        </w:rPr>
      </w:pPr>
      <w:r w:rsidRPr="00D6259F">
        <w:rPr>
          <w:sz w:val="26"/>
          <w:szCs w:val="26"/>
        </w:rPr>
        <w:t>Investment properties</w:t>
      </w:r>
    </w:p>
    <w:p w14:paraId="613FBACE" w14:textId="77777777" w:rsidR="00D422B1" w:rsidRPr="00D6259F" w:rsidRDefault="00D422B1" w:rsidP="007C7248">
      <w:pPr>
        <w:rPr>
          <w:color w:val="000000" w:themeColor="text1"/>
        </w:rPr>
      </w:pPr>
      <w:r w:rsidRPr="00D6259F">
        <w:rPr>
          <w:color w:val="000000" w:themeColor="text1"/>
        </w:rPr>
        <w:t xml:space="preserve">The land and buildings held for investment purposes are properties which are not held for operational purposes and are leased to external parties. </w:t>
      </w:r>
    </w:p>
    <w:p w14:paraId="64EE510B" w14:textId="5EC07CFD" w:rsidR="00D422B1" w:rsidRPr="00D6259F" w:rsidRDefault="00D422B1" w:rsidP="007C7248">
      <w:pPr>
        <w:rPr>
          <w:color w:val="000000" w:themeColor="text1"/>
        </w:rPr>
      </w:pPr>
      <w:r w:rsidRPr="00D6259F">
        <w:rPr>
          <w:color w:val="000000" w:themeColor="text1"/>
        </w:rPr>
        <w:t xml:space="preserve">Ground leases </w:t>
      </w:r>
      <w:r w:rsidR="00490727" w:rsidRPr="00D6259F">
        <w:rPr>
          <w:color w:val="000000" w:themeColor="text1"/>
        </w:rPr>
        <w:t xml:space="preserve">(included within investment properties) </w:t>
      </w:r>
      <w:r w:rsidRPr="00D6259F">
        <w:rPr>
          <w:color w:val="000000" w:themeColor="text1"/>
        </w:rPr>
        <w:t>are parcels of land owned by the</w:t>
      </w:r>
      <w:r w:rsidR="006020F7" w:rsidRPr="00D6259F">
        <w:rPr>
          <w:color w:val="000000" w:themeColor="text1"/>
        </w:rPr>
        <w:t xml:space="preserve"> Group</w:t>
      </w:r>
      <w:r w:rsidRPr="00D6259F">
        <w:rPr>
          <w:color w:val="000000" w:themeColor="text1"/>
        </w:rPr>
        <w:t xml:space="preserve"> in the central city or on the </w:t>
      </w:r>
      <w:r w:rsidR="00CD0EBB" w:rsidRPr="00D6259F">
        <w:rPr>
          <w:color w:val="000000" w:themeColor="text1"/>
        </w:rPr>
        <w:t xml:space="preserve">Wellington </w:t>
      </w:r>
      <w:r w:rsidRPr="00D6259F">
        <w:rPr>
          <w:color w:val="000000" w:themeColor="text1"/>
        </w:rPr>
        <w:t>waterfront that are leased to other parties who own the buildings situated on the land. The leases are generally based on 21-year perpetually renewable terms. As these parcels of land are held for investment purposes the leases are charged on a commercial market basis.</w:t>
      </w:r>
    </w:p>
    <w:p w14:paraId="5F94D077" w14:textId="5F0AD92D" w:rsidR="001877CF" w:rsidRPr="00D6259F" w:rsidRDefault="001877CF" w:rsidP="001877CF">
      <w:pPr>
        <w:pStyle w:val="Heading4"/>
        <w:rPr>
          <w:sz w:val="26"/>
          <w:szCs w:val="26"/>
        </w:rPr>
      </w:pPr>
      <w:r w:rsidRPr="00D6259F">
        <w:rPr>
          <w:sz w:val="26"/>
          <w:szCs w:val="26"/>
        </w:rPr>
        <w:t>Operational land and buildings</w:t>
      </w:r>
    </w:p>
    <w:p w14:paraId="25A7F587" w14:textId="233C4EA3" w:rsidR="00D422B1" w:rsidRPr="00D6259F" w:rsidRDefault="00D422B1" w:rsidP="007C7248">
      <w:pPr>
        <w:rPr>
          <w:color w:val="000000" w:themeColor="text1"/>
        </w:rPr>
      </w:pPr>
      <w:r w:rsidRPr="00D6259F">
        <w:rPr>
          <w:color w:val="000000" w:themeColor="text1"/>
        </w:rPr>
        <w:t>The land and buildings not held for investment purposes are either used to accommodate the</w:t>
      </w:r>
      <w:r w:rsidR="006020F7" w:rsidRPr="00D6259F">
        <w:rPr>
          <w:color w:val="000000" w:themeColor="text1"/>
        </w:rPr>
        <w:t xml:space="preserve"> Group</w:t>
      </w:r>
      <w:r w:rsidRPr="00D6259F">
        <w:rPr>
          <w:color w:val="000000" w:themeColor="text1"/>
        </w:rPr>
        <w:t xml:space="preserve">’s operational activities or are held for purposes such as road widening, heritage, </w:t>
      </w:r>
      <w:r w:rsidR="00356CB4" w:rsidRPr="00D6259F">
        <w:rPr>
          <w:color w:val="000000" w:themeColor="text1"/>
        </w:rPr>
        <w:t xml:space="preserve">social housing </w:t>
      </w:r>
      <w:r w:rsidRPr="00D6259F">
        <w:rPr>
          <w:color w:val="000000" w:themeColor="text1"/>
        </w:rPr>
        <w:t xml:space="preserve">or are being monitored for compliance reasons. In some cases, parts of these assets are leased to external parties on a commercial basis. The terms of these commercial leases generally range from 1 to </w:t>
      </w:r>
      <w:r w:rsidR="00356CB4" w:rsidRPr="00D6259F">
        <w:rPr>
          <w:color w:val="000000" w:themeColor="text1"/>
        </w:rPr>
        <w:t>21</w:t>
      </w:r>
      <w:r w:rsidRPr="00D6259F">
        <w:rPr>
          <w:color w:val="000000" w:themeColor="text1"/>
        </w:rPr>
        <w:t xml:space="preserve"> years</w:t>
      </w:r>
      <w:r w:rsidR="00E34D49" w:rsidRPr="00D6259F">
        <w:rPr>
          <w:color w:val="000000" w:themeColor="text1"/>
        </w:rPr>
        <w:t xml:space="preserve"> although a new 35-year lease was signed during the year with Te Toi </w:t>
      </w:r>
      <w:proofErr w:type="spellStart"/>
      <w:r w:rsidR="00E34D49" w:rsidRPr="00D6259F">
        <w:rPr>
          <w:color w:val="000000" w:themeColor="text1"/>
        </w:rPr>
        <w:t>Mahana</w:t>
      </w:r>
      <w:proofErr w:type="spellEnd"/>
      <w:r w:rsidR="00E34D49" w:rsidRPr="00D6259F">
        <w:rPr>
          <w:color w:val="000000" w:themeColor="text1"/>
        </w:rPr>
        <w:t xml:space="preserve">. </w:t>
      </w:r>
    </w:p>
    <w:p w14:paraId="476D3C81" w14:textId="4248F79A" w:rsidR="00E34D49" w:rsidRPr="00D6259F" w:rsidRDefault="00D422B1" w:rsidP="00E34D49">
      <w:pPr>
        <w:rPr>
          <w:color w:val="000000" w:themeColor="text1"/>
        </w:rPr>
      </w:pPr>
      <w:r w:rsidRPr="00D6259F">
        <w:rPr>
          <w:color w:val="000000" w:themeColor="text1"/>
        </w:rPr>
        <w:t xml:space="preserve">The committed revenues expected from these lease portfolios are analysed as </w:t>
      </w:r>
      <w:r w:rsidR="0088157A" w:rsidRPr="00D6259F">
        <w:rPr>
          <w:color w:val="000000" w:themeColor="text1"/>
        </w:rPr>
        <w:t>shown</w:t>
      </w:r>
      <w:r w:rsidRPr="00D6259F">
        <w:rPr>
          <w:color w:val="000000" w:themeColor="text1"/>
        </w:rPr>
        <w:t xml:space="preserve"> in </w:t>
      </w:r>
      <w:r w:rsidRPr="00D6259F">
        <w:rPr>
          <w:i/>
          <w:color w:val="000000" w:themeColor="text1"/>
        </w:rPr>
        <w:t>Table</w:t>
      </w:r>
      <w:r w:rsidR="0007007B" w:rsidRPr="00D6259F">
        <w:rPr>
          <w:i/>
          <w:color w:val="000000" w:themeColor="text1"/>
        </w:rPr>
        <w:t xml:space="preserve"> </w:t>
      </w:r>
      <w:r w:rsidR="008B0E35" w:rsidRPr="00D6259F">
        <w:rPr>
          <w:i/>
          <w:color w:val="000000" w:themeColor="text1"/>
        </w:rPr>
        <w:t>84</w:t>
      </w:r>
      <w:r w:rsidR="0088157A" w:rsidRPr="00D6259F">
        <w:rPr>
          <w:i/>
          <w:color w:val="000000" w:themeColor="text1"/>
        </w:rPr>
        <w:t>.</w:t>
      </w:r>
      <w:r w:rsidR="00E34D49" w:rsidRPr="00D6259F">
        <w:rPr>
          <w:i/>
          <w:color w:val="000000" w:themeColor="text1"/>
        </w:rPr>
        <w:t xml:space="preserve"> </w:t>
      </w:r>
      <w:r w:rsidR="00E34D49" w:rsidRPr="00D6259F">
        <w:rPr>
          <w:color w:val="000000" w:themeColor="text1"/>
        </w:rPr>
        <w:t xml:space="preserve">Since the Te Toi </w:t>
      </w:r>
      <w:proofErr w:type="spellStart"/>
      <w:r w:rsidR="00E34D49" w:rsidRPr="00D6259F">
        <w:rPr>
          <w:color w:val="000000" w:themeColor="text1"/>
        </w:rPr>
        <w:t>Mahana</w:t>
      </w:r>
      <w:proofErr w:type="spellEnd"/>
      <w:r w:rsidR="00E34D49" w:rsidRPr="00D6259F">
        <w:rPr>
          <w:color w:val="000000" w:themeColor="text1"/>
        </w:rPr>
        <w:t xml:space="preserve"> lease can be cancelled with 5 years notice, only 5 years of committed revenue is shown.</w:t>
      </w:r>
    </w:p>
    <w:p w14:paraId="05585A37" w14:textId="7ABC16A1" w:rsidR="00D422B1" w:rsidRPr="00D6259F" w:rsidRDefault="000F20D8" w:rsidP="007C7248">
      <w:pPr>
        <w:rPr>
          <w:noProof/>
          <w:color w:val="000000" w:themeColor="text1"/>
        </w:rPr>
      </w:pPr>
      <w:r w:rsidRPr="00D6259F">
        <w:rPr>
          <w:noProof/>
          <w:color w:val="000000" w:themeColor="text1"/>
        </w:rPr>
        <w:object w:dxaOrig="10530" w:dyaOrig="4740" w14:anchorId="1F78086B">
          <v:shape id="_x0000_i1119" type="#_x0000_t75" style="width:487pt;height:246pt" o:ole="">
            <v:imagedata r:id="rId200" o:title=""/>
          </v:shape>
          <o:OLEObject Type="Link" ProgID="Excel.Sheet.12" ShapeID="_x0000_i1119" DrawAspect="Content" r:id="rId201" UpdateMode="Always">
            <o:LinkType>EnhancedMetaFile</o:LinkType>
            <o:LockedField>false</o:LockedField>
          </o:OLEObject>
        </w:object>
      </w:r>
    </w:p>
    <w:p w14:paraId="2016E223" w14:textId="77777777" w:rsidR="00490727" w:rsidRPr="00D6259F" w:rsidRDefault="00490727" w:rsidP="00490727">
      <w:pPr>
        <w:pStyle w:val="Heading3"/>
      </w:pPr>
      <w:r w:rsidRPr="00D6259F">
        <w:lastRenderedPageBreak/>
        <w:t>Relevant significant accounting policies</w:t>
      </w:r>
    </w:p>
    <w:p w14:paraId="28EE23CB" w14:textId="77777777" w:rsidR="00490727" w:rsidRPr="00D6259F" w:rsidRDefault="00490727" w:rsidP="00490727">
      <w:pPr>
        <w:rPr>
          <w:color w:val="000000" w:themeColor="text1"/>
        </w:rPr>
      </w:pPr>
      <w:r w:rsidRPr="00D6259F">
        <w:rPr>
          <w:color w:val="000000" w:themeColor="text1"/>
        </w:rPr>
        <w:t>Rental revenue (net of any incentives given to lessees) is recognised on a straight-line basis over the lease term.</w:t>
      </w:r>
    </w:p>
    <w:p w14:paraId="652D69EE" w14:textId="77777777" w:rsidR="00D422B1" w:rsidRPr="00D6259F" w:rsidRDefault="00D422B1" w:rsidP="00583DF2">
      <w:pPr>
        <w:pStyle w:val="Heading2"/>
      </w:pPr>
      <w:bookmarkStart w:id="211" w:name="_Toc55482683"/>
      <w:bookmarkStart w:id="212" w:name="_Toc179890326"/>
      <w:bookmarkStart w:id="213" w:name="_Hlk146526811"/>
      <w:r w:rsidRPr="00D6259F">
        <w:t>Note 3</w:t>
      </w:r>
      <w:r w:rsidR="00531B5F" w:rsidRPr="00D6259F">
        <w:t>5</w:t>
      </w:r>
      <w:r w:rsidRPr="00D6259F">
        <w:t>: Contingencies</w:t>
      </w:r>
      <w:bookmarkEnd w:id="211"/>
      <w:bookmarkEnd w:id="212"/>
    </w:p>
    <w:p w14:paraId="1A45B7C4" w14:textId="646A34C1" w:rsidR="00D422B1" w:rsidRPr="00D6259F" w:rsidRDefault="000F20D8" w:rsidP="007C7248">
      <w:pPr>
        <w:rPr>
          <w:color w:val="000000" w:themeColor="text1"/>
        </w:rPr>
      </w:pPr>
      <w:r w:rsidRPr="00D6259F">
        <w:rPr>
          <w:noProof/>
          <w:color w:val="000000" w:themeColor="text1"/>
        </w:rPr>
        <w:object w:dxaOrig="10530" w:dyaOrig="2415" w14:anchorId="5EEC2758">
          <v:shape id="_x0000_i1120" type="#_x0000_t75" style="width:490pt;height:117pt" o:ole="">
            <v:imagedata r:id="rId202" o:title=""/>
          </v:shape>
          <o:OLEObject Type="Link" ProgID="Excel.Sheet.12" ShapeID="_x0000_i1120" DrawAspect="Content" r:id="rId203" UpdateMode="Always">
            <o:LinkType>EnhancedMetaFile</o:LinkType>
            <o:LockedField>false</o:LockedField>
          </o:OLEObject>
        </w:object>
      </w:r>
    </w:p>
    <w:p w14:paraId="7FA787AE" w14:textId="75863092" w:rsidR="00D422B1" w:rsidRPr="00D6259F" w:rsidRDefault="00D422B1" w:rsidP="00583DF2">
      <w:pPr>
        <w:pStyle w:val="Heading3"/>
      </w:pPr>
      <w:bookmarkStart w:id="214" w:name="_Toc121217182"/>
      <w:bookmarkStart w:id="215" w:name="_Hlk148645089"/>
      <w:r w:rsidRPr="00D6259F">
        <w:t>Local Government Funding Agency Limited (LGFA)</w:t>
      </w:r>
      <w:bookmarkEnd w:id="214"/>
    </w:p>
    <w:p w14:paraId="590D283A" w14:textId="1556DE6C" w:rsidR="00D422B1" w:rsidRPr="00D6259F" w:rsidRDefault="005D3B14" w:rsidP="007C7248">
      <w:pPr>
        <w:rPr>
          <w:color w:val="000000" w:themeColor="text1"/>
        </w:rPr>
      </w:pPr>
      <w:r w:rsidRPr="00D6259F">
        <w:rPr>
          <w:color w:val="000000" w:themeColor="text1"/>
        </w:rPr>
        <w:t xml:space="preserve">The </w:t>
      </w:r>
      <w:r w:rsidR="00D422B1" w:rsidRPr="00D6259F">
        <w:rPr>
          <w:color w:val="000000" w:themeColor="text1"/>
        </w:rPr>
        <w:t xml:space="preserve">Council is one of </w:t>
      </w:r>
      <w:r w:rsidR="00ED1ED9" w:rsidRPr="00D6259F">
        <w:rPr>
          <w:color w:val="000000" w:themeColor="text1"/>
        </w:rPr>
        <w:t>3</w:t>
      </w:r>
      <w:r w:rsidR="00813A5B" w:rsidRPr="00D6259F">
        <w:rPr>
          <w:color w:val="000000" w:themeColor="text1"/>
        </w:rPr>
        <w:t xml:space="preserve">1 </w:t>
      </w:r>
      <w:r w:rsidR="00D422B1" w:rsidRPr="00D6259F">
        <w:rPr>
          <w:color w:val="000000" w:themeColor="text1"/>
        </w:rPr>
        <w:t>shareholder</w:t>
      </w:r>
      <w:r w:rsidR="00813A5B" w:rsidRPr="00D6259F">
        <w:rPr>
          <w:color w:val="000000" w:themeColor="text1"/>
        </w:rPr>
        <w:t xml:space="preserve">s </w:t>
      </w:r>
      <w:r w:rsidR="00D422B1" w:rsidRPr="00D6259F">
        <w:rPr>
          <w:color w:val="000000" w:themeColor="text1"/>
        </w:rPr>
        <w:t>of the LGFA</w:t>
      </w:r>
      <w:r w:rsidR="009A7AA9" w:rsidRPr="00D6259F">
        <w:rPr>
          <w:color w:val="000000" w:themeColor="text1"/>
        </w:rPr>
        <w:t xml:space="preserve">. </w:t>
      </w:r>
      <w:r w:rsidR="00D422B1" w:rsidRPr="00D6259F">
        <w:rPr>
          <w:color w:val="000000" w:themeColor="text1"/>
        </w:rPr>
        <w:t>Any non-shareholder council that borrows in aggregate $20</w:t>
      </w:r>
      <w:r w:rsidR="00654D32" w:rsidRPr="00D6259F">
        <w:rPr>
          <w:color w:val="000000" w:themeColor="text1"/>
        </w:rPr>
        <w:t>.0</w:t>
      </w:r>
      <w:r w:rsidR="00D422B1" w:rsidRPr="00D6259F">
        <w:rPr>
          <w:color w:val="000000" w:themeColor="text1"/>
        </w:rPr>
        <w:t xml:space="preserve">m or more from LGFA must </w:t>
      </w:r>
      <w:r w:rsidR="00813A5B" w:rsidRPr="00D6259F">
        <w:rPr>
          <w:color w:val="000000" w:themeColor="text1"/>
        </w:rPr>
        <w:t xml:space="preserve">also </w:t>
      </w:r>
      <w:r w:rsidR="00D422B1" w:rsidRPr="00D6259F">
        <w:rPr>
          <w:color w:val="000000" w:themeColor="text1"/>
        </w:rPr>
        <w:t xml:space="preserve">be a guarantor. </w:t>
      </w:r>
      <w:r w:rsidR="0081633C" w:rsidRPr="00D6259F">
        <w:rPr>
          <w:color w:val="000000" w:themeColor="text1"/>
        </w:rPr>
        <w:t xml:space="preserve">There are </w:t>
      </w:r>
      <w:r w:rsidR="00997E47" w:rsidRPr="00D6259F">
        <w:rPr>
          <w:color w:val="000000" w:themeColor="text1"/>
        </w:rPr>
        <w:t>7</w:t>
      </w:r>
      <w:r w:rsidR="00A730A8" w:rsidRPr="00D6259F">
        <w:rPr>
          <w:color w:val="000000" w:themeColor="text1"/>
        </w:rPr>
        <w:t>2</w:t>
      </w:r>
      <w:r w:rsidR="009E6DFC" w:rsidRPr="00D6259F">
        <w:rPr>
          <w:color w:val="000000" w:themeColor="text1"/>
        </w:rPr>
        <w:t xml:space="preserve"> </w:t>
      </w:r>
      <w:r w:rsidR="0081633C" w:rsidRPr="00D6259F">
        <w:rPr>
          <w:color w:val="000000" w:themeColor="text1"/>
        </w:rPr>
        <w:t>guarant</w:t>
      </w:r>
      <w:r w:rsidR="00ED1ED9" w:rsidRPr="00D6259F">
        <w:rPr>
          <w:color w:val="000000" w:themeColor="text1"/>
        </w:rPr>
        <w:t>or</w:t>
      </w:r>
      <w:r w:rsidR="00813A5B" w:rsidRPr="00D6259F">
        <w:rPr>
          <w:color w:val="000000" w:themeColor="text1"/>
        </w:rPr>
        <w:t>s</w:t>
      </w:r>
      <w:r w:rsidR="00ED1ED9" w:rsidRPr="00D6259F">
        <w:rPr>
          <w:color w:val="000000" w:themeColor="text1"/>
        </w:rPr>
        <w:t xml:space="preserve"> </w:t>
      </w:r>
      <w:r w:rsidR="00322F72" w:rsidRPr="00D6259F">
        <w:rPr>
          <w:color w:val="000000" w:themeColor="text1"/>
        </w:rPr>
        <w:t>in total.</w:t>
      </w:r>
      <w:r w:rsidR="00D422B1" w:rsidRPr="00D6259F">
        <w:rPr>
          <w:color w:val="000000" w:themeColor="text1"/>
        </w:rPr>
        <w:t xml:space="preserve"> In this regard </w:t>
      </w:r>
      <w:r w:rsidR="002E3EF1" w:rsidRPr="00D6259F">
        <w:rPr>
          <w:color w:val="000000" w:themeColor="text1"/>
        </w:rPr>
        <w:t>the</w:t>
      </w:r>
      <w:r w:rsidR="00D422B1" w:rsidRPr="00D6259F">
        <w:rPr>
          <w:color w:val="000000" w:themeColor="text1"/>
        </w:rPr>
        <w:t xml:space="preserve"> Council has uncalled capital of $1.</w:t>
      </w:r>
      <w:r w:rsidR="00D803C9" w:rsidRPr="00D6259F">
        <w:rPr>
          <w:color w:val="000000" w:themeColor="text1"/>
        </w:rPr>
        <w:t>9</w:t>
      </w:r>
      <w:r w:rsidR="00D422B1" w:rsidRPr="00D6259F">
        <w:rPr>
          <w:color w:val="000000" w:themeColor="text1"/>
        </w:rPr>
        <w:t>m. When aggregated with the uncalled capital of other shareholders, $20</w:t>
      </w:r>
      <w:r w:rsidR="00654D32" w:rsidRPr="00D6259F">
        <w:rPr>
          <w:color w:val="000000" w:themeColor="text1"/>
        </w:rPr>
        <w:t>.0</w:t>
      </w:r>
      <w:r w:rsidR="00D422B1" w:rsidRPr="00D6259F">
        <w:rPr>
          <w:color w:val="000000" w:themeColor="text1"/>
        </w:rPr>
        <w:t xml:space="preserve">m is available </w:t>
      </w:r>
      <w:r w:rsidR="00C977C9" w:rsidRPr="00D6259F">
        <w:rPr>
          <w:color w:val="000000" w:themeColor="text1"/>
        </w:rPr>
        <w:t>if</w:t>
      </w:r>
      <w:r w:rsidR="00D422B1" w:rsidRPr="00D6259F">
        <w:rPr>
          <w:color w:val="000000" w:themeColor="text1"/>
        </w:rPr>
        <w:t xml:space="preserve"> an imminent default is identified. Also, together with the other shareholders and guarantors, </w:t>
      </w:r>
      <w:r w:rsidR="002E3EF1" w:rsidRPr="00D6259F">
        <w:rPr>
          <w:color w:val="000000" w:themeColor="text1"/>
        </w:rPr>
        <w:t xml:space="preserve">the </w:t>
      </w:r>
      <w:r w:rsidR="00D422B1" w:rsidRPr="00D6259F">
        <w:rPr>
          <w:color w:val="000000" w:themeColor="text1"/>
        </w:rPr>
        <w:t xml:space="preserve">Council is a guarantor of </w:t>
      </w:r>
      <w:r w:rsidR="00C977C9" w:rsidRPr="00D6259F">
        <w:rPr>
          <w:color w:val="000000" w:themeColor="text1"/>
        </w:rPr>
        <w:t>all</w:t>
      </w:r>
      <w:r w:rsidR="00D422B1" w:rsidRPr="00D6259F">
        <w:rPr>
          <w:color w:val="000000" w:themeColor="text1"/>
        </w:rPr>
        <w:t xml:space="preserve"> LGFA’s borrowings. A</w:t>
      </w:r>
      <w:r w:rsidR="005D6054" w:rsidRPr="00D6259F">
        <w:rPr>
          <w:color w:val="000000" w:themeColor="text1"/>
        </w:rPr>
        <w:t xml:space="preserve">s </w:t>
      </w:r>
      <w:proofErr w:type="gramStart"/>
      <w:r w:rsidR="005D6054" w:rsidRPr="00D6259F">
        <w:rPr>
          <w:color w:val="000000" w:themeColor="text1"/>
        </w:rPr>
        <w:t>at</w:t>
      </w:r>
      <w:proofErr w:type="gramEnd"/>
      <w:r w:rsidR="00D422B1" w:rsidRPr="00D6259F">
        <w:rPr>
          <w:color w:val="000000" w:themeColor="text1"/>
        </w:rPr>
        <w:t xml:space="preserve"> 30 June 202</w:t>
      </w:r>
      <w:r w:rsidR="00BE0657" w:rsidRPr="00D6259F">
        <w:rPr>
          <w:color w:val="000000" w:themeColor="text1"/>
        </w:rPr>
        <w:t>4</w:t>
      </w:r>
      <w:r w:rsidR="00D422B1" w:rsidRPr="00D6259F">
        <w:rPr>
          <w:color w:val="000000" w:themeColor="text1"/>
        </w:rPr>
        <w:t xml:space="preserve">, LGFA had borrowings totalling </w:t>
      </w:r>
      <w:r w:rsidR="00D5573D" w:rsidRPr="00D6259F">
        <w:rPr>
          <w:color w:val="000000" w:themeColor="text1"/>
        </w:rPr>
        <w:t>$23.0</w:t>
      </w:r>
      <w:r w:rsidR="00E36FD6" w:rsidRPr="00D6259F">
        <w:rPr>
          <w:color w:val="000000" w:themeColor="text1"/>
        </w:rPr>
        <w:t>b</w:t>
      </w:r>
      <w:r w:rsidR="00D422B1" w:rsidRPr="00D6259F">
        <w:rPr>
          <w:color w:val="000000" w:themeColor="text1"/>
        </w:rPr>
        <w:t xml:space="preserve"> (20</w:t>
      </w:r>
      <w:r w:rsidR="0080041E" w:rsidRPr="00D6259F">
        <w:rPr>
          <w:color w:val="000000" w:themeColor="text1"/>
        </w:rPr>
        <w:t>2</w:t>
      </w:r>
      <w:r w:rsidR="00BE0657" w:rsidRPr="00D6259F">
        <w:rPr>
          <w:color w:val="000000" w:themeColor="text1"/>
        </w:rPr>
        <w:t>3</w:t>
      </w:r>
      <w:r w:rsidR="00D422B1" w:rsidRPr="00D6259F">
        <w:rPr>
          <w:color w:val="000000" w:themeColor="text1"/>
        </w:rPr>
        <w:t>: $</w:t>
      </w:r>
      <w:r w:rsidR="00BE0657" w:rsidRPr="00D6259F">
        <w:rPr>
          <w:color w:val="000000" w:themeColor="text1"/>
        </w:rPr>
        <w:t>17</w:t>
      </w:r>
      <w:r w:rsidR="00D5573D" w:rsidRPr="00D6259F">
        <w:rPr>
          <w:color w:val="000000" w:themeColor="text1"/>
        </w:rPr>
        <w:t>.7</w:t>
      </w:r>
      <w:r w:rsidR="00E36FD6" w:rsidRPr="00D6259F">
        <w:rPr>
          <w:color w:val="000000" w:themeColor="text1"/>
        </w:rPr>
        <w:t>b</w:t>
      </w:r>
      <w:r w:rsidR="00D422B1" w:rsidRPr="00D6259F">
        <w:rPr>
          <w:color w:val="000000" w:themeColor="text1"/>
        </w:rPr>
        <w:t>).</w:t>
      </w:r>
    </w:p>
    <w:p w14:paraId="68CD2963" w14:textId="77777777" w:rsidR="00FB1B6E" w:rsidRPr="00D6259F" w:rsidRDefault="00D422B1" w:rsidP="007C7248">
      <w:pPr>
        <w:rPr>
          <w:color w:val="000000" w:themeColor="text1"/>
        </w:rPr>
      </w:pPr>
      <w:r w:rsidRPr="00D6259F">
        <w:rPr>
          <w:color w:val="000000" w:themeColor="text1"/>
        </w:rPr>
        <w:t xml:space="preserve">Financial reporting standards require </w:t>
      </w:r>
      <w:r w:rsidR="002E3EF1" w:rsidRPr="00D6259F">
        <w:rPr>
          <w:color w:val="000000" w:themeColor="text1"/>
        </w:rPr>
        <w:t>the</w:t>
      </w:r>
      <w:r w:rsidRPr="00D6259F">
        <w:rPr>
          <w:color w:val="000000" w:themeColor="text1"/>
        </w:rPr>
        <w:t xml:space="preserve"> Council to recognise the </w:t>
      </w:r>
      <w:r w:rsidR="00113D5B" w:rsidRPr="00D6259F">
        <w:rPr>
          <w:color w:val="000000" w:themeColor="text1"/>
        </w:rPr>
        <w:t>guaranteed</w:t>
      </w:r>
      <w:r w:rsidRPr="00D6259F">
        <w:rPr>
          <w:color w:val="000000" w:themeColor="text1"/>
        </w:rPr>
        <w:t xml:space="preserve"> liability at fair value. However, the Council has been unable to determine a sufficiently reliable fair value for the guarantee, and therefore has not recognised a liability. The Council considers the risk of LGFA defaulting on repayment of interest or capital to be very low on the basis</w:t>
      </w:r>
      <w:r w:rsidR="00FB1B6E" w:rsidRPr="00D6259F">
        <w:rPr>
          <w:color w:val="000000" w:themeColor="text1"/>
        </w:rPr>
        <w:t xml:space="preserve">: </w:t>
      </w:r>
    </w:p>
    <w:p w14:paraId="21B99F85" w14:textId="77B1E01B" w:rsidR="00FB1B6E" w:rsidRPr="00D6259F" w:rsidRDefault="00D422B1" w:rsidP="00BB0BEE">
      <w:pPr>
        <w:pStyle w:val="ListParagraph"/>
        <w:numPr>
          <w:ilvl w:val="0"/>
          <w:numId w:val="38"/>
        </w:numPr>
        <w:rPr>
          <w:color w:val="000000" w:themeColor="text1"/>
        </w:rPr>
      </w:pPr>
      <w:r w:rsidRPr="00D6259F">
        <w:rPr>
          <w:color w:val="000000" w:themeColor="text1"/>
        </w:rPr>
        <w:t xml:space="preserve">that we are not aware of any local authority, which is a member of the LGFA, that has had debt default events in New </w:t>
      </w:r>
      <w:r w:rsidR="00CD04F0" w:rsidRPr="00D6259F">
        <w:rPr>
          <w:color w:val="000000" w:themeColor="text1"/>
        </w:rPr>
        <w:t>Zealand</w:t>
      </w:r>
      <w:r w:rsidR="00747252" w:rsidRPr="00D6259F">
        <w:rPr>
          <w:color w:val="000000" w:themeColor="text1"/>
        </w:rPr>
        <w:t>; and</w:t>
      </w:r>
    </w:p>
    <w:p w14:paraId="69298203" w14:textId="7DEF5F6B" w:rsidR="00FB1B6E" w:rsidRPr="00D6259F" w:rsidRDefault="00D422B1" w:rsidP="00BB0BEE">
      <w:pPr>
        <w:pStyle w:val="ListParagraph"/>
        <w:numPr>
          <w:ilvl w:val="0"/>
          <w:numId w:val="38"/>
        </w:numPr>
        <w:rPr>
          <w:color w:val="000000" w:themeColor="text1"/>
        </w:rPr>
      </w:pPr>
      <w:r w:rsidRPr="00D6259F">
        <w:rPr>
          <w:color w:val="000000" w:themeColor="text1"/>
        </w:rPr>
        <w:t xml:space="preserve">local government legislation would enable local authorities to levy a rate to recover sufficient funds to meet any debt obligations if further funds were required. </w:t>
      </w:r>
    </w:p>
    <w:p w14:paraId="786D9EFA" w14:textId="10AD4D66" w:rsidR="00D422B1" w:rsidRPr="00D6259F" w:rsidRDefault="002E3EF1" w:rsidP="007C7248">
      <w:pPr>
        <w:rPr>
          <w:color w:val="000000" w:themeColor="text1"/>
        </w:rPr>
      </w:pPr>
      <w:r w:rsidRPr="00D6259F">
        <w:rPr>
          <w:color w:val="000000" w:themeColor="text1"/>
        </w:rPr>
        <w:t xml:space="preserve">The </w:t>
      </w:r>
      <w:r w:rsidR="00D422B1" w:rsidRPr="00D6259F">
        <w:rPr>
          <w:color w:val="000000" w:themeColor="text1"/>
        </w:rPr>
        <w:t>Council considers that even if it was called upon to contribute</w:t>
      </w:r>
      <w:r w:rsidR="0024726F" w:rsidRPr="00D6259F">
        <w:rPr>
          <w:color w:val="000000" w:themeColor="text1"/>
        </w:rPr>
        <w:t>,</w:t>
      </w:r>
      <w:r w:rsidR="00D422B1" w:rsidRPr="00D6259F">
        <w:rPr>
          <w:color w:val="000000" w:themeColor="text1"/>
        </w:rPr>
        <w:t xml:space="preserve"> the cost would not be material.</w:t>
      </w:r>
    </w:p>
    <w:p w14:paraId="2078E09F" w14:textId="77777777" w:rsidR="00D422B1" w:rsidRPr="00D6259F" w:rsidRDefault="00D422B1" w:rsidP="00583DF2">
      <w:pPr>
        <w:pStyle w:val="Heading3"/>
      </w:pPr>
      <w:bookmarkStart w:id="216" w:name="_Toc121217183"/>
      <w:bookmarkStart w:id="217" w:name="_Hlk111725723"/>
      <w:r w:rsidRPr="00D6259F">
        <w:t>Other legal proceedings</w:t>
      </w:r>
      <w:bookmarkEnd w:id="216"/>
    </w:p>
    <w:p w14:paraId="5F9AA661" w14:textId="2760A619" w:rsidR="00EC2A69" w:rsidRPr="00D6259F" w:rsidRDefault="00EC2A69" w:rsidP="00EC2A69">
      <w:pPr>
        <w:rPr>
          <w:color w:val="000000" w:themeColor="text1"/>
        </w:rPr>
      </w:pPr>
      <w:bookmarkStart w:id="218" w:name="_Toc121217184"/>
      <w:bookmarkEnd w:id="215"/>
      <w:r w:rsidRPr="00D6259F">
        <w:rPr>
          <w:color w:val="000000" w:themeColor="text1"/>
        </w:rPr>
        <w:t xml:space="preserve">Other legal proceedings are current claims against the Council and Group </w:t>
      </w:r>
      <w:proofErr w:type="gramStart"/>
      <w:r w:rsidRPr="00D6259F">
        <w:rPr>
          <w:color w:val="000000" w:themeColor="text1"/>
        </w:rPr>
        <w:t>as a result of</w:t>
      </w:r>
      <w:proofErr w:type="gramEnd"/>
      <w:r w:rsidRPr="00D6259F">
        <w:rPr>
          <w:color w:val="000000" w:themeColor="text1"/>
        </w:rPr>
        <w:t xml:space="preserve"> past events which are currently being contested. The amounts shown reflect potential liability for financial reporting purposes only and do not represent an admission that any claim is valid. The outcome of these remains uncertain at the end of the reporting period. The maximum exposure to the Group is anticipated to be </w:t>
      </w:r>
      <w:r w:rsidR="00747252" w:rsidRPr="00D6259F">
        <w:rPr>
          <w:color w:val="000000" w:themeColor="text1"/>
        </w:rPr>
        <w:t xml:space="preserve">less than </w:t>
      </w:r>
      <w:r w:rsidR="00FC18CC" w:rsidRPr="00D6259F">
        <w:rPr>
          <w:color w:val="000000" w:themeColor="text1"/>
        </w:rPr>
        <w:t>$</w:t>
      </w:r>
      <w:r w:rsidR="00216331" w:rsidRPr="00D6259F">
        <w:rPr>
          <w:color w:val="000000" w:themeColor="text1"/>
        </w:rPr>
        <w:t>0.4</w:t>
      </w:r>
      <w:r w:rsidR="00FC18CC" w:rsidRPr="00D6259F">
        <w:rPr>
          <w:color w:val="000000" w:themeColor="text1"/>
        </w:rPr>
        <w:t>m</w:t>
      </w:r>
      <w:r w:rsidRPr="00D6259F">
        <w:rPr>
          <w:color w:val="000000" w:themeColor="text1"/>
        </w:rPr>
        <w:t xml:space="preserve"> (2023: $1.6m).</w:t>
      </w:r>
    </w:p>
    <w:p w14:paraId="571309D5" w14:textId="0F528A94" w:rsidR="008F0E06" w:rsidRPr="00D6259F" w:rsidRDefault="00FE1765" w:rsidP="008F0E06">
      <w:pPr>
        <w:pStyle w:val="Heading3"/>
      </w:pPr>
      <w:r w:rsidRPr="00D6259F">
        <w:t>S</w:t>
      </w:r>
      <w:r w:rsidR="00D422B1" w:rsidRPr="00D6259F">
        <w:t>tructural defect claim</w:t>
      </w:r>
      <w:bookmarkEnd w:id="218"/>
    </w:p>
    <w:p w14:paraId="65BDB057" w14:textId="4FE29841" w:rsidR="00FE1765" w:rsidRPr="00D6259F" w:rsidRDefault="008F0E06" w:rsidP="007C7248">
      <w:pPr>
        <w:rPr>
          <w:color w:val="000000" w:themeColor="text1"/>
        </w:rPr>
      </w:pPr>
      <w:r w:rsidRPr="00D6259F">
        <w:rPr>
          <w:color w:val="000000" w:themeColor="text1"/>
        </w:rPr>
        <w:t>A large and novel claim alleging a breach of duty to a tenant of a commercial building was filed in August 2019. The Council does not estimate any further financial exposure for this claim as it is expected to be covered by insurance.</w:t>
      </w:r>
    </w:p>
    <w:p w14:paraId="012E72AD" w14:textId="77777777" w:rsidR="00550DCD" w:rsidRPr="00D6259F" w:rsidRDefault="00550DCD" w:rsidP="007C7248">
      <w:pPr>
        <w:rPr>
          <w:color w:val="000000" w:themeColor="text1"/>
        </w:rPr>
      </w:pPr>
    </w:p>
    <w:p w14:paraId="6B0F2111" w14:textId="34129B75" w:rsidR="00D422B1" w:rsidRPr="00D6259F" w:rsidRDefault="00D422B1" w:rsidP="005F00B9">
      <w:pPr>
        <w:pStyle w:val="Heading3"/>
      </w:pPr>
      <w:bookmarkStart w:id="219" w:name="_Toc121217186"/>
      <w:bookmarkStart w:id="220" w:name="_Hlk78363918"/>
      <w:bookmarkEnd w:id="217"/>
      <w:r w:rsidRPr="00D6259F">
        <w:lastRenderedPageBreak/>
        <w:t>Unquantified contingent liabilities</w:t>
      </w:r>
      <w:bookmarkEnd w:id="219"/>
    </w:p>
    <w:bookmarkEnd w:id="220"/>
    <w:p w14:paraId="106E818B" w14:textId="77777777" w:rsidR="004D2753" w:rsidRPr="00D6259F" w:rsidRDefault="004D2753" w:rsidP="004D2753">
      <w:pPr>
        <w:pStyle w:val="Heading4"/>
      </w:pPr>
      <w:proofErr w:type="spellStart"/>
      <w:r w:rsidRPr="00D6259F">
        <w:t>Riskpool</w:t>
      </w:r>
      <w:proofErr w:type="spellEnd"/>
      <w:r w:rsidRPr="00D6259F">
        <w:t xml:space="preserve"> – winding </w:t>
      </w:r>
      <w:proofErr w:type="gramStart"/>
      <w:r w:rsidRPr="00D6259F">
        <w:t>up</w:t>
      </w:r>
      <w:proofErr w:type="gramEnd"/>
    </w:p>
    <w:p w14:paraId="7A6C699D" w14:textId="77777777" w:rsidR="004D2753" w:rsidRPr="00D6259F" w:rsidRDefault="004D2753" w:rsidP="004D2753">
      <w:pPr>
        <w:autoSpaceDE w:val="0"/>
        <w:autoSpaceDN w:val="0"/>
        <w:adjustRightInd w:val="0"/>
        <w:spacing w:after="0"/>
        <w:rPr>
          <w:color w:val="000000" w:themeColor="text1"/>
        </w:rPr>
      </w:pPr>
      <w:r w:rsidRPr="00D6259F">
        <w:rPr>
          <w:color w:val="000000" w:themeColor="text1"/>
        </w:rPr>
        <w:t xml:space="preserve">Wellington City Council was previously a member of the New Zealand Mutual Liability </w:t>
      </w:r>
      <w:proofErr w:type="spellStart"/>
      <w:r w:rsidRPr="00D6259F">
        <w:rPr>
          <w:color w:val="000000" w:themeColor="text1"/>
        </w:rPr>
        <w:t>Riskpool</w:t>
      </w:r>
      <w:proofErr w:type="spellEnd"/>
    </w:p>
    <w:p w14:paraId="72877941" w14:textId="420D6E25" w:rsidR="003D610E" w:rsidRPr="00D6259F" w:rsidRDefault="004D2753" w:rsidP="004D2753">
      <w:pPr>
        <w:autoSpaceDE w:val="0"/>
        <w:autoSpaceDN w:val="0"/>
        <w:adjustRightInd w:val="0"/>
        <w:spacing w:after="0"/>
        <w:rPr>
          <w:color w:val="000000" w:themeColor="text1"/>
        </w:rPr>
      </w:pPr>
      <w:r w:rsidRPr="00D6259F">
        <w:rPr>
          <w:color w:val="000000" w:themeColor="text1"/>
        </w:rPr>
        <w:t>scheme (</w:t>
      </w:r>
      <w:proofErr w:type="spellStart"/>
      <w:r w:rsidRPr="00D6259F">
        <w:rPr>
          <w:color w:val="000000" w:themeColor="text1"/>
        </w:rPr>
        <w:t>Riskpool</w:t>
      </w:r>
      <w:proofErr w:type="spellEnd"/>
      <w:r w:rsidRPr="00D6259F">
        <w:rPr>
          <w:color w:val="000000" w:themeColor="text1"/>
        </w:rPr>
        <w:t xml:space="preserve">). The Scheme is in wind down; </w:t>
      </w:r>
      <w:proofErr w:type="gramStart"/>
      <w:r w:rsidRPr="00D6259F">
        <w:rPr>
          <w:color w:val="000000" w:themeColor="text1"/>
        </w:rPr>
        <w:t>however</w:t>
      </w:r>
      <w:proofErr w:type="gramEnd"/>
      <w:r w:rsidRPr="00D6259F">
        <w:rPr>
          <w:color w:val="000000" w:themeColor="text1"/>
        </w:rPr>
        <w:t xml:space="preserve"> the Council has an ongoing obligation to contribute to the scheme should a call be made in respect of any historical claims (to the extent those claims are not covered by reinsurance), and to fund the ongoing operation of the scheme.</w:t>
      </w:r>
    </w:p>
    <w:p w14:paraId="0B07640D" w14:textId="77777777" w:rsidR="003D610E" w:rsidRPr="00D6259F" w:rsidRDefault="003D610E" w:rsidP="004D2753">
      <w:pPr>
        <w:autoSpaceDE w:val="0"/>
        <w:autoSpaceDN w:val="0"/>
        <w:adjustRightInd w:val="0"/>
        <w:spacing w:after="0"/>
        <w:rPr>
          <w:color w:val="000000" w:themeColor="text1"/>
        </w:rPr>
      </w:pPr>
    </w:p>
    <w:p w14:paraId="72D9C27F" w14:textId="77777777" w:rsidR="003D610E" w:rsidRPr="00D6259F" w:rsidRDefault="003D610E" w:rsidP="003D610E">
      <w:pPr>
        <w:rPr>
          <w:color w:val="000000" w:themeColor="text1"/>
        </w:rPr>
      </w:pPr>
      <w:r w:rsidRPr="00D6259F">
        <w:rPr>
          <w:color w:val="000000" w:themeColor="text1"/>
        </w:rPr>
        <w:t xml:space="preserve">On 1 August 2023 the Supreme Court dismissed </w:t>
      </w:r>
      <w:proofErr w:type="spellStart"/>
      <w:r w:rsidRPr="00D6259F">
        <w:rPr>
          <w:color w:val="000000" w:themeColor="text1"/>
        </w:rPr>
        <w:t>Riskpool’s</w:t>
      </w:r>
      <w:proofErr w:type="spellEnd"/>
      <w:r w:rsidRPr="00D6259F">
        <w:rPr>
          <w:color w:val="000000" w:themeColor="text1"/>
        </w:rPr>
        <w:t xml:space="preserve"> final appeal in Local Government Mutual Funds Trustee Limited v Napier City Council [2023] NZSC 97. This created an immediate liability for </w:t>
      </w:r>
      <w:proofErr w:type="spellStart"/>
      <w:r w:rsidRPr="00D6259F">
        <w:rPr>
          <w:color w:val="000000" w:themeColor="text1"/>
        </w:rPr>
        <w:t>Riskpool</w:t>
      </w:r>
      <w:proofErr w:type="spellEnd"/>
      <w:r w:rsidRPr="00D6259F">
        <w:rPr>
          <w:color w:val="000000" w:themeColor="text1"/>
        </w:rPr>
        <w:t xml:space="preserve"> in relation to that claim, which necessitated a call on members. The amount of the call for the Council was $0.7m and was paid in December 2023.</w:t>
      </w:r>
    </w:p>
    <w:p w14:paraId="63967294" w14:textId="6996BDDF" w:rsidR="003D610E" w:rsidRPr="00D6259F" w:rsidRDefault="003D610E" w:rsidP="003D610E">
      <w:pPr>
        <w:rPr>
          <w:color w:val="000000" w:themeColor="text1"/>
        </w:rPr>
      </w:pPr>
      <w:proofErr w:type="spellStart"/>
      <w:r w:rsidRPr="00D6259F">
        <w:rPr>
          <w:color w:val="000000" w:themeColor="text1"/>
        </w:rPr>
        <w:t>Riskpool’s</w:t>
      </w:r>
      <w:proofErr w:type="spellEnd"/>
      <w:r w:rsidRPr="00D6259F">
        <w:rPr>
          <w:color w:val="000000" w:themeColor="text1"/>
        </w:rPr>
        <w:t xml:space="preserve"> wind-down remains a very dynamic situation and there are significant challenges that </w:t>
      </w:r>
      <w:proofErr w:type="spellStart"/>
      <w:r w:rsidRPr="00D6259F">
        <w:rPr>
          <w:color w:val="000000" w:themeColor="text1"/>
        </w:rPr>
        <w:t>Riskpool</w:t>
      </w:r>
      <w:proofErr w:type="spellEnd"/>
      <w:r w:rsidRPr="00D6259F">
        <w:rPr>
          <w:color w:val="000000" w:themeColor="text1"/>
        </w:rPr>
        <w:t xml:space="preserve"> are still working through to be able to quantify the extent of </w:t>
      </w:r>
      <w:proofErr w:type="spellStart"/>
      <w:r w:rsidRPr="00D6259F">
        <w:rPr>
          <w:color w:val="000000" w:themeColor="text1"/>
        </w:rPr>
        <w:t>Riskpool’s</w:t>
      </w:r>
      <w:proofErr w:type="spellEnd"/>
      <w:r w:rsidRPr="00D6259F">
        <w:rPr>
          <w:color w:val="000000" w:themeColor="text1"/>
        </w:rPr>
        <w:t xml:space="preserve"> potential exposure.</w:t>
      </w:r>
    </w:p>
    <w:p w14:paraId="0E92D030" w14:textId="77777777" w:rsidR="00D422B1" w:rsidRPr="00D6259F" w:rsidRDefault="00D422B1" w:rsidP="005F00B9">
      <w:pPr>
        <w:pStyle w:val="Heading4"/>
      </w:pPr>
      <w:r w:rsidRPr="00D6259F">
        <w:t>Other claims</w:t>
      </w:r>
    </w:p>
    <w:p w14:paraId="31498134" w14:textId="252677C6" w:rsidR="00D422B1" w:rsidRPr="00D6259F" w:rsidRDefault="00D422B1" w:rsidP="007C7248">
      <w:pPr>
        <w:rPr>
          <w:color w:val="000000" w:themeColor="text1"/>
        </w:rPr>
      </w:pPr>
      <w:r w:rsidRPr="00D6259F">
        <w:rPr>
          <w:color w:val="000000" w:themeColor="text1"/>
        </w:rPr>
        <w:t>There are various other claims that the Council and</w:t>
      </w:r>
      <w:r w:rsidR="006020F7" w:rsidRPr="00D6259F">
        <w:rPr>
          <w:color w:val="000000" w:themeColor="text1"/>
        </w:rPr>
        <w:t xml:space="preserve"> Group</w:t>
      </w:r>
      <w:r w:rsidRPr="00D6259F">
        <w:rPr>
          <w:color w:val="000000" w:themeColor="text1"/>
        </w:rPr>
        <w:t xml:space="preserve"> are currently contesting which have not been quantified due to the nature of the issues, the uncertainty of the outcome and/or the extent to which the Council and</w:t>
      </w:r>
      <w:r w:rsidR="006020F7" w:rsidRPr="00D6259F">
        <w:rPr>
          <w:color w:val="000000" w:themeColor="text1"/>
        </w:rPr>
        <w:t xml:space="preserve"> Group</w:t>
      </w:r>
      <w:r w:rsidRPr="00D6259F">
        <w:rPr>
          <w:color w:val="000000" w:themeColor="text1"/>
        </w:rPr>
        <w:t xml:space="preserve"> have a responsibility to the claimant. The possibility of any outflow in settlement in these cases is assessed as remote.</w:t>
      </w:r>
    </w:p>
    <w:p w14:paraId="6BEE7178" w14:textId="77777777" w:rsidR="00D422B1" w:rsidRPr="00D6259F" w:rsidRDefault="00D422B1" w:rsidP="007C7248">
      <w:pPr>
        <w:pStyle w:val="Heading4"/>
      </w:pPr>
      <w:bookmarkStart w:id="221" w:name="_Hlk85537415"/>
      <w:r w:rsidRPr="00D6259F">
        <w:t>Contingent assets</w:t>
      </w:r>
    </w:p>
    <w:p w14:paraId="3583F0AC" w14:textId="4C34EC8E" w:rsidR="00D422B1" w:rsidRPr="00D6259F" w:rsidRDefault="00D422B1" w:rsidP="007C7248">
      <w:pPr>
        <w:rPr>
          <w:color w:val="000000" w:themeColor="text1"/>
          <w:lang w:eastAsia="en-GB"/>
        </w:rPr>
      </w:pPr>
      <w:r w:rsidRPr="00D6259F">
        <w:rPr>
          <w:color w:val="000000" w:themeColor="text1"/>
          <w:lang w:eastAsia="en-GB"/>
        </w:rPr>
        <w:t>The Council and</w:t>
      </w:r>
      <w:r w:rsidR="006020F7" w:rsidRPr="00D6259F">
        <w:rPr>
          <w:color w:val="000000" w:themeColor="text1"/>
          <w:lang w:eastAsia="en-GB"/>
        </w:rPr>
        <w:t xml:space="preserve"> Group</w:t>
      </w:r>
      <w:r w:rsidRPr="00D6259F">
        <w:rPr>
          <w:color w:val="000000" w:themeColor="text1"/>
          <w:lang w:eastAsia="en-GB"/>
        </w:rPr>
        <w:t xml:space="preserve"> have </w:t>
      </w:r>
      <w:r w:rsidR="00D53B94" w:rsidRPr="00D6259F">
        <w:rPr>
          <w:color w:val="000000" w:themeColor="text1"/>
          <w:lang w:eastAsia="en-GB"/>
        </w:rPr>
        <w:t>no</w:t>
      </w:r>
      <w:r w:rsidR="00BE0657" w:rsidRPr="00D6259F">
        <w:rPr>
          <w:color w:val="000000" w:themeColor="text1"/>
          <w:lang w:eastAsia="en-GB"/>
        </w:rPr>
        <w:t xml:space="preserve"> </w:t>
      </w:r>
      <w:r w:rsidRPr="00D6259F">
        <w:rPr>
          <w:color w:val="000000" w:themeColor="text1"/>
          <w:lang w:eastAsia="en-GB"/>
        </w:rPr>
        <w:t>contingent assets</w:t>
      </w:r>
      <w:r w:rsidR="005D13DC" w:rsidRPr="00D6259F">
        <w:rPr>
          <w:color w:val="000000" w:themeColor="text1"/>
          <w:lang w:eastAsia="en-GB"/>
        </w:rPr>
        <w:t xml:space="preserve"> </w:t>
      </w:r>
      <w:r w:rsidRPr="00D6259F">
        <w:rPr>
          <w:color w:val="000000" w:themeColor="text1"/>
          <w:lang w:eastAsia="en-GB"/>
        </w:rPr>
        <w:t xml:space="preserve">as </w:t>
      </w:r>
      <w:proofErr w:type="gramStart"/>
      <w:r w:rsidR="004B5A91" w:rsidRPr="00D6259F">
        <w:rPr>
          <w:color w:val="000000" w:themeColor="text1"/>
          <w:lang w:eastAsia="en-GB"/>
        </w:rPr>
        <w:t>at</w:t>
      </w:r>
      <w:proofErr w:type="gramEnd"/>
      <w:r w:rsidRPr="00D6259F">
        <w:rPr>
          <w:color w:val="000000" w:themeColor="text1"/>
          <w:lang w:eastAsia="en-GB"/>
        </w:rPr>
        <w:t xml:space="preserve"> 30 June </w:t>
      </w:r>
      <w:r w:rsidR="003A5420" w:rsidRPr="00D6259F">
        <w:rPr>
          <w:color w:val="000000" w:themeColor="text1"/>
          <w:lang w:eastAsia="en-GB"/>
        </w:rPr>
        <w:t>202</w:t>
      </w:r>
      <w:r w:rsidR="00BE0657" w:rsidRPr="00D6259F">
        <w:rPr>
          <w:color w:val="000000" w:themeColor="text1"/>
          <w:lang w:eastAsia="en-GB"/>
        </w:rPr>
        <w:t>4</w:t>
      </w:r>
      <w:r w:rsidR="003A5420" w:rsidRPr="00D6259F">
        <w:rPr>
          <w:color w:val="000000" w:themeColor="text1"/>
          <w:lang w:eastAsia="en-GB"/>
        </w:rPr>
        <w:t xml:space="preserve"> </w:t>
      </w:r>
      <w:r w:rsidRPr="00D6259F">
        <w:rPr>
          <w:color w:val="000000" w:themeColor="text1"/>
          <w:lang w:eastAsia="en-GB"/>
        </w:rPr>
        <w:t>(</w:t>
      </w:r>
      <w:r w:rsidR="003A5420" w:rsidRPr="00D6259F">
        <w:rPr>
          <w:color w:val="000000" w:themeColor="text1"/>
          <w:lang w:eastAsia="en-GB"/>
        </w:rPr>
        <w:t>202</w:t>
      </w:r>
      <w:r w:rsidR="00BE0657" w:rsidRPr="00D6259F">
        <w:rPr>
          <w:color w:val="000000" w:themeColor="text1"/>
          <w:lang w:eastAsia="en-GB"/>
        </w:rPr>
        <w:t>3</w:t>
      </w:r>
      <w:r w:rsidRPr="00D6259F">
        <w:rPr>
          <w:color w:val="000000" w:themeColor="text1"/>
          <w:lang w:eastAsia="en-GB"/>
        </w:rPr>
        <w:t>: $</w:t>
      </w:r>
      <w:r w:rsidR="000875A9" w:rsidRPr="00D6259F">
        <w:rPr>
          <w:color w:val="000000" w:themeColor="text1"/>
          <w:lang w:eastAsia="en-GB"/>
        </w:rPr>
        <w:t>n</w:t>
      </w:r>
      <w:r w:rsidRPr="00D6259F">
        <w:rPr>
          <w:color w:val="000000" w:themeColor="text1"/>
          <w:lang w:eastAsia="en-GB"/>
        </w:rPr>
        <w:t>il)</w:t>
      </w:r>
      <w:r w:rsidR="005D13DC" w:rsidRPr="00D6259F">
        <w:rPr>
          <w:color w:val="000000" w:themeColor="text1"/>
          <w:lang w:eastAsia="en-GB"/>
        </w:rPr>
        <w:t>.</w:t>
      </w:r>
    </w:p>
    <w:p w14:paraId="21B4B580" w14:textId="77777777" w:rsidR="00D422B1" w:rsidRPr="00D6259F" w:rsidRDefault="00D422B1" w:rsidP="005F00B9">
      <w:pPr>
        <w:pStyle w:val="Heading3"/>
      </w:pPr>
      <w:bookmarkStart w:id="222" w:name="_Toc121217187"/>
      <w:bookmarkEnd w:id="221"/>
      <w:r w:rsidRPr="00D6259F">
        <w:t>Relevant significant accounting policies</w:t>
      </w:r>
      <w:bookmarkEnd w:id="222"/>
    </w:p>
    <w:p w14:paraId="2CA3C020" w14:textId="77777777" w:rsidR="00D422B1" w:rsidRPr="00D6259F" w:rsidRDefault="00D422B1" w:rsidP="005F00B9">
      <w:pPr>
        <w:pStyle w:val="Heading5"/>
        <w:rPr>
          <w:color w:val="000000" w:themeColor="text1"/>
        </w:rPr>
      </w:pPr>
      <w:r w:rsidRPr="00D6259F">
        <w:rPr>
          <w:color w:val="000000" w:themeColor="text1"/>
        </w:rPr>
        <w:t>Contingent liabilities and contingent assets</w:t>
      </w:r>
    </w:p>
    <w:p w14:paraId="210E5030" w14:textId="77777777" w:rsidR="00D422B1" w:rsidRPr="00D6259F" w:rsidRDefault="00D422B1" w:rsidP="007C7248">
      <w:pPr>
        <w:rPr>
          <w:color w:val="000000" w:themeColor="text1"/>
        </w:rPr>
      </w:pPr>
      <w:r w:rsidRPr="00D6259F">
        <w:rPr>
          <w:color w:val="000000" w:themeColor="text1"/>
        </w:rPr>
        <w:t>Contingent liabilities and contingent assets are disclosed at the point at which the contingency is evident. Contingent liabilities are disclosed if the possibility they will crystallise is not remote. Contingent assets are disclosed if it is probable the benefits will be realised.</w:t>
      </w:r>
    </w:p>
    <w:p w14:paraId="1FD9190F" w14:textId="4E457F90" w:rsidR="00D422B1" w:rsidRPr="00D6259F" w:rsidRDefault="00362CD8" w:rsidP="00095769">
      <w:pPr>
        <w:pStyle w:val="Heading2"/>
      </w:pPr>
      <w:bookmarkStart w:id="223" w:name="_Toc55482684"/>
      <w:bookmarkEnd w:id="213"/>
      <w:r w:rsidRPr="00D6259F">
        <w:br w:type="page"/>
      </w:r>
      <w:bookmarkStart w:id="224" w:name="_Toc179890327"/>
      <w:r w:rsidR="00D422B1" w:rsidRPr="00D6259F">
        <w:lastRenderedPageBreak/>
        <w:t>Note 3</w:t>
      </w:r>
      <w:r w:rsidR="00AD66F8" w:rsidRPr="00D6259F">
        <w:t>6</w:t>
      </w:r>
      <w:r w:rsidR="00D422B1" w:rsidRPr="00D6259F">
        <w:t xml:space="preserve">: Joint </w:t>
      </w:r>
      <w:proofErr w:type="gramStart"/>
      <w:r w:rsidR="0011411A" w:rsidRPr="00D6259F">
        <w:t>o</w:t>
      </w:r>
      <w:r w:rsidR="00D422B1" w:rsidRPr="00D6259F">
        <w:t>perations</w:t>
      </w:r>
      <w:bookmarkEnd w:id="223"/>
      <w:bookmarkEnd w:id="224"/>
      <w:proofErr w:type="gramEnd"/>
    </w:p>
    <w:p w14:paraId="66A30EBE" w14:textId="0A8D26AD" w:rsidR="00967416" w:rsidRPr="00D6259F" w:rsidRDefault="00D422B1" w:rsidP="007C7248">
      <w:pPr>
        <w:rPr>
          <w:rFonts w:cs="Arial"/>
          <w:color w:val="000000" w:themeColor="text1"/>
        </w:rPr>
      </w:pPr>
      <w:r w:rsidRPr="00D6259F">
        <w:rPr>
          <w:rFonts w:cs="Arial"/>
          <w:color w:val="000000" w:themeColor="text1"/>
          <w:lang w:eastAsia="en-GB"/>
        </w:rPr>
        <w:t xml:space="preserve">The Council has significant interests in the following joint operations. </w:t>
      </w:r>
      <w:r w:rsidR="00967416" w:rsidRPr="00D6259F">
        <w:rPr>
          <w:rFonts w:cs="Arial"/>
          <w:color w:val="000000" w:themeColor="text1"/>
          <w:lang w:eastAsia="en-GB"/>
        </w:rPr>
        <w:t>T</w:t>
      </w:r>
      <w:r w:rsidRPr="00D6259F">
        <w:rPr>
          <w:color w:val="000000" w:themeColor="text1"/>
        </w:rPr>
        <w:t xml:space="preserve">hese are domiciled and operate in New Zealand. Porirua City Council operates </w:t>
      </w:r>
      <w:r w:rsidR="00967416" w:rsidRPr="00D6259F">
        <w:rPr>
          <w:color w:val="000000" w:themeColor="text1"/>
        </w:rPr>
        <w:t xml:space="preserve">two of the </w:t>
      </w:r>
      <w:r w:rsidRPr="00D6259F">
        <w:rPr>
          <w:color w:val="000000" w:themeColor="text1"/>
        </w:rPr>
        <w:t>joint operations under an agreement which provides that all assets of the joint operation are owned by the two councils as tenants in common.</w:t>
      </w:r>
      <w:r w:rsidR="00967416" w:rsidRPr="00D6259F">
        <w:rPr>
          <w:color w:val="000000" w:themeColor="text1"/>
        </w:rPr>
        <w:t xml:space="preserve"> </w:t>
      </w:r>
      <w:r w:rsidR="00967416" w:rsidRPr="00D6259F">
        <w:rPr>
          <w:rFonts w:cs="Arial"/>
          <w:color w:val="000000" w:themeColor="text1"/>
        </w:rPr>
        <w:t xml:space="preserve">The remaining joint operations are part of Let’s Get Wellington Moving (LGWM) which </w:t>
      </w:r>
      <w:r w:rsidR="00E52A66" w:rsidRPr="00D6259F">
        <w:rPr>
          <w:rFonts w:cs="Arial"/>
          <w:color w:val="000000" w:themeColor="text1"/>
        </w:rPr>
        <w:t>was</w:t>
      </w:r>
      <w:r w:rsidR="00967416" w:rsidRPr="00D6259F">
        <w:rPr>
          <w:rFonts w:cs="Arial"/>
          <w:color w:val="000000" w:themeColor="text1"/>
        </w:rPr>
        <w:t xml:space="preserve"> a joint initiative between Wellington City Council, </w:t>
      </w:r>
      <w:r w:rsidR="005C269A" w:rsidRPr="00D6259F">
        <w:rPr>
          <w:rFonts w:cs="Arial"/>
          <w:color w:val="000000" w:themeColor="text1"/>
        </w:rPr>
        <w:t>GWRC</w:t>
      </w:r>
      <w:r w:rsidR="00967416" w:rsidRPr="00D6259F">
        <w:rPr>
          <w:rFonts w:cs="Arial"/>
          <w:color w:val="000000" w:themeColor="text1"/>
        </w:rPr>
        <w:t xml:space="preserve"> and </w:t>
      </w:r>
      <w:r w:rsidR="00910A76" w:rsidRPr="00D6259F">
        <w:rPr>
          <w:rFonts w:cs="Arial"/>
          <w:color w:val="000000" w:themeColor="text1"/>
        </w:rPr>
        <w:t>NZTA</w:t>
      </w:r>
      <w:r w:rsidR="00967416" w:rsidRPr="00D6259F">
        <w:rPr>
          <w:rFonts w:cs="Arial"/>
          <w:color w:val="000000" w:themeColor="text1"/>
        </w:rPr>
        <w:t>.</w:t>
      </w:r>
      <w:r w:rsidR="001B27A7" w:rsidRPr="00D6259F">
        <w:rPr>
          <w:rFonts w:cs="Arial"/>
          <w:color w:val="000000" w:themeColor="text1"/>
        </w:rPr>
        <w:t xml:space="preserve"> </w:t>
      </w:r>
    </w:p>
    <w:p w14:paraId="18797501" w14:textId="0CB8B10E" w:rsidR="00C4279C" w:rsidRPr="00D6259F" w:rsidRDefault="000F20D8" w:rsidP="007C7248">
      <w:pPr>
        <w:rPr>
          <w:color w:val="000000" w:themeColor="text1"/>
        </w:rPr>
      </w:pPr>
      <w:r w:rsidRPr="00D6259F">
        <w:rPr>
          <w:noProof/>
          <w:color w:val="000000" w:themeColor="text1"/>
        </w:rPr>
        <w:object w:dxaOrig="11505" w:dyaOrig="5205" w14:anchorId="6CCEE1E0">
          <v:shape id="_x0000_i1121" type="#_x0000_t75" style="width:511pt;height:250pt" o:ole="">
            <v:imagedata r:id="rId204" o:title=""/>
          </v:shape>
          <o:OLEObject Type="Link" ProgID="Excel.Sheet.12" ShapeID="_x0000_i1121" DrawAspect="Content" r:id="rId205" UpdateMode="Always">
            <o:LinkType>EnhancedMetaFile</o:LinkType>
            <o:LockedField>false</o:LockedField>
          </o:OLEObject>
        </w:object>
      </w:r>
    </w:p>
    <w:p w14:paraId="696D5C8D" w14:textId="090675A8" w:rsidR="00067B59" w:rsidRPr="00D6259F" w:rsidRDefault="00067B59" w:rsidP="00AB5387">
      <w:pPr>
        <w:pStyle w:val="ListParagraph"/>
        <w:numPr>
          <w:ilvl w:val="0"/>
          <w:numId w:val="57"/>
        </w:numPr>
        <w:rPr>
          <w:rFonts w:cs="Arial"/>
          <w:color w:val="000000" w:themeColor="text1"/>
          <w:sz w:val="16"/>
          <w:szCs w:val="16"/>
        </w:rPr>
      </w:pPr>
      <w:r w:rsidRPr="00D6259F">
        <w:rPr>
          <w:rFonts w:cs="Arial"/>
          <w:color w:val="000000" w:themeColor="text1"/>
          <w:sz w:val="16"/>
          <w:szCs w:val="16"/>
        </w:rPr>
        <w:t>The LGWM joint operation ceased on 31 March 2024.</w:t>
      </w:r>
    </w:p>
    <w:p w14:paraId="396BDF37" w14:textId="754DF4AC" w:rsidR="00CD4DA5" w:rsidRPr="00D6259F" w:rsidRDefault="00D422B1" w:rsidP="00CD4DA5">
      <w:pPr>
        <w:rPr>
          <w:rFonts w:cs="Arial"/>
          <w:color w:val="000000" w:themeColor="text1"/>
        </w:rPr>
      </w:pPr>
      <w:r w:rsidRPr="00D6259F">
        <w:rPr>
          <w:color w:val="000000" w:themeColor="text1"/>
        </w:rPr>
        <w:t>The end of the reporting period for the joint operations is 30 June.</w:t>
      </w:r>
      <w:r w:rsidR="00CD4DA5" w:rsidRPr="00D6259F">
        <w:rPr>
          <w:rFonts w:cs="Arial"/>
          <w:color w:val="000000" w:themeColor="text1"/>
        </w:rPr>
        <w:t xml:space="preserve"> </w:t>
      </w:r>
    </w:p>
    <w:p w14:paraId="61D542FD" w14:textId="0C2D4A16" w:rsidR="00C74484" w:rsidRPr="00D6259F" w:rsidRDefault="00C74484" w:rsidP="00CD4DA5">
      <w:pPr>
        <w:rPr>
          <w:rFonts w:cs="Arial"/>
          <w:color w:val="000000" w:themeColor="text1"/>
        </w:rPr>
      </w:pPr>
      <w:r w:rsidRPr="00D6259F">
        <w:rPr>
          <w:rFonts w:cs="Arial"/>
          <w:color w:val="000000" w:themeColor="text1"/>
        </w:rPr>
        <w:t>The Council’s and Group’s share of the joint operations’ capital commitments is $</w:t>
      </w:r>
      <w:r w:rsidR="00D53B94" w:rsidRPr="00D6259F">
        <w:rPr>
          <w:rFonts w:cs="Arial"/>
          <w:color w:val="000000" w:themeColor="text1"/>
        </w:rPr>
        <w:t>10.6m</w:t>
      </w:r>
      <w:r w:rsidRPr="00D6259F">
        <w:rPr>
          <w:rFonts w:cs="Arial"/>
          <w:color w:val="000000" w:themeColor="text1"/>
        </w:rPr>
        <w:t xml:space="preserve"> (2023: $</w:t>
      </w:r>
      <w:r w:rsidR="000875A9" w:rsidRPr="00D6259F">
        <w:rPr>
          <w:rFonts w:cs="Arial"/>
          <w:color w:val="000000" w:themeColor="text1"/>
        </w:rPr>
        <w:t>n</w:t>
      </w:r>
      <w:r w:rsidRPr="00D6259F">
        <w:rPr>
          <w:rFonts w:cs="Arial"/>
          <w:color w:val="000000" w:themeColor="text1"/>
        </w:rPr>
        <w:t>il) and contingent liabilities is $</w:t>
      </w:r>
      <w:r w:rsidR="000875A9" w:rsidRPr="00D6259F">
        <w:rPr>
          <w:rFonts w:cs="Arial"/>
          <w:color w:val="000000" w:themeColor="text1"/>
        </w:rPr>
        <w:t>nil</w:t>
      </w:r>
      <w:r w:rsidRPr="00D6259F">
        <w:rPr>
          <w:rFonts w:cs="Arial"/>
          <w:color w:val="000000" w:themeColor="text1"/>
        </w:rPr>
        <w:t xml:space="preserve"> (2023: $</w:t>
      </w:r>
      <w:r w:rsidR="000875A9" w:rsidRPr="00D6259F">
        <w:rPr>
          <w:rFonts w:cs="Arial"/>
          <w:color w:val="000000" w:themeColor="text1"/>
        </w:rPr>
        <w:t>n</w:t>
      </w:r>
      <w:r w:rsidRPr="00D6259F">
        <w:rPr>
          <w:rFonts w:cs="Arial"/>
          <w:color w:val="000000" w:themeColor="text1"/>
        </w:rPr>
        <w:t>il).</w:t>
      </w:r>
    </w:p>
    <w:p w14:paraId="62B0AC72" w14:textId="77777777" w:rsidR="00D422B1" w:rsidRPr="00D6259F" w:rsidRDefault="00D422B1" w:rsidP="00AD3D8D">
      <w:pPr>
        <w:pStyle w:val="Heading2"/>
      </w:pPr>
      <w:bookmarkStart w:id="225" w:name="_Toc55482685"/>
      <w:bookmarkStart w:id="226" w:name="_Toc179890328"/>
      <w:r w:rsidRPr="00D6259F">
        <w:t>Note 3</w:t>
      </w:r>
      <w:r w:rsidR="00AD66F8" w:rsidRPr="00D6259F">
        <w:t>7</w:t>
      </w:r>
      <w:r w:rsidRPr="00D6259F">
        <w:t xml:space="preserve">: Related party </w:t>
      </w:r>
      <w:proofErr w:type="gramStart"/>
      <w:r w:rsidRPr="00D6259F">
        <w:t>disclosures</w:t>
      </w:r>
      <w:bookmarkEnd w:id="225"/>
      <w:bookmarkEnd w:id="226"/>
      <w:proofErr w:type="gramEnd"/>
    </w:p>
    <w:p w14:paraId="2ED46EDA" w14:textId="77777777" w:rsidR="00D422B1" w:rsidRPr="00D6259F" w:rsidRDefault="00D422B1" w:rsidP="00AD3D8D">
      <w:pPr>
        <w:pStyle w:val="Heading3"/>
      </w:pPr>
      <w:bookmarkStart w:id="227" w:name="_Toc121217191"/>
      <w:r w:rsidRPr="00D6259F">
        <w:t>Relevant significant accounting policies</w:t>
      </w:r>
      <w:bookmarkEnd w:id="227"/>
    </w:p>
    <w:p w14:paraId="26AD6814" w14:textId="4C5DE08F" w:rsidR="00D422B1" w:rsidRPr="00D6259F" w:rsidRDefault="00D422B1" w:rsidP="007C7248">
      <w:pPr>
        <w:rPr>
          <w:color w:val="000000" w:themeColor="text1"/>
        </w:rPr>
      </w:pPr>
      <w:r w:rsidRPr="00D6259F">
        <w:rPr>
          <w:color w:val="000000" w:themeColor="text1"/>
        </w:rPr>
        <w:t xml:space="preserve">Related parties arise where one entity </w:t>
      </w:r>
      <w:proofErr w:type="gramStart"/>
      <w:r w:rsidRPr="00D6259F">
        <w:rPr>
          <w:color w:val="000000" w:themeColor="text1"/>
        </w:rPr>
        <w:t>has the ability to</w:t>
      </w:r>
      <w:proofErr w:type="gramEnd"/>
      <w:r w:rsidRPr="00D6259F">
        <w:rPr>
          <w:color w:val="000000" w:themeColor="text1"/>
        </w:rPr>
        <w:t xml:space="preserve"> affect the financial and operating policies of another through the presence of control or significant influence. Related parties include all members of the</w:t>
      </w:r>
      <w:r w:rsidR="006020F7" w:rsidRPr="00D6259F">
        <w:rPr>
          <w:color w:val="000000" w:themeColor="text1"/>
        </w:rPr>
        <w:t xml:space="preserve"> Group</w:t>
      </w:r>
      <w:r w:rsidRPr="00D6259F">
        <w:rPr>
          <w:color w:val="000000" w:themeColor="text1"/>
        </w:rPr>
        <w:t xml:space="preserve"> (controlled entities, </w:t>
      </w:r>
      <w:proofErr w:type="gramStart"/>
      <w:r w:rsidRPr="00D6259F">
        <w:rPr>
          <w:color w:val="000000" w:themeColor="text1"/>
        </w:rPr>
        <w:t>associates</w:t>
      </w:r>
      <w:proofErr w:type="gramEnd"/>
      <w:r w:rsidRPr="00D6259F">
        <w:rPr>
          <w:color w:val="000000" w:themeColor="text1"/>
        </w:rPr>
        <w:t xml:space="preserve"> and joint venture) and key management personnel. </w:t>
      </w:r>
    </w:p>
    <w:p w14:paraId="657E9AA9" w14:textId="77777777" w:rsidR="00D422B1" w:rsidRPr="00D6259F" w:rsidRDefault="00D422B1" w:rsidP="007C7248">
      <w:pPr>
        <w:rPr>
          <w:color w:val="000000" w:themeColor="text1"/>
        </w:rPr>
      </w:pPr>
      <w:r w:rsidRPr="00D6259F">
        <w:rPr>
          <w:color w:val="000000" w:themeColor="text1"/>
        </w:rPr>
        <w:t xml:space="preserve">Key management personnel include the Mayor and Councillors as elected members of the governing body of the Council reporting entity, the Chief </w:t>
      </w:r>
      <w:r w:rsidR="00EF790E" w:rsidRPr="00D6259F">
        <w:rPr>
          <w:color w:val="000000" w:themeColor="text1"/>
        </w:rPr>
        <w:t>Executive,</w:t>
      </w:r>
      <w:r w:rsidRPr="00D6259F">
        <w:rPr>
          <w:color w:val="000000" w:themeColor="text1"/>
        </w:rPr>
        <w:t xml:space="preserve"> and all members of the Executive Leadership Team, being key advisors to the Council and Chief Executive.</w:t>
      </w:r>
    </w:p>
    <w:p w14:paraId="4500259A" w14:textId="77777777" w:rsidR="00D422B1" w:rsidRPr="00D6259F" w:rsidRDefault="00D422B1" w:rsidP="00680B62">
      <w:pPr>
        <w:pStyle w:val="Heading3"/>
      </w:pPr>
      <w:bookmarkStart w:id="228" w:name="_Toc121217192"/>
      <w:bookmarkStart w:id="229" w:name="_Hlk81318955"/>
      <w:r w:rsidRPr="00D6259F">
        <w:t>Key management personnel</w:t>
      </w:r>
      <w:bookmarkEnd w:id="228"/>
    </w:p>
    <w:p w14:paraId="31AF677A" w14:textId="1AF8CEC1" w:rsidR="00D422B1" w:rsidRPr="00D6259F" w:rsidRDefault="00D422B1" w:rsidP="007C7248">
      <w:pPr>
        <w:rPr>
          <w:color w:val="000000" w:themeColor="text1"/>
        </w:rPr>
      </w:pPr>
      <w:r w:rsidRPr="00D6259F">
        <w:rPr>
          <w:color w:val="000000" w:themeColor="text1"/>
        </w:rPr>
        <w:t>In this section, the Council discloses the remuneration and related party transactions of key management personnel. The remuneration payable to key management personnel of the</w:t>
      </w:r>
      <w:r w:rsidR="006020F7" w:rsidRPr="00D6259F">
        <w:rPr>
          <w:color w:val="000000" w:themeColor="text1"/>
        </w:rPr>
        <w:t xml:space="preserve"> Group</w:t>
      </w:r>
      <w:r w:rsidRPr="00D6259F">
        <w:rPr>
          <w:color w:val="000000" w:themeColor="text1"/>
        </w:rPr>
        <w:t xml:space="preserve">’s other </w:t>
      </w:r>
      <w:r w:rsidRPr="00D6259F">
        <w:rPr>
          <w:color w:val="000000" w:themeColor="text1"/>
        </w:rPr>
        <w:lastRenderedPageBreak/>
        <w:t>entities is disclosed separately within their individual</w:t>
      </w:r>
      <w:r w:rsidR="00E04C58" w:rsidRPr="00D6259F">
        <w:rPr>
          <w:color w:val="000000" w:themeColor="text1"/>
        </w:rPr>
        <w:t xml:space="preserve"> respective</w:t>
      </w:r>
      <w:r w:rsidRPr="00D6259F">
        <w:rPr>
          <w:color w:val="000000" w:themeColor="text1"/>
        </w:rPr>
        <w:t xml:space="preserve"> financial statements and is not included in </w:t>
      </w:r>
      <w:r w:rsidRPr="00D6259F">
        <w:rPr>
          <w:i/>
          <w:iCs/>
          <w:color w:val="000000" w:themeColor="text1"/>
        </w:rPr>
        <w:t>Table</w:t>
      </w:r>
      <w:r w:rsidRPr="00D6259F">
        <w:rPr>
          <w:i/>
          <w:color w:val="000000" w:themeColor="text1"/>
        </w:rPr>
        <w:t xml:space="preserve"> </w:t>
      </w:r>
      <w:r w:rsidR="008B0E35" w:rsidRPr="00D6259F">
        <w:rPr>
          <w:i/>
          <w:color w:val="000000" w:themeColor="text1"/>
        </w:rPr>
        <w:t>87</w:t>
      </w:r>
      <w:r w:rsidRPr="00D6259F">
        <w:rPr>
          <w:color w:val="000000" w:themeColor="text1"/>
        </w:rPr>
        <w:t>.</w:t>
      </w:r>
    </w:p>
    <w:p w14:paraId="312187B1" w14:textId="7B484A5F" w:rsidR="00D422B1" w:rsidRPr="00D6259F" w:rsidRDefault="000F20D8" w:rsidP="007C7248">
      <w:pPr>
        <w:pStyle w:val="Body"/>
        <w:rPr>
          <w:color w:val="000000" w:themeColor="text1"/>
        </w:rPr>
      </w:pPr>
      <w:r w:rsidRPr="00D6259F">
        <w:rPr>
          <w:noProof/>
          <w:color w:val="000000" w:themeColor="text1"/>
        </w:rPr>
        <w:object w:dxaOrig="9735" w:dyaOrig="3915" w14:anchorId="5466D4A2">
          <v:shape id="_x0000_i1122" type="#_x0000_t75" style="width:477pt;height:185pt" o:ole="">
            <v:imagedata r:id="rId206" o:title=""/>
          </v:shape>
          <o:OLEObject Type="Link" ProgID="Excel.Sheet.12" ShapeID="_x0000_i1122" DrawAspect="Content" r:id="rId207" UpdateMode="Always">
            <o:LinkType>EnhancedMetaFile</o:LinkType>
            <o:LockedField>false</o:LockedField>
          </o:OLEObject>
        </w:object>
      </w:r>
    </w:p>
    <w:p w14:paraId="6E5F5901" w14:textId="77777777" w:rsidR="00260073" w:rsidRPr="00D6259F" w:rsidRDefault="00260073" w:rsidP="007C7248">
      <w:pPr>
        <w:pStyle w:val="Body"/>
        <w:rPr>
          <w:color w:val="000000" w:themeColor="text1"/>
        </w:rPr>
      </w:pPr>
    </w:p>
    <w:p w14:paraId="5AE6750C" w14:textId="55172BE4" w:rsidR="0012468A" w:rsidRPr="00D6259F" w:rsidRDefault="00D422B1" w:rsidP="008E45A5">
      <w:pPr>
        <w:jc w:val="both"/>
        <w:rPr>
          <w:color w:val="000000" w:themeColor="text1"/>
        </w:rPr>
      </w:pPr>
      <w:r w:rsidRPr="00D6259F">
        <w:rPr>
          <w:color w:val="000000" w:themeColor="text1"/>
        </w:rPr>
        <w:t xml:space="preserve">As </w:t>
      </w:r>
      <w:proofErr w:type="gramStart"/>
      <w:r w:rsidRPr="00D6259F">
        <w:rPr>
          <w:color w:val="000000" w:themeColor="text1"/>
        </w:rPr>
        <w:t>at</w:t>
      </w:r>
      <w:proofErr w:type="gramEnd"/>
      <w:r w:rsidRPr="00D6259F">
        <w:rPr>
          <w:color w:val="000000" w:themeColor="text1"/>
        </w:rPr>
        <w:t xml:space="preserve"> 30 June 202</w:t>
      </w:r>
      <w:r w:rsidR="00BE0657" w:rsidRPr="00D6259F">
        <w:rPr>
          <w:color w:val="000000" w:themeColor="text1"/>
        </w:rPr>
        <w:t>4</w:t>
      </w:r>
      <w:r w:rsidRPr="00D6259F">
        <w:rPr>
          <w:color w:val="000000" w:themeColor="text1"/>
        </w:rPr>
        <w:t xml:space="preserve"> key management personnel comprised of </w:t>
      </w:r>
      <w:r w:rsidR="00E04C58" w:rsidRPr="00D6259F">
        <w:rPr>
          <w:color w:val="000000" w:themeColor="text1"/>
        </w:rPr>
        <w:t>24</w:t>
      </w:r>
      <w:r w:rsidRPr="00D6259F">
        <w:rPr>
          <w:color w:val="000000" w:themeColor="text1"/>
        </w:rPr>
        <w:t xml:space="preserve"> individuals: 1</w:t>
      </w:r>
      <w:r w:rsidR="006F6666" w:rsidRPr="00D6259F">
        <w:rPr>
          <w:color w:val="000000" w:themeColor="text1"/>
        </w:rPr>
        <w:t>6</w:t>
      </w:r>
      <w:r w:rsidRPr="00D6259F">
        <w:rPr>
          <w:color w:val="000000" w:themeColor="text1"/>
        </w:rPr>
        <w:t xml:space="preserve"> elected members or 1</w:t>
      </w:r>
      <w:r w:rsidR="006F6666" w:rsidRPr="00D6259F">
        <w:rPr>
          <w:color w:val="000000" w:themeColor="text1"/>
        </w:rPr>
        <w:t>6</w:t>
      </w:r>
      <w:r w:rsidRPr="00D6259F">
        <w:rPr>
          <w:color w:val="000000" w:themeColor="text1"/>
        </w:rPr>
        <w:t xml:space="preserve"> fulltime equivalents (20</w:t>
      </w:r>
      <w:r w:rsidR="001B71AB" w:rsidRPr="00D6259F">
        <w:rPr>
          <w:color w:val="000000" w:themeColor="text1"/>
        </w:rPr>
        <w:t>2</w:t>
      </w:r>
      <w:r w:rsidR="00BE0657" w:rsidRPr="00D6259F">
        <w:rPr>
          <w:color w:val="000000" w:themeColor="text1"/>
        </w:rPr>
        <w:t>3</w:t>
      </w:r>
      <w:r w:rsidRPr="00D6259F">
        <w:rPr>
          <w:color w:val="000000" w:themeColor="text1"/>
        </w:rPr>
        <w:t>:</w:t>
      </w:r>
      <w:r w:rsidR="00AB5387" w:rsidRPr="00D6259F">
        <w:rPr>
          <w:color w:val="000000" w:themeColor="text1"/>
        </w:rPr>
        <w:t xml:space="preserve"> </w:t>
      </w:r>
      <w:r w:rsidR="00BE0657" w:rsidRPr="00D6259F">
        <w:rPr>
          <w:color w:val="000000" w:themeColor="text1"/>
        </w:rPr>
        <w:t>16</w:t>
      </w:r>
      <w:r w:rsidRPr="00D6259F">
        <w:rPr>
          <w:color w:val="000000" w:themeColor="text1"/>
        </w:rPr>
        <w:t xml:space="preserve">) and </w:t>
      </w:r>
      <w:r w:rsidR="00E04C58" w:rsidRPr="00D6259F">
        <w:rPr>
          <w:color w:val="000000" w:themeColor="text1"/>
        </w:rPr>
        <w:t>8</w:t>
      </w:r>
      <w:r w:rsidRPr="00D6259F">
        <w:rPr>
          <w:color w:val="000000" w:themeColor="text1"/>
        </w:rPr>
        <w:t xml:space="preserve"> executive leaders or </w:t>
      </w:r>
      <w:r w:rsidR="001A4312" w:rsidRPr="00D6259F">
        <w:rPr>
          <w:color w:val="000000" w:themeColor="text1"/>
        </w:rPr>
        <w:t>8</w:t>
      </w:r>
      <w:r w:rsidRPr="00D6259F">
        <w:rPr>
          <w:color w:val="000000" w:themeColor="text1"/>
        </w:rPr>
        <w:t xml:space="preserve"> fulltime equivalents (20</w:t>
      </w:r>
      <w:r w:rsidR="001B71AB" w:rsidRPr="00D6259F">
        <w:rPr>
          <w:color w:val="000000" w:themeColor="text1"/>
        </w:rPr>
        <w:t>2</w:t>
      </w:r>
      <w:r w:rsidR="00BE0657" w:rsidRPr="00D6259F">
        <w:rPr>
          <w:color w:val="000000" w:themeColor="text1"/>
        </w:rPr>
        <w:t>3</w:t>
      </w:r>
      <w:r w:rsidRPr="00D6259F">
        <w:rPr>
          <w:color w:val="000000" w:themeColor="text1"/>
        </w:rPr>
        <w:t xml:space="preserve">: </w:t>
      </w:r>
      <w:r w:rsidR="00697C65" w:rsidRPr="00D6259F">
        <w:rPr>
          <w:color w:val="000000" w:themeColor="text1"/>
        </w:rPr>
        <w:t>9</w:t>
      </w:r>
      <w:r w:rsidRPr="00D6259F">
        <w:rPr>
          <w:color w:val="000000" w:themeColor="text1"/>
        </w:rPr>
        <w:t>).</w:t>
      </w:r>
      <w:r w:rsidR="00C46754" w:rsidRPr="00D6259F">
        <w:rPr>
          <w:color w:val="000000" w:themeColor="text1"/>
        </w:rPr>
        <w:t xml:space="preserve"> </w:t>
      </w:r>
    </w:p>
    <w:p w14:paraId="7535A39E" w14:textId="65C476B8" w:rsidR="00AB5387" w:rsidRPr="00D6259F" w:rsidRDefault="00AB5387" w:rsidP="008E45A5">
      <w:pPr>
        <w:jc w:val="both"/>
        <w:rPr>
          <w:color w:val="000000" w:themeColor="text1"/>
        </w:rPr>
      </w:pPr>
      <w:r w:rsidRPr="00D6259F">
        <w:rPr>
          <w:color w:val="000000" w:themeColor="text1"/>
        </w:rPr>
        <w:t xml:space="preserve">For consistency we have restated the 2023 comparatives to exclude the non-monetary remuneration (benefit) in relation to a pool of on-site car parking spaces provided as the Council considers it immaterial and not practical to include this information. For further information see </w:t>
      </w:r>
      <w:r w:rsidRPr="00D6259F">
        <w:rPr>
          <w:i/>
          <w:iCs/>
          <w:color w:val="000000" w:themeColor="text1"/>
        </w:rPr>
        <w:t>Note 38 Remuneration and staffing</w:t>
      </w:r>
      <w:r w:rsidRPr="00D6259F">
        <w:rPr>
          <w:color w:val="000000" w:themeColor="text1"/>
        </w:rPr>
        <w:t xml:space="preserve"> (page </w:t>
      </w:r>
      <w:r w:rsidR="008B0E35" w:rsidRPr="00D6259F">
        <w:rPr>
          <w:color w:val="000000" w:themeColor="text1"/>
        </w:rPr>
        <w:t>116</w:t>
      </w:r>
      <w:r w:rsidRPr="00D6259F">
        <w:rPr>
          <w:color w:val="000000" w:themeColor="text1"/>
        </w:rPr>
        <w:t>)</w:t>
      </w:r>
    </w:p>
    <w:p w14:paraId="6A46A23B" w14:textId="77777777" w:rsidR="00087AC1" w:rsidRPr="00D6259F" w:rsidRDefault="00087AC1" w:rsidP="00087AC1">
      <w:pPr>
        <w:pStyle w:val="Heading3"/>
      </w:pPr>
      <w:bookmarkStart w:id="230" w:name="_Toc121217193"/>
      <w:r w:rsidRPr="00D6259F">
        <w:t>Material related party transactions</w:t>
      </w:r>
      <w:bookmarkEnd w:id="230"/>
    </w:p>
    <w:p w14:paraId="32CAABCB" w14:textId="77777777" w:rsidR="00D422B1" w:rsidRPr="00D6259F" w:rsidRDefault="00D422B1" w:rsidP="007C7248">
      <w:pPr>
        <w:pStyle w:val="Heading4"/>
      </w:pPr>
      <w:bookmarkStart w:id="231" w:name="_Hlk81667956"/>
      <w:bookmarkEnd w:id="229"/>
      <w:r w:rsidRPr="00D6259F">
        <w:t>Material related party transactions – key management personnel</w:t>
      </w:r>
    </w:p>
    <w:p w14:paraId="242D55FA" w14:textId="1841ED13" w:rsidR="00F12D33" w:rsidRPr="00D6259F" w:rsidRDefault="00D422B1" w:rsidP="007C7248">
      <w:pPr>
        <w:rPr>
          <w:color w:val="000000" w:themeColor="text1"/>
        </w:rPr>
      </w:pPr>
      <w:r w:rsidRPr="00D6259F">
        <w:rPr>
          <w:color w:val="000000" w:themeColor="text1"/>
        </w:rPr>
        <w:t>During the year</w:t>
      </w:r>
      <w:r w:rsidR="0011411A" w:rsidRPr="00D6259F">
        <w:rPr>
          <w:color w:val="000000" w:themeColor="text1"/>
        </w:rPr>
        <w:t>,</w:t>
      </w:r>
      <w:r w:rsidRPr="00D6259F">
        <w:rPr>
          <w:color w:val="000000" w:themeColor="text1"/>
        </w:rPr>
        <w:t xml:space="preserve"> key management personnel, as part of normal local authority relationships, were involved in transactions with the Council such as payment of rates and purchases of rubbish bags or other Council services.</w:t>
      </w:r>
      <w:r w:rsidR="00F12D33" w:rsidRPr="00D6259F">
        <w:rPr>
          <w:color w:val="000000" w:themeColor="text1"/>
        </w:rPr>
        <w:t xml:space="preserve"> </w:t>
      </w:r>
      <w:r w:rsidRPr="00D6259F">
        <w:rPr>
          <w:color w:val="000000" w:themeColor="text1"/>
        </w:rPr>
        <w:t xml:space="preserve">These transactions were on normal commercial terms. </w:t>
      </w:r>
    </w:p>
    <w:p w14:paraId="5B028FEC" w14:textId="1CA9DAE2" w:rsidR="00EB4A3F" w:rsidRPr="00D6259F" w:rsidRDefault="00EB4A3F" w:rsidP="00EB4A3F">
      <w:pPr>
        <w:spacing w:after="0" w:line="240" w:lineRule="auto"/>
        <w:textAlignment w:val="baseline"/>
        <w:rPr>
          <w:color w:val="000000" w:themeColor="text1"/>
        </w:rPr>
      </w:pPr>
      <w:r w:rsidRPr="00D6259F">
        <w:rPr>
          <w:color w:val="000000" w:themeColor="text1"/>
        </w:rPr>
        <w:t xml:space="preserve">A related party of an Executive Leadership Team member provided training services, through a company, to the Council during the year. These services valued at </w:t>
      </w:r>
      <w:r w:rsidR="000903CD" w:rsidRPr="00D6259F">
        <w:rPr>
          <w:color w:val="000000" w:themeColor="text1"/>
        </w:rPr>
        <w:t>$9k</w:t>
      </w:r>
      <w:r w:rsidRPr="00D6259F">
        <w:rPr>
          <w:color w:val="000000" w:themeColor="text1"/>
        </w:rPr>
        <w:t xml:space="preserve"> </w:t>
      </w:r>
      <w:r w:rsidR="00F914D1" w:rsidRPr="00D6259F">
        <w:rPr>
          <w:color w:val="000000" w:themeColor="text1"/>
        </w:rPr>
        <w:t>(2023: $</w:t>
      </w:r>
      <w:r w:rsidR="000903CD" w:rsidRPr="00D6259F">
        <w:rPr>
          <w:color w:val="000000" w:themeColor="text1"/>
        </w:rPr>
        <w:t>24k</w:t>
      </w:r>
      <w:r w:rsidR="00F914D1" w:rsidRPr="00D6259F">
        <w:rPr>
          <w:color w:val="000000" w:themeColor="text1"/>
        </w:rPr>
        <w:t xml:space="preserve">) </w:t>
      </w:r>
      <w:r w:rsidRPr="00D6259F">
        <w:rPr>
          <w:color w:val="000000" w:themeColor="text1"/>
        </w:rPr>
        <w:t>were procured as arm’s length transactions on normal commercial terms.  </w:t>
      </w:r>
    </w:p>
    <w:p w14:paraId="37E8F0AA" w14:textId="77777777" w:rsidR="00EB4A3F" w:rsidRPr="00D6259F" w:rsidRDefault="00EB4A3F" w:rsidP="00EB4A3F">
      <w:pPr>
        <w:spacing w:after="0" w:line="240" w:lineRule="auto"/>
        <w:textAlignment w:val="baseline"/>
        <w:rPr>
          <w:color w:val="000000" w:themeColor="text1"/>
        </w:rPr>
      </w:pPr>
    </w:p>
    <w:p w14:paraId="0C582CC0" w14:textId="57A36E64" w:rsidR="00EB4A3F" w:rsidRPr="00D6259F" w:rsidRDefault="00EB4A3F" w:rsidP="00EB4A3F">
      <w:pPr>
        <w:spacing w:after="0" w:line="240" w:lineRule="auto"/>
        <w:textAlignment w:val="baseline"/>
        <w:rPr>
          <w:rFonts w:ascii="Calibri" w:eastAsia="Times New Roman" w:hAnsi="Calibri" w:cs="Calibri"/>
          <w:color w:val="000000" w:themeColor="text1"/>
          <w:lang w:eastAsia="en-NZ"/>
        </w:rPr>
      </w:pPr>
      <w:r w:rsidRPr="00D6259F">
        <w:rPr>
          <w:color w:val="000000" w:themeColor="text1"/>
        </w:rPr>
        <w:t xml:space="preserve">A related party of an Executive Leadership Team member </w:t>
      </w:r>
      <w:r w:rsidR="000903CD" w:rsidRPr="00D6259F">
        <w:rPr>
          <w:color w:val="000000" w:themeColor="text1"/>
        </w:rPr>
        <w:t>paid the Council $50k for</w:t>
      </w:r>
      <w:r w:rsidRPr="00D6259F">
        <w:rPr>
          <w:color w:val="000000" w:themeColor="text1"/>
        </w:rPr>
        <w:t xml:space="preserve"> sponsorship </w:t>
      </w:r>
      <w:r w:rsidR="000903CD" w:rsidRPr="00D6259F">
        <w:rPr>
          <w:color w:val="000000" w:themeColor="text1"/>
        </w:rPr>
        <w:t xml:space="preserve">related activities </w:t>
      </w:r>
      <w:r w:rsidRPr="00D6259F">
        <w:rPr>
          <w:color w:val="000000" w:themeColor="text1"/>
        </w:rPr>
        <w:t xml:space="preserve">during the </w:t>
      </w:r>
      <w:r w:rsidR="000903CD" w:rsidRPr="00D6259F">
        <w:rPr>
          <w:color w:val="000000" w:themeColor="text1"/>
        </w:rPr>
        <w:t>2022/23 financial year</w:t>
      </w:r>
      <w:r w:rsidRPr="00D6259F">
        <w:rPr>
          <w:color w:val="000000" w:themeColor="text1"/>
        </w:rPr>
        <w:t>. These services were procured as arm’s length transactions on normal commercial terms.</w:t>
      </w:r>
      <w:r w:rsidR="000903CD" w:rsidRPr="00D6259F">
        <w:rPr>
          <w:color w:val="000000" w:themeColor="text1"/>
        </w:rPr>
        <w:t xml:space="preserve"> There was no similar payment during the current financial year.</w:t>
      </w:r>
      <w:r w:rsidRPr="00D6259F">
        <w:rPr>
          <w:color w:val="000000" w:themeColor="text1"/>
        </w:rPr>
        <w:t> </w:t>
      </w:r>
      <w:r w:rsidRPr="00D6259F">
        <w:rPr>
          <w:rFonts w:ascii="Calibri" w:eastAsia="Times New Roman" w:hAnsi="Calibri" w:cs="Calibri"/>
          <w:color w:val="000000" w:themeColor="text1"/>
          <w:lang w:eastAsia="en-NZ"/>
        </w:rPr>
        <w:t> </w:t>
      </w:r>
    </w:p>
    <w:p w14:paraId="15401E1F" w14:textId="77777777" w:rsidR="00EB4A3F" w:rsidRPr="00D6259F" w:rsidRDefault="00EB4A3F" w:rsidP="00EB4A3F">
      <w:pPr>
        <w:spacing w:after="0" w:line="240" w:lineRule="auto"/>
        <w:textAlignment w:val="baseline"/>
        <w:rPr>
          <w:rFonts w:ascii="Segoe UI" w:eastAsia="Times New Roman" w:hAnsi="Segoe UI" w:cs="Segoe UI"/>
          <w:color w:val="000000" w:themeColor="text1"/>
          <w:sz w:val="18"/>
          <w:szCs w:val="18"/>
          <w:lang w:eastAsia="en-NZ"/>
        </w:rPr>
      </w:pPr>
    </w:p>
    <w:p w14:paraId="7A481961" w14:textId="3150AE18" w:rsidR="002C0889" w:rsidRPr="00D6259F" w:rsidRDefault="002C0889" w:rsidP="007C7248">
      <w:pPr>
        <w:rPr>
          <w:color w:val="000000" w:themeColor="text1"/>
        </w:rPr>
      </w:pPr>
      <w:r w:rsidRPr="00D6259F">
        <w:rPr>
          <w:color w:val="000000" w:themeColor="text1"/>
        </w:rPr>
        <w:t xml:space="preserve">Except for these transactions no key management personnel have </w:t>
      </w:r>
      <w:proofErr w:type="gramStart"/>
      <w:r w:rsidRPr="00D6259F">
        <w:rPr>
          <w:color w:val="000000" w:themeColor="text1"/>
        </w:rPr>
        <w:t>entered into</w:t>
      </w:r>
      <w:proofErr w:type="gramEnd"/>
      <w:r w:rsidRPr="00D6259F">
        <w:rPr>
          <w:color w:val="000000" w:themeColor="text1"/>
        </w:rPr>
        <w:t xml:space="preserve"> related party transactions with the</w:t>
      </w:r>
      <w:r w:rsidR="006020F7" w:rsidRPr="00D6259F">
        <w:rPr>
          <w:color w:val="000000" w:themeColor="text1"/>
        </w:rPr>
        <w:t xml:space="preserve"> Group</w:t>
      </w:r>
      <w:r w:rsidRPr="00D6259F">
        <w:rPr>
          <w:color w:val="000000" w:themeColor="text1"/>
        </w:rPr>
        <w:t>.</w:t>
      </w:r>
    </w:p>
    <w:p w14:paraId="3B029BF8" w14:textId="77777777" w:rsidR="00D422B1" w:rsidRPr="00D6259F" w:rsidRDefault="00D422B1" w:rsidP="007C7248">
      <w:pPr>
        <w:rPr>
          <w:color w:val="000000" w:themeColor="text1"/>
        </w:rPr>
      </w:pPr>
      <w:r w:rsidRPr="00D6259F">
        <w:rPr>
          <w:color w:val="000000" w:themeColor="text1"/>
        </w:rPr>
        <w:t>The Mayor and Councillor’s disclose their personal interests in a register available on the Council website.</w:t>
      </w:r>
    </w:p>
    <w:p w14:paraId="6E264B23" w14:textId="77777777" w:rsidR="00D422B1" w:rsidRPr="00D6259F" w:rsidRDefault="00D422B1" w:rsidP="007C7248">
      <w:pPr>
        <w:rPr>
          <w:color w:val="000000" w:themeColor="text1"/>
        </w:rPr>
      </w:pPr>
      <w:r w:rsidRPr="00D6259F">
        <w:rPr>
          <w:color w:val="000000" w:themeColor="text1"/>
        </w:rPr>
        <w:t xml:space="preserve">There are no commitments from </w:t>
      </w:r>
      <w:r w:rsidR="00471E5C" w:rsidRPr="00D6259F">
        <w:rPr>
          <w:color w:val="000000" w:themeColor="text1"/>
        </w:rPr>
        <w:t xml:space="preserve">the </w:t>
      </w:r>
      <w:r w:rsidRPr="00D6259F">
        <w:rPr>
          <w:color w:val="000000" w:themeColor="text1"/>
        </w:rPr>
        <w:t>Council to key management personnel.</w:t>
      </w:r>
    </w:p>
    <w:bookmarkEnd w:id="231"/>
    <w:p w14:paraId="4E572438" w14:textId="77777777" w:rsidR="00AB5387" w:rsidRPr="00D6259F" w:rsidRDefault="00AB5387">
      <w:pPr>
        <w:rPr>
          <w:rFonts w:eastAsiaTheme="majorEastAsia" w:cs="Calibri"/>
          <w:b/>
          <w:bCs/>
          <w:i/>
          <w:iCs/>
          <w:color w:val="000000" w:themeColor="text1"/>
          <w:sz w:val="28"/>
          <w:szCs w:val="28"/>
          <w:lang w:eastAsia="en-NZ"/>
        </w:rPr>
      </w:pPr>
      <w:r w:rsidRPr="00D6259F">
        <w:rPr>
          <w:color w:val="000000" w:themeColor="text1"/>
        </w:rPr>
        <w:br w:type="page"/>
      </w:r>
    </w:p>
    <w:p w14:paraId="4E1D79F2" w14:textId="7991181E" w:rsidR="00D422B1" w:rsidRPr="00D6259F" w:rsidRDefault="00D422B1" w:rsidP="007C7248">
      <w:pPr>
        <w:pStyle w:val="Heading4"/>
        <w:rPr>
          <w:szCs w:val="20"/>
        </w:rPr>
      </w:pPr>
      <w:r w:rsidRPr="00D6259F">
        <w:lastRenderedPageBreak/>
        <w:t>Material related party transactions – structured entities</w:t>
      </w:r>
    </w:p>
    <w:p w14:paraId="5BDC190C" w14:textId="2408A44F" w:rsidR="00D422B1" w:rsidRPr="00D6259F" w:rsidRDefault="00D422B1" w:rsidP="007C7248">
      <w:pPr>
        <w:pStyle w:val="Heading5"/>
        <w:rPr>
          <w:color w:val="000000" w:themeColor="text1"/>
        </w:rPr>
      </w:pPr>
      <w:r w:rsidRPr="00D6259F">
        <w:rPr>
          <w:color w:val="000000" w:themeColor="text1"/>
        </w:rPr>
        <w:t>Local Government Funding Agency Limited (LGFA)</w:t>
      </w:r>
    </w:p>
    <w:p w14:paraId="25B9BCEC" w14:textId="04487C1B" w:rsidR="00D422B1" w:rsidRPr="00D6259F" w:rsidRDefault="00D422B1" w:rsidP="007C7248">
      <w:pPr>
        <w:rPr>
          <w:color w:val="000000" w:themeColor="text1"/>
        </w:rPr>
      </w:pPr>
      <w:r w:rsidRPr="00D6259F">
        <w:rPr>
          <w:color w:val="000000" w:themeColor="text1"/>
        </w:rPr>
        <w:t>The LGFA was incorporated on 1 December 2011 and was established to facilitate the efficient, and cost effective, raising of debt funding for local government authorities. There are currently 30 regional, district and city councils throughout New Zealand that own 80</w:t>
      </w:r>
      <w:r w:rsidR="00FA6D44" w:rsidRPr="00D6259F">
        <w:rPr>
          <w:color w:val="000000" w:themeColor="text1"/>
        </w:rPr>
        <w:t xml:space="preserve"> percent</w:t>
      </w:r>
      <w:r w:rsidRPr="00D6259F">
        <w:rPr>
          <w:color w:val="000000" w:themeColor="text1"/>
        </w:rPr>
        <w:t xml:space="preserve"> of the issued capital, with the </w:t>
      </w:r>
      <w:r w:rsidR="00F2150F" w:rsidRPr="00D6259F">
        <w:rPr>
          <w:color w:val="000000" w:themeColor="text1"/>
        </w:rPr>
        <w:t>Crown</w:t>
      </w:r>
      <w:r w:rsidRPr="00D6259F">
        <w:rPr>
          <w:color w:val="000000" w:themeColor="text1"/>
        </w:rPr>
        <w:t xml:space="preserve"> holding the remaining 20</w:t>
      </w:r>
      <w:r w:rsidR="00FA6D44" w:rsidRPr="00D6259F">
        <w:rPr>
          <w:color w:val="000000" w:themeColor="text1"/>
        </w:rPr>
        <w:t xml:space="preserve"> percent</w:t>
      </w:r>
      <w:r w:rsidRPr="00D6259F">
        <w:rPr>
          <w:color w:val="000000" w:themeColor="text1"/>
        </w:rPr>
        <w:t>. The Council became an establishment shareholder in this Council Controlled Trading Organisation (CCTO) and currently has an investment of $</w:t>
      </w:r>
      <w:r w:rsidR="00F914D1" w:rsidRPr="00D6259F">
        <w:rPr>
          <w:color w:val="000000" w:themeColor="text1"/>
        </w:rPr>
        <w:t>9.2m (2023: $8.8m)</w:t>
      </w:r>
      <w:r w:rsidRPr="00D6259F">
        <w:rPr>
          <w:color w:val="000000" w:themeColor="text1"/>
        </w:rPr>
        <w:t xml:space="preserve"> representing 8.3</w:t>
      </w:r>
      <w:r w:rsidR="00FA6D44" w:rsidRPr="00D6259F">
        <w:rPr>
          <w:color w:val="000000" w:themeColor="text1"/>
        </w:rPr>
        <w:t xml:space="preserve"> percent</w:t>
      </w:r>
      <w:r w:rsidRPr="00D6259F">
        <w:rPr>
          <w:color w:val="000000" w:themeColor="text1"/>
        </w:rPr>
        <w:t xml:space="preserve"> </w:t>
      </w:r>
      <w:r w:rsidR="00F914D1" w:rsidRPr="00D6259F">
        <w:rPr>
          <w:color w:val="000000" w:themeColor="text1"/>
        </w:rPr>
        <w:t xml:space="preserve">(2023: 8.3 percent) </w:t>
      </w:r>
      <w:r w:rsidRPr="00D6259F">
        <w:rPr>
          <w:color w:val="000000" w:themeColor="text1"/>
        </w:rPr>
        <w:t xml:space="preserve">of paid-up capital. </w:t>
      </w:r>
    </w:p>
    <w:p w14:paraId="61918239" w14:textId="3FDCE8C3" w:rsidR="00322F72" w:rsidRPr="00D6259F" w:rsidRDefault="00D422B1" w:rsidP="007C7248">
      <w:pPr>
        <w:rPr>
          <w:color w:val="000000" w:themeColor="text1"/>
        </w:rPr>
      </w:pPr>
      <w:r w:rsidRPr="00D6259F">
        <w:rPr>
          <w:color w:val="000000" w:themeColor="text1"/>
        </w:rPr>
        <w:t>During the year end</w:t>
      </w:r>
      <w:r w:rsidR="000030D8" w:rsidRPr="00D6259F">
        <w:rPr>
          <w:color w:val="000000" w:themeColor="text1"/>
        </w:rPr>
        <w:t>ed</w:t>
      </w:r>
      <w:r w:rsidRPr="00D6259F">
        <w:rPr>
          <w:color w:val="000000" w:themeColor="text1"/>
        </w:rPr>
        <w:t xml:space="preserve"> 30 June 202</w:t>
      </w:r>
      <w:r w:rsidR="00BE0657" w:rsidRPr="00D6259F">
        <w:rPr>
          <w:color w:val="000000" w:themeColor="text1"/>
        </w:rPr>
        <w:t>4</w:t>
      </w:r>
      <w:r w:rsidRPr="00D6259F">
        <w:rPr>
          <w:color w:val="000000" w:themeColor="text1"/>
        </w:rPr>
        <w:t xml:space="preserve"> </w:t>
      </w:r>
      <w:r w:rsidR="00471E5C" w:rsidRPr="00D6259F">
        <w:rPr>
          <w:color w:val="000000" w:themeColor="text1"/>
        </w:rPr>
        <w:t xml:space="preserve">the </w:t>
      </w:r>
      <w:r w:rsidRPr="00D6259F">
        <w:rPr>
          <w:color w:val="000000" w:themeColor="text1"/>
        </w:rPr>
        <w:t>Council drew down new borrowings of $</w:t>
      </w:r>
      <w:r w:rsidR="00CD669C" w:rsidRPr="00D6259F">
        <w:rPr>
          <w:color w:val="000000" w:themeColor="text1"/>
        </w:rPr>
        <w:t>545.5m</w:t>
      </w:r>
      <w:r w:rsidRPr="00D6259F">
        <w:rPr>
          <w:color w:val="000000" w:themeColor="text1"/>
        </w:rPr>
        <w:t xml:space="preserve"> and repaid $</w:t>
      </w:r>
      <w:r w:rsidR="003A2F4A" w:rsidRPr="00D6259F">
        <w:rPr>
          <w:color w:val="000000" w:themeColor="text1"/>
        </w:rPr>
        <w:t>132.5</w:t>
      </w:r>
      <w:r w:rsidR="00CD669C" w:rsidRPr="00D6259F">
        <w:rPr>
          <w:color w:val="000000" w:themeColor="text1"/>
        </w:rPr>
        <w:t>m.</w:t>
      </w:r>
      <w:r w:rsidRPr="00D6259F">
        <w:rPr>
          <w:color w:val="000000" w:themeColor="text1"/>
        </w:rPr>
        <w:t xml:space="preserve"> Interest expense </w:t>
      </w:r>
      <w:r w:rsidR="00633692" w:rsidRPr="00D6259F">
        <w:rPr>
          <w:color w:val="000000" w:themeColor="text1"/>
        </w:rPr>
        <w:t xml:space="preserve">is </w:t>
      </w:r>
      <w:r w:rsidRPr="00D6259F">
        <w:rPr>
          <w:color w:val="000000" w:themeColor="text1"/>
        </w:rPr>
        <w:t xml:space="preserve">paid quarterly in arrears on </w:t>
      </w:r>
      <w:r w:rsidR="00AE28F0" w:rsidRPr="00D6259F">
        <w:rPr>
          <w:color w:val="000000" w:themeColor="text1"/>
        </w:rPr>
        <w:t>all</w:t>
      </w:r>
      <w:r w:rsidRPr="00D6259F">
        <w:rPr>
          <w:color w:val="000000" w:themeColor="text1"/>
        </w:rPr>
        <w:t xml:space="preserve"> borrowings and interest revenue of $</w:t>
      </w:r>
      <w:r w:rsidR="003A2F4A" w:rsidRPr="00D6259F">
        <w:rPr>
          <w:color w:val="000000" w:themeColor="text1"/>
        </w:rPr>
        <w:t>0.3m</w:t>
      </w:r>
      <w:r w:rsidR="00BE0657" w:rsidRPr="00D6259F">
        <w:rPr>
          <w:color w:val="000000" w:themeColor="text1"/>
        </w:rPr>
        <w:t xml:space="preserve"> </w:t>
      </w:r>
      <w:r w:rsidR="003A2F4A" w:rsidRPr="00D6259F">
        <w:rPr>
          <w:color w:val="000000" w:themeColor="text1"/>
        </w:rPr>
        <w:t xml:space="preserve">(2023: $0.3m) </w:t>
      </w:r>
      <w:r w:rsidRPr="00D6259F">
        <w:rPr>
          <w:color w:val="000000" w:themeColor="text1"/>
        </w:rPr>
        <w:t xml:space="preserve">was received on </w:t>
      </w:r>
      <w:r w:rsidR="003A2F4A" w:rsidRPr="00D6259F">
        <w:rPr>
          <w:color w:val="000000" w:themeColor="text1"/>
        </w:rPr>
        <w:t>$2.8m (2023: $1.9m)</w:t>
      </w:r>
      <w:r w:rsidR="00BE0657" w:rsidRPr="00D6259F">
        <w:rPr>
          <w:color w:val="000000" w:themeColor="text1"/>
        </w:rPr>
        <w:t xml:space="preserve"> </w:t>
      </w:r>
      <w:r w:rsidR="00C6788D" w:rsidRPr="00D6259F">
        <w:rPr>
          <w:color w:val="000000" w:themeColor="text1"/>
        </w:rPr>
        <w:t xml:space="preserve">of </w:t>
      </w:r>
      <w:r w:rsidR="00633692" w:rsidRPr="00D6259F">
        <w:rPr>
          <w:color w:val="000000" w:themeColor="text1"/>
        </w:rPr>
        <w:t xml:space="preserve">maturing </w:t>
      </w:r>
      <w:r w:rsidRPr="00D6259F">
        <w:rPr>
          <w:color w:val="000000" w:themeColor="text1"/>
        </w:rPr>
        <w:t>borrower notes</w:t>
      </w:r>
      <w:r w:rsidR="00633692" w:rsidRPr="00D6259F">
        <w:rPr>
          <w:color w:val="000000" w:themeColor="text1"/>
        </w:rPr>
        <w:t>.</w:t>
      </w:r>
      <w:r w:rsidRPr="00D6259F">
        <w:rPr>
          <w:color w:val="000000" w:themeColor="text1"/>
        </w:rPr>
        <w:t xml:space="preserve"> </w:t>
      </w:r>
      <w:r w:rsidR="00471E5C" w:rsidRPr="00D6259F">
        <w:rPr>
          <w:color w:val="000000" w:themeColor="text1"/>
        </w:rPr>
        <w:t xml:space="preserve">The </w:t>
      </w:r>
      <w:r w:rsidR="001432EE" w:rsidRPr="00D6259F">
        <w:rPr>
          <w:color w:val="000000" w:themeColor="text1"/>
        </w:rPr>
        <w:t>Council borrowings from the LGFA are comprised of $</w:t>
      </w:r>
      <w:r w:rsidR="0033585D" w:rsidRPr="00D6259F">
        <w:rPr>
          <w:color w:val="000000" w:themeColor="text1"/>
        </w:rPr>
        <w:t>1</w:t>
      </w:r>
      <w:r w:rsidR="003A2F4A" w:rsidRPr="00D6259F">
        <w:rPr>
          <w:color w:val="000000" w:themeColor="text1"/>
        </w:rPr>
        <w:t>60</w:t>
      </w:r>
      <w:r w:rsidR="0033585D" w:rsidRPr="00D6259F">
        <w:rPr>
          <w:color w:val="000000" w:themeColor="text1"/>
        </w:rPr>
        <w:t>.0</w:t>
      </w:r>
      <w:r w:rsidR="001432EE" w:rsidRPr="00D6259F">
        <w:rPr>
          <w:color w:val="000000" w:themeColor="text1"/>
        </w:rPr>
        <w:t xml:space="preserve">m </w:t>
      </w:r>
      <w:r w:rsidR="00593708" w:rsidRPr="00D6259F">
        <w:rPr>
          <w:color w:val="000000" w:themeColor="text1"/>
        </w:rPr>
        <w:t>(202</w:t>
      </w:r>
      <w:r w:rsidR="00BE0657" w:rsidRPr="00D6259F">
        <w:rPr>
          <w:color w:val="000000" w:themeColor="text1"/>
        </w:rPr>
        <w:t>3</w:t>
      </w:r>
      <w:r w:rsidR="00593708" w:rsidRPr="00D6259F">
        <w:rPr>
          <w:color w:val="000000" w:themeColor="text1"/>
        </w:rPr>
        <w:t>:</w:t>
      </w:r>
      <w:r w:rsidR="000030D8" w:rsidRPr="00D6259F">
        <w:rPr>
          <w:color w:val="000000" w:themeColor="text1"/>
        </w:rPr>
        <w:t xml:space="preserve"> $</w:t>
      </w:r>
      <w:r w:rsidR="00593708" w:rsidRPr="00D6259F">
        <w:rPr>
          <w:color w:val="000000" w:themeColor="text1"/>
        </w:rPr>
        <w:t xml:space="preserve">100.0m) </w:t>
      </w:r>
      <w:r w:rsidR="001432EE" w:rsidRPr="00D6259F">
        <w:rPr>
          <w:color w:val="000000" w:themeColor="text1"/>
        </w:rPr>
        <w:t xml:space="preserve">of </w:t>
      </w:r>
      <w:r w:rsidR="0011411A" w:rsidRPr="00D6259F">
        <w:rPr>
          <w:color w:val="000000" w:themeColor="text1"/>
        </w:rPr>
        <w:t>f</w:t>
      </w:r>
      <w:r w:rsidR="001432EE" w:rsidRPr="00D6259F">
        <w:rPr>
          <w:color w:val="000000" w:themeColor="text1"/>
        </w:rPr>
        <w:t xml:space="preserve">ixed </w:t>
      </w:r>
      <w:r w:rsidR="0011411A" w:rsidRPr="00D6259F">
        <w:rPr>
          <w:color w:val="000000" w:themeColor="text1"/>
        </w:rPr>
        <w:t>r</w:t>
      </w:r>
      <w:r w:rsidR="001432EE" w:rsidRPr="00D6259F">
        <w:rPr>
          <w:color w:val="000000" w:themeColor="text1"/>
        </w:rPr>
        <w:t xml:space="preserve">ate </w:t>
      </w:r>
      <w:r w:rsidR="0011411A" w:rsidRPr="00D6259F">
        <w:rPr>
          <w:color w:val="000000" w:themeColor="text1"/>
        </w:rPr>
        <w:t>b</w:t>
      </w:r>
      <w:r w:rsidR="001432EE" w:rsidRPr="00D6259F">
        <w:rPr>
          <w:color w:val="000000" w:themeColor="text1"/>
        </w:rPr>
        <w:t>onds and $</w:t>
      </w:r>
      <w:r w:rsidR="00CD669C" w:rsidRPr="00D6259F">
        <w:rPr>
          <w:color w:val="000000" w:themeColor="text1"/>
        </w:rPr>
        <w:t>1,420.0m</w:t>
      </w:r>
      <w:r w:rsidR="00714D1F" w:rsidRPr="00D6259F">
        <w:rPr>
          <w:color w:val="000000" w:themeColor="text1"/>
        </w:rPr>
        <w:t xml:space="preserve"> (</w:t>
      </w:r>
      <w:r w:rsidR="00593708" w:rsidRPr="00D6259F">
        <w:rPr>
          <w:color w:val="000000" w:themeColor="text1"/>
        </w:rPr>
        <w:t>202</w:t>
      </w:r>
      <w:r w:rsidR="00BE0657" w:rsidRPr="00D6259F">
        <w:rPr>
          <w:color w:val="000000" w:themeColor="text1"/>
        </w:rPr>
        <w:t>3</w:t>
      </w:r>
      <w:r w:rsidR="00593708" w:rsidRPr="00D6259F">
        <w:rPr>
          <w:color w:val="000000" w:themeColor="text1"/>
        </w:rPr>
        <w:t>: $</w:t>
      </w:r>
      <w:r w:rsidR="00BE0657" w:rsidRPr="00D6259F">
        <w:rPr>
          <w:color w:val="000000" w:themeColor="text1"/>
        </w:rPr>
        <w:t>1,067.0m</w:t>
      </w:r>
      <w:r w:rsidR="00593708" w:rsidRPr="00D6259F">
        <w:rPr>
          <w:color w:val="000000" w:themeColor="text1"/>
        </w:rPr>
        <w:t xml:space="preserve">) </w:t>
      </w:r>
      <w:r w:rsidR="001432EE" w:rsidRPr="00D6259F">
        <w:rPr>
          <w:color w:val="000000" w:themeColor="text1"/>
        </w:rPr>
        <w:t xml:space="preserve">of </w:t>
      </w:r>
      <w:r w:rsidR="0011411A" w:rsidRPr="00D6259F">
        <w:rPr>
          <w:color w:val="000000" w:themeColor="text1"/>
        </w:rPr>
        <w:t>f</w:t>
      </w:r>
      <w:r w:rsidR="001432EE" w:rsidRPr="00D6259F">
        <w:rPr>
          <w:color w:val="000000" w:themeColor="text1"/>
        </w:rPr>
        <w:t xml:space="preserve">loating </w:t>
      </w:r>
      <w:r w:rsidR="0011411A" w:rsidRPr="00D6259F">
        <w:rPr>
          <w:color w:val="000000" w:themeColor="text1"/>
        </w:rPr>
        <w:t>r</w:t>
      </w:r>
      <w:r w:rsidR="001432EE" w:rsidRPr="00D6259F">
        <w:rPr>
          <w:color w:val="000000" w:themeColor="text1"/>
        </w:rPr>
        <w:t xml:space="preserve">ate </w:t>
      </w:r>
      <w:r w:rsidR="0011411A" w:rsidRPr="00D6259F">
        <w:rPr>
          <w:color w:val="000000" w:themeColor="text1"/>
        </w:rPr>
        <w:t>n</w:t>
      </w:r>
      <w:r w:rsidR="001432EE" w:rsidRPr="00D6259F">
        <w:rPr>
          <w:color w:val="000000" w:themeColor="text1"/>
        </w:rPr>
        <w:t>otes</w:t>
      </w:r>
      <w:r w:rsidR="0033585D" w:rsidRPr="00D6259F">
        <w:rPr>
          <w:color w:val="000000" w:themeColor="text1"/>
        </w:rPr>
        <w:t xml:space="preserve">, including </w:t>
      </w:r>
      <w:r w:rsidR="00CD669C" w:rsidRPr="00D6259F">
        <w:rPr>
          <w:color w:val="000000" w:themeColor="text1"/>
        </w:rPr>
        <w:t>$414.0m</w:t>
      </w:r>
      <w:r w:rsidR="00B41201" w:rsidRPr="00D6259F">
        <w:rPr>
          <w:color w:val="000000" w:themeColor="text1"/>
        </w:rPr>
        <w:t xml:space="preserve"> (</w:t>
      </w:r>
      <w:r w:rsidR="00654D32" w:rsidRPr="00D6259F">
        <w:rPr>
          <w:color w:val="000000" w:themeColor="text1"/>
        </w:rPr>
        <w:t>202</w:t>
      </w:r>
      <w:r w:rsidR="00BE0657" w:rsidRPr="00D6259F">
        <w:rPr>
          <w:color w:val="000000" w:themeColor="text1"/>
        </w:rPr>
        <w:t>3</w:t>
      </w:r>
      <w:r w:rsidR="00654D32" w:rsidRPr="00D6259F">
        <w:rPr>
          <w:color w:val="000000" w:themeColor="text1"/>
        </w:rPr>
        <w:t>: $</w:t>
      </w:r>
      <w:r w:rsidR="00BE0657" w:rsidRPr="00D6259F">
        <w:rPr>
          <w:color w:val="000000" w:themeColor="text1"/>
        </w:rPr>
        <w:t>120.0m</w:t>
      </w:r>
      <w:r w:rsidR="00654D32" w:rsidRPr="00D6259F">
        <w:rPr>
          <w:color w:val="000000" w:themeColor="text1"/>
        </w:rPr>
        <w:t xml:space="preserve">) </w:t>
      </w:r>
      <w:r w:rsidR="00697C65" w:rsidRPr="00D6259F">
        <w:rPr>
          <w:color w:val="000000" w:themeColor="text1"/>
        </w:rPr>
        <w:t xml:space="preserve">of </w:t>
      </w:r>
      <w:r w:rsidR="00AA0B50" w:rsidRPr="00D6259F">
        <w:rPr>
          <w:color w:val="000000" w:themeColor="text1"/>
        </w:rPr>
        <w:t xml:space="preserve">CALs and </w:t>
      </w:r>
      <w:r w:rsidR="008E327E" w:rsidRPr="00D6259F">
        <w:rPr>
          <w:color w:val="000000" w:themeColor="text1"/>
        </w:rPr>
        <w:t xml:space="preserve">GSS </w:t>
      </w:r>
      <w:r w:rsidR="00907117" w:rsidRPr="00D6259F">
        <w:rPr>
          <w:color w:val="000000" w:themeColor="text1"/>
        </w:rPr>
        <w:t>loans</w:t>
      </w:r>
      <w:r w:rsidR="008E327E" w:rsidRPr="00D6259F">
        <w:rPr>
          <w:color w:val="000000" w:themeColor="text1"/>
        </w:rPr>
        <w:t>.</w:t>
      </w:r>
    </w:p>
    <w:p w14:paraId="263DB267" w14:textId="6737B9D7" w:rsidR="00D422B1" w:rsidRPr="00D6259F" w:rsidRDefault="00471E5C" w:rsidP="007C7248">
      <w:pPr>
        <w:rPr>
          <w:color w:val="000000" w:themeColor="text1"/>
        </w:rPr>
      </w:pPr>
      <w:r w:rsidRPr="00D6259F">
        <w:rPr>
          <w:color w:val="000000" w:themeColor="text1"/>
        </w:rPr>
        <w:t xml:space="preserve">The </w:t>
      </w:r>
      <w:r w:rsidR="00322F72" w:rsidRPr="00D6259F">
        <w:rPr>
          <w:color w:val="000000" w:themeColor="text1"/>
        </w:rPr>
        <w:t xml:space="preserve">Council holds </w:t>
      </w:r>
      <w:r w:rsidR="00F6206B" w:rsidRPr="00D6259F">
        <w:rPr>
          <w:color w:val="000000" w:themeColor="text1"/>
        </w:rPr>
        <w:t xml:space="preserve">a </w:t>
      </w:r>
      <w:r w:rsidR="003A2F4A" w:rsidRPr="00D6259F">
        <w:rPr>
          <w:color w:val="000000" w:themeColor="text1"/>
        </w:rPr>
        <w:t xml:space="preserve">$36.9m nominal amount </w:t>
      </w:r>
      <w:r w:rsidR="00714D1F" w:rsidRPr="00D6259F">
        <w:rPr>
          <w:color w:val="000000" w:themeColor="text1"/>
        </w:rPr>
        <w:t>(</w:t>
      </w:r>
      <w:r w:rsidR="006E5372" w:rsidRPr="00D6259F">
        <w:rPr>
          <w:color w:val="000000" w:themeColor="text1"/>
        </w:rPr>
        <w:t>carrying value $</w:t>
      </w:r>
      <w:r w:rsidR="003A2F4A" w:rsidRPr="00D6259F">
        <w:rPr>
          <w:color w:val="000000" w:themeColor="text1"/>
        </w:rPr>
        <w:t xml:space="preserve">36.0m) </w:t>
      </w:r>
      <w:r w:rsidR="00593708" w:rsidRPr="00D6259F">
        <w:rPr>
          <w:color w:val="000000" w:themeColor="text1"/>
        </w:rPr>
        <w:t>(202</w:t>
      </w:r>
      <w:r w:rsidR="00BE0657" w:rsidRPr="00D6259F">
        <w:rPr>
          <w:color w:val="000000" w:themeColor="text1"/>
        </w:rPr>
        <w:t>3</w:t>
      </w:r>
      <w:r w:rsidR="00593708" w:rsidRPr="00D6259F">
        <w:rPr>
          <w:color w:val="000000" w:themeColor="text1"/>
        </w:rPr>
        <w:t>: $</w:t>
      </w:r>
      <w:r w:rsidR="00BE0657" w:rsidRPr="00D6259F">
        <w:rPr>
          <w:color w:val="000000" w:themeColor="text1"/>
        </w:rPr>
        <w:t xml:space="preserve">26.0m </w:t>
      </w:r>
      <w:r w:rsidR="006E5372" w:rsidRPr="00D6259F">
        <w:rPr>
          <w:color w:val="000000" w:themeColor="text1"/>
        </w:rPr>
        <w:t>nominal</w:t>
      </w:r>
      <w:r w:rsidR="0000443A" w:rsidRPr="00D6259F">
        <w:rPr>
          <w:color w:val="000000" w:themeColor="text1"/>
        </w:rPr>
        <w:t xml:space="preserve"> amount</w:t>
      </w:r>
      <w:r w:rsidR="006E5372" w:rsidRPr="00D6259F">
        <w:rPr>
          <w:color w:val="000000" w:themeColor="text1"/>
        </w:rPr>
        <w:t xml:space="preserve"> (carrying value $</w:t>
      </w:r>
      <w:r w:rsidR="00BE0657" w:rsidRPr="00D6259F">
        <w:rPr>
          <w:color w:val="000000" w:themeColor="text1"/>
        </w:rPr>
        <w:t>25.</w:t>
      </w:r>
      <w:r w:rsidR="001774EE" w:rsidRPr="00D6259F">
        <w:rPr>
          <w:color w:val="000000" w:themeColor="text1"/>
        </w:rPr>
        <w:t>2</w:t>
      </w:r>
      <w:r w:rsidR="00BE0657" w:rsidRPr="00D6259F">
        <w:rPr>
          <w:color w:val="000000" w:themeColor="text1"/>
        </w:rPr>
        <w:t>m</w:t>
      </w:r>
      <w:r w:rsidR="00593708" w:rsidRPr="00D6259F">
        <w:rPr>
          <w:color w:val="000000" w:themeColor="text1"/>
        </w:rPr>
        <w:t>)</w:t>
      </w:r>
      <w:r w:rsidR="006E5372" w:rsidRPr="00D6259F">
        <w:rPr>
          <w:color w:val="000000" w:themeColor="text1"/>
        </w:rPr>
        <w:t>)</w:t>
      </w:r>
      <w:r w:rsidR="00593708" w:rsidRPr="00D6259F">
        <w:rPr>
          <w:color w:val="000000" w:themeColor="text1"/>
        </w:rPr>
        <w:t xml:space="preserve"> </w:t>
      </w:r>
      <w:r w:rsidR="00322F72" w:rsidRPr="00D6259F">
        <w:rPr>
          <w:color w:val="000000" w:themeColor="text1"/>
        </w:rPr>
        <w:t>of investment borrower notes</w:t>
      </w:r>
      <w:r w:rsidR="006E5372" w:rsidRPr="00D6259F">
        <w:rPr>
          <w:color w:val="000000" w:themeColor="text1"/>
        </w:rPr>
        <w:t>. D</w:t>
      </w:r>
      <w:r w:rsidR="001432EE" w:rsidRPr="00D6259F">
        <w:rPr>
          <w:color w:val="000000" w:themeColor="text1"/>
        </w:rPr>
        <w:t xml:space="preserve">uring the year </w:t>
      </w:r>
      <w:r w:rsidR="003A2F4A" w:rsidRPr="00D6259F">
        <w:rPr>
          <w:color w:val="000000" w:themeColor="text1"/>
        </w:rPr>
        <w:t xml:space="preserve">the </w:t>
      </w:r>
      <w:r w:rsidR="00D422B1" w:rsidRPr="00D6259F">
        <w:rPr>
          <w:color w:val="000000" w:themeColor="text1"/>
        </w:rPr>
        <w:t xml:space="preserve">Council received a </w:t>
      </w:r>
      <w:r w:rsidR="00AA06B0" w:rsidRPr="00D6259F">
        <w:rPr>
          <w:color w:val="000000" w:themeColor="text1"/>
        </w:rPr>
        <w:t xml:space="preserve">shareholder </w:t>
      </w:r>
      <w:r w:rsidR="00D422B1" w:rsidRPr="00D6259F">
        <w:rPr>
          <w:color w:val="000000" w:themeColor="text1"/>
        </w:rPr>
        <w:t xml:space="preserve">dividend of </w:t>
      </w:r>
      <w:r w:rsidR="005C216B" w:rsidRPr="00D6259F">
        <w:rPr>
          <w:color w:val="000000" w:themeColor="text1"/>
        </w:rPr>
        <w:t>$</w:t>
      </w:r>
      <w:r w:rsidR="00D53B94" w:rsidRPr="00D6259F">
        <w:rPr>
          <w:color w:val="000000" w:themeColor="text1"/>
        </w:rPr>
        <w:t xml:space="preserve">0.1m </w:t>
      </w:r>
      <w:r w:rsidR="00714D1F" w:rsidRPr="00D6259F">
        <w:rPr>
          <w:color w:val="000000" w:themeColor="text1"/>
        </w:rPr>
        <w:t>(</w:t>
      </w:r>
      <w:r w:rsidR="00D543D8" w:rsidRPr="00D6259F">
        <w:rPr>
          <w:color w:val="000000" w:themeColor="text1"/>
        </w:rPr>
        <w:t>202</w:t>
      </w:r>
      <w:r w:rsidR="00BE0657" w:rsidRPr="00D6259F">
        <w:rPr>
          <w:color w:val="000000" w:themeColor="text1"/>
        </w:rPr>
        <w:t>3</w:t>
      </w:r>
      <w:r w:rsidR="00D543D8" w:rsidRPr="00D6259F">
        <w:rPr>
          <w:color w:val="000000" w:themeColor="text1"/>
        </w:rPr>
        <w:t>: $</w:t>
      </w:r>
      <w:r w:rsidR="00BE0657" w:rsidRPr="00D6259F">
        <w:rPr>
          <w:color w:val="000000" w:themeColor="text1"/>
        </w:rPr>
        <w:t>0.</w:t>
      </w:r>
      <w:r w:rsidR="001774EE" w:rsidRPr="00D6259F">
        <w:rPr>
          <w:color w:val="000000" w:themeColor="text1"/>
        </w:rPr>
        <w:t>1</w:t>
      </w:r>
      <w:r w:rsidR="00BE0657" w:rsidRPr="00D6259F">
        <w:rPr>
          <w:color w:val="000000" w:themeColor="text1"/>
        </w:rPr>
        <w:t>m</w:t>
      </w:r>
      <w:r w:rsidR="00D543D8" w:rsidRPr="00D6259F">
        <w:rPr>
          <w:color w:val="000000" w:themeColor="text1"/>
        </w:rPr>
        <w:t>)</w:t>
      </w:r>
    </w:p>
    <w:p w14:paraId="60A1BA11" w14:textId="77777777" w:rsidR="00D422B1" w:rsidRPr="00D6259F" w:rsidRDefault="00D422B1" w:rsidP="007C7248">
      <w:pPr>
        <w:pStyle w:val="Heading4"/>
      </w:pPr>
      <w:r w:rsidRPr="00D6259F">
        <w:t>Material related party transactions – unstructured entities</w:t>
      </w:r>
    </w:p>
    <w:p w14:paraId="376C03C8" w14:textId="1454D58A" w:rsidR="008E45A5" w:rsidRPr="00D6259F" w:rsidRDefault="008E45A5" w:rsidP="008E45A5">
      <w:pPr>
        <w:rPr>
          <w:color w:val="000000" w:themeColor="text1"/>
          <w:lang w:eastAsia="en-NZ"/>
        </w:rPr>
      </w:pPr>
      <w:r w:rsidRPr="00D6259F">
        <w:rPr>
          <w:color w:val="000000" w:themeColor="text1"/>
        </w:rPr>
        <w:t xml:space="preserve">Financial information relating to the Council’s interests in unstructured entities is provided in </w:t>
      </w:r>
      <w:r w:rsidRPr="00D6259F">
        <w:rPr>
          <w:i/>
          <w:iCs/>
          <w:color w:val="000000" w:themeColor="text1"/>
        </w:rPr>
        <w:t>Tables</w:t>
      </w:r>
      <w:r w:rsidR="00552125" w:rsidRPr="00D6259F">
        <w:rPr>
          <w:i/>
          <w:iCs/>
          <w:color w:val="000000" w:themeColor="text1"/>
        </w:rPr>
        <w:t xml:space="preserve"> </w:t>
      </w:r>
      <w:r w:rsidR="008B0E35" w:rsidRPr="00D6259F">
        <w:rPr>
          <w:i/>
          <w:iCs/>
          <w:color w:val="000000" w:themeColor="text1"/>
        </w:rPr>
        <w:t>88</w:t>
      </w:r>
      <w:r w:rsidR="00552125" w:rsidRPr="00D6259F">
        <w:rPr>
          <w:i/>
          <w:iCs/>
          <w:color w:val="000000" w:themeColor="text1"/>
        </w:rPr>
        <w:t xml:space="preserve"> </w:t>
      </w:r>
      <w:r w:rsidRPr="00D6259F">
        <w:rPr>
          <w:i/>
          <w:iCs/>
          <w:color w:val="000000" w:themeColor="text1"/>
        </w:rPr>
        <w:t xml:space="preserve">and </w:t>
      </w:r>
      <w:r w:rsidR="008B0E35" w:rsidRPr="00D6259F">
        <w:rPr>
          <w:i/>
          <w:iCs/>
          <w:color w:val="000000" w:themeColor="text1"/>
        </w:rPr>
        <w:t>89</w:t>
      </w:r>
      <w:r w:rsidR="006B3C18" w:rsidRPr="00D6259F">
        <w:rPr>
          <w:i/>
          <w:iCs/>
          <w:color w:val="000000" w:themeColor="text1"/>
        </w:rPr>
        <w:t>.</w:t>
      </w:r>
    </w:p>
    <w:p w14:paraId="45D9CED2" w14:textId="76B121F3" w:rsidR="00D422B1" w:rsidRPr="00D6259F" w:rsidRDefault="000F20D8" w:rsidP="007C7248">
      <w:pPr>
        <w:rPr>
          <w:color w:val="000000" w:themeColor="text1"/>
        </w:rPr>
      </w:pPr>
      <w:r w:rsidRPr="00D6259F">
        <w:rPr>
          <w:noProof/>
          <w:color w:val="000000" w:themeColor="text1"/>
        </w:rPr>
        <w:object w:dxaOrig="9735" w:dyaOrig="3345" w14:anchorId="03665C8C">
          <v:shape id="_x0000_i1123" type="#_x0000_t75" style="width:472pt;height:164pt" o:ole="">
            <v:imagedata r:id="rId208" o:title=""/>
          </v:shape>
          <o:OLEObject Type="Link" ProgID="Excel.Sheet.12" ShapeID="_x0000_i1123" DrawAspect="Content" r:id="rId209" UpdateMode="Always">
            <o:LinkType>EnhancedMetaFile</o:LinkType>
            <o:LockedField>false</o:LockedField>
          </o:OLEObject>
        </w:object>
      </w:r>
    </w:p>
    <w:p w14:paraId="4FE02CD9" w14:textId="77777777" w:rsidR="00D422B1" w:rsidRPr="00D6259F" w:rsidRDefault="00D422B1" w:rsidP="007C7248">
      <w:pPr>
        <w:pStyle w:val="Heading5"/>
        <w:rPr>
          <w:rFonts w:ascii="Helvetica" w:hAnsi="Helvetica"/>
          <w:color w:val="000000" w:themeColor="text1"/>
          <w:sz w:val="20"/>
          <w:szCs w:val="20"/>
        </w:rPr>
      </w:pPr>
      <w:r w:rsidRPr="00D6259F">
        <w:rPr>
          <w:color w:val="000000" w:themeColor="text1"/>
        </w:rPr>
        <w:t>Basin Reserve Trust (BRT)</w:t>
      </w:r>
      <w:r w:rsidRPr="00D6259F">
        <w:rPr>
          <w:rFonts w:ascii="Helvetica" w:hAnsi="Helvetica"/>
          <w:color w:val="000000" w:themeColor="text1"/>
          <w:sz w:val="20"/>
          <w:szCs w:val="20"/>
        </w:rPr>
        <w:t xml:space="preserve">  </w:t>
      </w:r>
    </w:p>
    <w:p w14:paraId="66256383" w14:textId="40DAA0D0" w:rsidR="00D422B1" w:rsidRPr="00D6259F" w:rsidRDefault="00D422B1" w:rsidP="007C7248">
      <w:pPr>
        <w:rPr>
          <w:color w:val="000000" w:themeColor="text1"/>
        </w:rPr>
      </w:pPr>
      <w:r w:rsidRPr="00D6259F">
        <w:rPr>
          <w:color w:val="000000" w:themeColor="text1"/>
        </w:rPr>
        <w:t xml:space="preserve">The </w:t>
      </w:r>
      <w:r w:rsidR="00AA0B50" w:rsidRPr="00D6259F">
        <w:rPr>
          <w:color w:val="000000" w:themeColor="text1"/>
        </w:rPr>
        <w:t>BRT</w:t>
      </w:r>
      <w:r w:rsidRPr="00D6259F">
        <w:rPr>
          <w:color w:val="000000" w:themeColor="text1"/>
        </w:rPr>
        <w:t xml:space="preserve"> was established on 24 February 2005 to manage, </w:t>
      </w:r>
      <w:proofErr w:type="gramStart"/>
      <w:r w:rsidRPr="00D6259F">
        <w:rPr>
          <w:color w:val="000000" w:themeColor="text1"/>
        </w:rPr>
        <w:t>operate</w:t>
      </w:r>
      <w:proofErr w:type="gramEnd"/>
      <w:r w:rsidRPr="00D6259F">
        <w:rPr>
          <w:color w:val="000000" w:themeColor="text1"/>
        </w:rPr>
        <w:t xml:space="preserve"> and maintain the Basin Reserve. The Trust was jointly created with Cricket Wellington Incorporated (CWI). </w:t>
      </w:r>
      <w:r w:rsidR="00550B1E" w:rsidRPr="00D6259F">
        <w:rPr>
          <w:color w:val="000000" w:themeColor="text1"/>
        </w:rPr>
        <w:t xml:space="preserve">The </w:t>
      </w:r>
      <w:r w:rsidRPr="00D6259F">
        <w:rPr>
          <w:color w:val="000000" w:themeColor="text1"/>
        </w:rPr>
        <w:t xml:space="preserve">Council and CWI each appoint two of the four trustees. </w:t>
      </w:r>
      <w:r w:rsidR="00550B1E" w:rsidRPr="00D6259F">
        <w:rPr>
          <w:color w:val="000000" w:themeColor="text1"/>
        </w:rPr>
        <w:t xml:space="preserve">The </w:t>
      </w:r>
      <w:r w:rsidRPr="00D6259F">
        <w:rPr>
          <w:color w:val="000000" w:themeColor="text1"/>
        </w:rPr>
        <w:t>Council does not have an equity investment in the Trust but has influence over the Trust through the appointment of trustees and receives benefits from the complementary activities of the Trust in alignment with the Council’s objectives.</w:t>
      </w:r>
    </w:p>
    <w:p w14:paraId="43677AE5" w14:textId="29798F0C" w:rsidR="00D422B1" w:rsidRPr="00D6259F" w:rsidRDefault="00D422B1" w:rsidP="007C7248">
      <w:pPr>
        <w:rPr>
          <w:color w:val="000000" w:themeColor="text1"/>
        </w:rPr>
      </w:pPr>
      <w:r w:rsidRPr="00D6259F">
        <w:rPr>
          <w:color w:val="000000" w:themeColor="text1"/>
        </w:rPr>
        <w:t>During the year end</w:t>
      </w:r>
      <w:r w:rsidR="000030D8" w:rsidRPr="00D6259F">
        <w:rPr>
          <w:color w:val="000000" w:themeColor="text1"/>
        </w:rPr>
        <w:t>ed</w:t>
      </w:r>
      <w:r w:rsidRPr="00D6259F">
        <w:rPr>
          <w:color w:val="000000" w:themeColor="text1"/>
        </w:rPr>
        <w:t xml:space="preserve"> </w:t>
      </w:r>
      <w:r w:rsidR="005D56AC" w:rsidRPr="00D6259F">
        <w:rPr>
          <w:color w:val="000000" w:themeColor="text1"/>
        </w:rPr>
        <w:t>30 June 2024</w:t>
      </w:r>
      <w:r w:rsidRPr="00D6259F">
        <w:rPr>
          <w:color w:val="000000" w:themeColor="text1"/>
        </w:rPr>
        <w:t xml:space="preserve"> </w:t>
      </w:r>
      <w:r w:rsidR="00904DCE" w:rsidRPr="00D6259F">
        <w:rPr>
          <w:color w:val="000000" w:themeColor="text1"/>
        </w:rPr>
        <w:t xml:space="preserve">the </w:t>
      </w:r>
      <w:r w:rsidRPr="00D6259F">
        <w:rPr>
          <w:color w:val="000000" w:themeColor="text1"/>
        </w:rPr>
        <w:t>Council contributed $</w:t>
      </w:r>
      <w:r w:rsidR="008F275D" w:rsidRPr="00D6259F">
        <w:rPr>
          <w:color w:val="000000" w:themeColor="text1"/>
        </w:rPr>
        <w:t>0.1m</w:t>
      </w:r>
      <w:r w:rsidR="009C7A8D" w:rsidRPr="00D6259F">
        <w:rPr>
          <w:color w:val="000000" w:themeColor="text1"/>
        </w:rPr>
        <w:t xml:space="preserve"> (</w:t>
      </w:r>
      <w:r w:rsidRPr="00D6259F">
        <w:rPr>
          <w:color w:val="000000" w:themeColor="text1"/>
        </w:rPr>
        <w:t>20</w:t>
      </w:r>
      <w:r w:rsidR="00153EF8" w:rsidRPr="00D6259F">
        <w:rPr>
          <w:color w:val="000000" w:themeColor="text1"/>
        </w:rPr>
        <w:t>2</w:t>
      </w:r>
      <w:r w:rsidR="00BE0657" w:rsidRPr="00D6259F">
        <w:rPr>
          <w:color w:val="000000" w:themeColor="text1"/>
        </w:rPr>
        <w:t>3</w:t>
      </w:r>
      <w:r w:rsidRPr="00D6259F">
        <w:rPr>
          <w:color w:val="000000" w:themeColor="text1"/>
        </w:rPr>
        <w:t>: $</w:t>
      </w:r>
      <w:r w:rsidR="00BE0657" w:rsidRPr="00D6259F">
        <w:rPr>
          <w:color w:val="000000" w:themeColor="text1"/>
        </w:rPr>
        <w:t>0.7m</w:t>
      </w:r>
      <w:r w:rsidRPr="00D6259F">
        <w:rPr>
          <w:color w:val="000000" w:themeColor="text1"/>
        </w:rPr>
        <w:t xml:space="preserve">) to fund the core operations of the Trust. </w:t>
      </w:r>
    </w:p>
    <w:p w14:paraId="43CE06D9" w14:textId="325862B9" w:rsidR="00D422B1" w:rsidRPr="00D6259F" w:rsidRDefault="000F20D8" w:rsidP="007C7248">
      <w:pPr>
        <w:rPr>
          <w:noProof/>
          <w:color w:val="000000" w:themeColor="text1"/>
        </w:rPr>
      </w:pPr>
      <w:r w:rsidRPr="00D6259F">
        <w:rPr>
          <w:noProof/>
          <w:color w:val="000000" w:themeColor="text1"/>
        </w:rPr>
        <w:object w:dxaOrig="9735" w:dyaOrig="3345" w14:anchorId="5F6F18BF">
          <v:shape id="_x0000_i1124" type="#_x0000_t75" style="width:472pt;height:164pt" o:ole="">
            <v:imagedata r:id="rId210" o:title=""/>
          </v:shape>
          <o:OLEObject Type="Link" ProgID="Excel.Sheet.12" ShapeID="_x0000_i1124" DrawAspect="Content" r:id="rId211" UpdateMode="Always">
            <o:LinkType>EnhancedMetaFile</o:LinkType>
            <o:LockedField>false</o:LockedField>
          </o:OLEObject>
        </w:object>
      </w:r>
    </w:p>
    <w:p w14:paraId="6AADF327" w14:textId="77777777" w:rsidR="008E327E" w:rsidRPr="00D6259F" w:rsidRDefault="008E327E" w:rsidP="008E327E">
      <w:pPr>
        <w:pStyle w:val="Heading5"/>
        <w:rPr>
          <w:rFonts w:ascii="Helvetica" w:hAnsi="Helvetica" w:cs="Arial"/>
          <w:color w:val="000000" w:themeColor="text1"/>
          <w:sz w:val="20"/>
          <w:szCs w:val="20"/>
        </w:rPr>
      </w:pPr>
      <w:r w:rsidRPr="00D6259F">
        <w:rPr>
          <w:color w:val="000000" w:themeColor="text1"/>
        </w:rPr>
        <w:t>Wellington Regional Stadium Trust (WRST)</w:t>
      </w:r>
      <w:r w:rsidRPr="00D6259F">
        <w:rPr>
          <w:rFonts w:ascii="Helvetica" w:hAnsi="Helvetica"/>
          <w:color w:val="000000" w:themeColor="text1"/>
          <w:sz w:val="20"/>
          <w:szCs w:val="20"/>
        </w:rPr>
        <w:t xml:space="preserve">  </w:t>
      </w:r>
      <w:r w:rsidRPr="00D6259F">
        <w:rPr>
          <w:rFonts w:ascii="Helvetica" w:hAnsi="Helvetica" w:cs="Arial"/>
          <w:color w:val="000000" w:themeColor="text1"/>
          <w:sz w:val="20"/>
          <w:szCs w:val="20"/>
        </w:rPr>
        <w:t xml:space="preserve">      </w:t>
      </w:r>
    </w:p>
    <w:p w14:paraId="2E560093" w14:textId="37AA3553" w:rsidR="008E327E" w:rsidRPr="00D6259F" w:rsidRDefault="00AA0B50" w:rsidP="008E327E">
      <w:pPr>
        <w:rPr>
          <w:color w:val="000000" w:themeColor="text1"/>
        </w:rPr>
      </w:pPr>
      <w:r w:rsidRPr="00D6259F">
        <w:rPr>
          <w:color w:val="000000" w:themeColor="text1"/>
        </w:rPr>
        <w:t xml:space="preserve">WRST </w:t>
      </w:r>
      <w:r w:rsidR="008E327E" w:rsidRPr="00D6259F">
        <w:rPr>
          <w:color w:val="000000" w:themeColor="text1"/>
        </w:rPr>
        <w:t xml:space="preserve">was jointly created by </w:t>
      </w:r>
      <w:r w:rsidR="00550B1E" w:rsidRPr="00D6259F">
        <w:rPr>
          <w:color w:val="000000" w:themeColor="text1"/>
        </w:rPr>
        <w:t xml:space="preserve">the </w:t>
      </w:r>
      <w:r w:rsidR="008E327E" w:rsidRPr="00D6259F">
        <w:rPr>
          <w:color w:val="000000" w:themeColor="text1"/>
        </w:rPr>
        <w:t xml:space="preserve">Council and GWRC. </w:t>
      </w:r>
      <w:r w:rsidR="00550B1E" w:rsidRPr="00D6259F">
        <w:rPr>
          <w:color w:val="000000" w:themeColor="text1"/>
        </w:rPr>
        <w:t xml:space="preserve">The </w:t>
      </w:r>
      <w:r w:rsidR="008E327E" w:rsidRPr="00D6259F">
        <w:rPr>
          <w:color w:val="000000" w:themeColor="text1"/>
        </w:rPr>
        <w:t>Council does not have an equity investment in the Trust but has influence over the Trust through the appointment of trustees and receives benefits from the complementary activities of the Trust in alignment with the Council’s objectives.</w:t>
      </w:r>
    </w:p>
    <w:p w14:paraId="0A264D1F" w14:textId="601CA20E" w:rsidR="008E327E" w:rsidRPr="00D6259F" w:rsidRDefault="008E327E" w:rsidP="008E327E">
      <w:pPr>
        <w:rPr>
          <w:color w:val="000000" w:themeColor="text1"/>
        </w:rPr>
      </w:pPr>
      <w:r w:rsidRPr="00D6259F">
        <w:rPr>
          <w:color w:val="000000" w:themeColor="text1"/>
        </w:rPr>
        <w:t xml:space="preserve">Refer to </w:t>
      </w:r>
      <w:r w:rsidRPr="00D6259F">
        <w:rPr>
          <w:i/>
          <w:iCs/>
          <w:color w:val="000000" w:themeColor="text1"/>
        </w:rPr>
        <w:t>Note 15: Other financial assets</w:t>
      </w:r>
      <w:r w:rsidRPr="00D6259F">
        <w:rPr>
          <w:color w:val="000000" w:themeColor="text1"/>
        </w:rPr>
        <w:t xml:space="preserve"> (page </w:t>
      </w:r>
      <w:r w:rsidR="008B0E35" w:rsidRPr="00D6259F">
        <w:rPr>
          <w:color w:val="000000" w:themeColor="text1"/>
        </w:rPr>
        <w:t>39</w:t>
      </w:r>
      <w:r w:rsidRPr="00D6259F">
        <w:rPr>
          <w:color w:val="000000" w:themeColor="text1"/>
        </w:rPr>
        <w:t>), for more information on loan</w:t>
      </w:r>
      <w:r w:rsidR="00F001FB" w:rsidRPr="00D6259F">
        <w:rPr>
          <w:color w:val="000000" w:themeColor="text1"/>
        </w:rPr>
        <w:t>s</w:t>
      </w:r>
      <w:r w:rsidR="00AB74C6" w:rsidRPr="00D6259F">
        <w:rPr>
          <w:color w:val="000000" w:themeColor="text1"/>
        </w:rPr>
        <w:t xml:space="preserve"> </w:t>
      </w:r>
      <w:r w:rsidR="00F001FB" w:rsidRPr="00D6259F">
        <w:rPr>
          <w:color w:val="000000" w:themeColor="text1"/>
        </w:rPr>
        <w:t xml:space="preserve">due from </w:t>
      </w:r>
      <w:r w:rsidR="00AB74C6" w:rsidRPr="00D6259F">
        <w:rPr>
          <w:color w:val="000000" w:themeColor="text1"/>
        </w:rPr>
        <w:t>WRST</w:t>
      </w:r>
      <w:r w:rsidR="00AA0B50" w:rsidRPr="00D6259F">
        <w:rPr>
          <w:color w:val="000000" w:themeColor="text1"/>
        </w:rPr>
        <w:t>.</w:t>
      </w:r>
    </w:p>
    <w:p w14:paraId="51E9857A" w14:textId="6231F6D2" w:rsidR="00F41B23" w:rsidRPr="00D6259F" w:rsidRDefault="00096B2D" w:rsidP="00F41B23">
      <w:pPr>
        <w:pStyle w:val="Heading3"/>
      </w:pPr>
      <w:bookmarkStart w:id="232" w:name="_Toc121217194"/>
      <w:r w:rsidRPr="00D6259F">
        <w:t>Intra-group</w:t>
      </w:r>
      <w:r w:rsidR="00D422B1" w:rsidRPr="00D6259F">
        <w:t xml:space="preserve"> transactions and balances</w:t>
      </w:r>
      <w:bookmarkEnd w:id="232"/>
      <w:r w:rsidR="00D422B1" w:rsidRPr="00D6259F">
        <w:t xml:space="preserve"> </w:t>
      </w:r>
    </w:p>
    <w:p w14:paraId="06B28093" w14:textId="539EE422" w:rsidR="00D422B1" w:rsidRPr="00D6259F" w:rsidRDefault="00096B2D" w:rsidP="00F41B23">
      <w:pPr>
        <w:pStyle w:val="Heading4"/>
      </w:pPr>
      <w:r w:rsidRPr="00D6259F">
        <w:t>Intra-group</w:t>
      </w:r>
      <w:r w:rsidR="00F41B23" w:rsidRPr="00D6259F">
        <w:t xml:space="preserve"> transactions and balances </w:t>
      </w:r>
      <w:r w:rsidR="00E94751" w:rsidRPr="00D6259F">
        <w:t xml:space="preserve">– Joint </w:t>
      </w:r>
      <w:r w:rsidR="008E327E" w:rsidRPr="00D6259F">
        <w:t>o</w:t>
      </w:r>
      <w:r w:rsidR="00E94751" w:rsidRPr="00D6259F">
        <w:t>peration</w:t>
      </w:r>
      <w:r w:rsidR="00967416" w:rsidRPr="00D6259F">
        <w:t>s</w:t>
      </w:r>
    </w:p>
    <w:p w14:paraId="08FB466C" w14:textId="4946428F" w:rsidR="00D422B1" w:rsidRPr="00D6259F" w:rsidRDefault="00D422B1" w:rsidP="007C7248">
      <w:pPr>
        <w:rPr>
          <w:color w:val="000000" w:themeColor="text1"/>
        </w:rPr>
      </w:pPr>
      <w:r w:rsidRPr="00D6259F">
        <w:rPr>
          <w:color w:val="000000" w:themeColor="text1"/>
        </w:rPr>
        <w:t xml:space="preserve">During the year the Council has </w:t>
      </w:r>
      <w:proofErr w:type="gramStart"/>
      <w:r w:rsidRPr="00D6259F">
        <w:rPr>
          <w:color w:val="000000" w:themeColor="text1"/>
        </w:rPr>
        <w:t>entered into</w:t>
      </w:r>
      <w:proofErr w:type="gramEnd"/>
      <w:r w:rsidRPr="00D6259F">
        <w:rPr>
          <w:color w:val="000000" w:themeColor="text1"/>
        </w:rPr>
        <w:t xml:space="preserve"> transactions with its joint </w:t>
      </w:r>
      <w:r w:rsidR="00505807" w:rsidRPr="00D6259F">
        <w:rPr>
          <w:color w:val="000000" w:themeColor="text1"/>
        </w:rPr>
        <w:t>operations</w:t>
      </w:r>
      <w:r w:rsidRPr="00D6259F">
        <w:rPr>
          <w:color w:val="000000" w:themeColor="text1"/>
        </w:rPr>
        <w:t xml:space="preserve"> partner</w:t>
      </w:r>
      <w:r w:rsidR="00AC28DB" w:rsidRPr="00D6259F">
        <w:rPr>
          <w:color w:val="000000" w:themeColor="text1"/>
        </w:rPr>
        <w:t>s</w:t>
      </w:r>
      <w:r w:rsidRPr="00D6259F">
        <w:rPr>
          <w:color w:val="000000" w:themeColor="text1"/>
        </w:rPr>
        <w:t xml:space="preserve"> Porirua City Council</w:t>
      </w:r>
      <w:r w:rsidR="00AC28DB" w:rsidRPr="00D6259F">
        <w:rPr>
          <w:color w:val="000000" w:themeColor="text1"/>
        </w:rPr>
        <w:t xml:space="preserve"> and Let’s Get Wellington Moving</w:t>
      </w:r>
      <w:r w:rsidRPr="00D6259F">
        <w:rPr>
          <w:color w:val="000000" w:themeColor="text1"/>
        </w:rPr>
        <w:t xml:space="preserve">. These transactions disclosed are within the normal course of business. The nature of these </w:t>
      </w:r>
      <w:r w:rsidR="00096B2D" w:rsidRPr="00D6259F">
        <w:rPr>
          <w:color w:val="000000" w:themeColor="text1"/>
        </w:rPr>
        <w:t>intra-group</w:t>
      </w:r>
      <w:r w:rsidRPr="00D6259F">
        <w:rPr>
          <w:color w:val="000000" w:themeColor="text1"/>
        </w:rPr>
        <w:t xml:space="preserve"> transactions and the outstanding balances at the year-end are as </w:t>
      </w:r>
      <w:r w:rsidR="001747E5" w:rsidRPr="00D6259F">
        <w:rPr>
          <w:color w:val="000000" w:themeColor="text1"/>
        </w:rPr>
        <w:t>shown</w:t>
      </w:r>
      <w:r w:rsidRPr="00D6259F">
        <w:rPr>
          <w:color w:val="000000" w:themeColor="text1"/>
        </w:rPr>
        <w:t xml:space="preserve"> in </w:t>
      </w:r>
      <w:r w:rsidRPr="00D6259F">
        <w:rPr>
          <w:i/>
          <w:color w:val="000000" w:themeColor="text1"/>
        </w:rPr>
        <w:t xml:space="preserve">Table </w:t>
      </w:r>
      <w:r w:rsidR="008B0E35" w:rsidRPr="00D6259F">
        <w:rPr>
          <w:i/>
          <w:color w:val="000000" w:themeColor="text1"/>
        </w:rPr>
        <w:t>90</w:t>
      </w:r>
      <w:r w:rsidR="00BD03C1" w:rsidRPr="00D6259F">
        <w:rPr>
          <w:color w:val="000000" w:themeColor="text1"/>
        </w:rPr>
        <w:t>.</w:t>
      </w:r>
    </w:p>
    <w:p w14:paraId="2AC9477F" w14:textId="4D65CBD8" w:rsidR="00923A22" w:rsidRPr="00D6259F" w:rsidRDefault="000F20D8" w:rsidP="007C7248">
      <w:pPr>
        <w:rPr>
          <w:noProof/>
          <w:color w:val="000000" w:themeColor="text1"/>
        </w:rPr>
      </w:pPr>
      <w:r w:rsidRPr="00D6259F">
        <w:rPr>
          <w:noProof/>
          <w:color w:val="000000" w:themeColor="text1"/>
        </w:rPr>
        <w:object w:dxaOrig="10320" w:dyaOrig="3315" w14:anchorId="7C24E80A">
          <v:shape id="_x0000_i1125" type="#_x0000_t75" style="width:476pt;height:165pt" o:ole="">
            <v:imagedata r:id="rId212" o:title=""/>
          </v:shape>
          <o:OLEObject Type="Link" ProgID="Excel.Sheet.12" ShapeID="_x0000_i1125" DrawAspect="Content" r:id="rId213" UpdateMode="Always">
            <o:LinkType>EnhancedMetaFile</o:LinkType>
            <o:LockedField>false</o:LockedField>
          </o:OLEObject>
        </w:object>
      </w:r>
    </w:p>
    <w:p w14:paraId="52639ECD" w14:textId="52D00952" w:rsidR="00E52B00" w:rsidRPr="00D6259F" w:rsidRDefault="00E52B00" w:rsidP="00E52B00">
      <w:pPr>
        <w:rPr>
          <w:color w:val="000000" w:themeColor="text1"/>
          <w:lang w:eastAsia="en-NZ"/>
        </w:rPr>
      </w:pPr>
      <w:bookmarkStart w:id="233" w:name="_Hlk80687229"/>
    </w:p>
    <w:p w14:paraId="06C897B3" w14:textId="1086F2D2" w:rsidR="00E94751" w:rsidRPr="00D6259F" w:rsidRDefault="00096B2D" w:rsidP="007C7248">
      <w:pPr>
        <w:pStyle w:val="Heading4"/>
      </w:pPr>
      <w:r w:rsidRPr="00D6259F">
        <w:t>Intra-group</w:t>
      </w:r>
      <w:r w:rsidR="00E94751" w:rsidRPr="00D6259F">
        <w:t xml:space="preserve"> transactions and balances – Controlled entities</w:t>
      </w:r>
    </w:p>
    <w:bookmarkEnd w:id="233"/>
    <w:p w14:paraId="4627FCCB" w14:textId="529A7828" w:rsidR="00BD0409" w:rsidRPr="00D6259F" w:rsidRDefault="00D422B1" w:rsidP="007C7248">
      <w:pPr>
        <w:rPr>
          <w:i/>
          <w:iCs/>
          <w:color w:val="000000" w:themeColor="text1"/>
        </w:rPr>
      </w:pPr>
      <w:r w:rsidRPr="00D6259F">
        <w:rPr>
          <w:color w:val="000000" w:themeColor="text1"/>
        </w:rPr>
        <w:t xml:space="preserve">During the year the Council has </w:t>
      </w:r>
      <w:proofErr w:type="gramStart"/>
      <w:r w:rsidRPr="00D6259F">
        <w:rPr>
          <w:color w:val="000000" w:themeColor="text1"/>
        </w:rPr>
        <w:t>entered into</w:t>
      </w:r>
      <w:proofErr w:type="gramEnd"/>
      <w:r w:rsidRPr="00D6259F">
        <w:rPr>
          <w:color w:val="000000" w:themeColor="text1"/>
        </w:rPr>
        <w:t xml:space="preserve"> transactions with its controlled entities. These transactions disclosed are within the normal course of business.</w:t>
      </w:r>
      <w:r w:rsidR="00352209" w:rsidRPr="00D6259F">
        <w:rPr>
          <w:color w:val="000000" w:themeColor="text1"/>
        </w:rPr>
        <w:t xml:space="preserve"> </w:t>
      </w:r>
      <w:r w:rsidR="00AA0B50" w:rsidRPr="00D6259F">
        <w:rPr>
          <w:color w:val="000000" w:themeColor="text1"/>
        </w:rPr>
        <w:t>Intra-group</w:t>
      </w:r>
      <w:r w:rsidR="00352209" w:rsidRPr="00D6259F">
        <w:rPr>
          <w:color w:val="000000" w:themeColor="text1"/>
        </w:rPr>
        <w:t xml:space="preserve"> transactions between Group entities</w:t>
      </w:r>
      <w:r w:rsidR="00C60C42" w:rsidRPr="00D6259F">
        <w:rPr>
          <w:color w:val="000000" w:themeColor="text1"/>
        </w:rPr>
        <w:t>, other than rates,</w:t>
      </w:r>
      <w:r w:rsidR="00352209" w:rsidRPr="00D6259F">
        <w:rPr>
          <w:color w:val="000000" w:themeColor="text1"/>
        </w:rPr>
        <w:t xml:space="preserve"> are eliminated in the consolidated financial statements. </w:t>
      </w:r>
      <w:r w:rsidRPr="00D6259F">
        <w:rPr>
          <w:color w:val="000000" w:themeColor="text1"/>
        </w:rPr>
        <w:t xml:space="preserve">The nature of these </w:t>
      </w:r>
      <w:r w:rsidR="00AA0B50" w:rsidRPr="00D6259F">
        <w:rPr>
          <w:color w:val="000000" w:themeColor="text1"/>
        </w:rPr>
        <w:t>intra-group</w:t>
      </w:r>
      <w:r w:rsidRPr="00D6259F">
        <w:rPr>
          <w:color w:val="000000" w:themeColor="text1"/>
        </w:rPr>
        <w:t xml:space="preserve"> transactions and the outstanding balances at the </w:t>
      </w:r>
      <w:r w:rsidR="008E327E" w:rsidRPr="00D6259F">
        <w:rPr>
          <w:color w:val="000000" w:themeColor="text1"/>
        </w:rPr>
        <w:t>reporting date</w:t>
      </w:r>
      <w:r w:rsidRPr="00D6259F">
        <w:rPr>
          <w:color w:val="000000" w:themeColor="text1"/>
        </w:rPr>
        <w:t xml:space="preserve"> are as </w:t>
      </w:r>
      <w:r w:rsidR="001747E5" w:rsidRPr="00D6259F">
        <w:rPr>
          <w:color w:val="000000" w:themeColor="text1"/>
        </w:rPr>
        <w:t>shown</w:t>
      </w:r>
      <w:r w:rsidRPr="00D6259F">
        <w:rPr>
          <w:color w:val="000000" w:themeColor="text1"/>
        </w:rPr>
        <w:t xml:space="preserve"> in </w:t>
      </w:r>
      <w:r w:rsidR="00E52B00" w:rsidRPr="00D6259F">
        <w:rPr>
          <w:color w:val="000000" w:themeColor="text1"/>
        </w:rPr>
        <w:t>T</w:t>
      </w:r>
      <w:r w:rsidRPr="00D6259F">
        <w:rPr>
          <w:i/>
          <w:iCs/>
          <w:color w:val="000000" w:themeColor="text1"/>
        </w:rPr>
        <w:t xml:space="preserve">able </w:t>
      </w:r>
      <w:r w:rsidR="008B0E35" w:rsidRPr="00D6259F">
        <w:rPr>
          <w:i/>
          <w:iCs/>
          <w:color w:val="000000" w:themeColor="text1"/>
        </w:rPr>
        <w:t>91</w:t>
      </w:r>
      <w:r w:rsidRPr="00D6259F">
        <w:rPr>
          <w:i/>
          <w:iCs/>
          <w:color w:val="000000" w:themeColor="text1"/>
        </w:rPr>
        <w:t>.</w:t>
      </w:r>
    </w:p>
    <w:p w14:paraId="0B4CF64C" w14:textId="6595711B" w:rsidR="00E52B00" w:rsidRPr="00D6259F" w:rsidRDefault="000F20D8" w:rsidP="007C7248">
      <w:pPr>
        <w:rPr>
          <w:noProof/>
          <w:color w:val="000000" w:themeColor="text1"/>
        </w:rPr>
      </w:pPr>
      <w:r w:rsidRPr="00D6259F">
        <w:rPr>
          <w:noProof/>
          <w:color w:val="000000" w:themeColor="text1"/>
        </w:rPr>
        <w:object w:dxaOrig="10320" w:dyaOrig="12015" w14:anchorId="0C2364A8">
          <v:shape id="_x0000_i1126" type="#_x0000_t75" style="width:460pt;height:625pt" o:ole="">
            <v:imagedata r:id="rId214" o:title=""/>
          </v:shape>
          <o:OLEObject Type="Link" ProgID="Excel.Sheet.12" ShapeID="_x0000_i1126" DrawAspect="Content" r:id="rId215" UpdateMode="Always">
            <o:LinkType>EnhancedMetaFile</o:LinkType>
            <o:LockedField>false</o:LockedField>
          </o:OLEObject>
        </w:object>
      </w:r>
    </w:p>
    <w:p w14:paraId="60A0F2E5" w14:textId="77777777" w:rsidR="00D422B1" w:rsidRPr="00D6259F" w:rsidRDefault="00D422B1" w:rsidP="007C7248">
      <w:pPr>
        <w:pStyle w:val="Heading5"/>
        <w:rPr>
          <w:color w:val="000000" w:themeColor="text1"/>
        </w:rPr>
      </w:pPr>
      <w:r w:rsidRPr="00D6259F">
        <w:rPr>
          <w:color w:val="000000" w:themeColor="text1"/>
        </w:rPr>
        <w:t>Current receivables, recoverables and payables</w:t>
      </w:r>
    </w:p>
    <w:p w14:paraId="19933002" w14:textId="1B49EC5B" w:rsidR="00D422B1" w:rsidRPr="00D6259F" w:rsidRDefault="00D422B1" w:rsidP="007C7248">
      <w:pPr>
        <w:rPr>
          <w:color w:val="000000" w:themeColor="text1"/>
        </w:rPr>
      </w:pPr>
      <w:r w:rsidRPr="00D6259F">
        <w:rPr>
          <w:color w:val="000000" w:themeColor="text1"/>
        </w:rPr>
        <w:t>The receivable, recoverable and payable balances are non-interest bearing and are to be settled with the relevant entities on normal trading terms and conditions.</w:t>
      </w:r>
    </w:p>
    <w:p w14:paraId="73C50085" w14:textId="77777777" w:rsidR="00B3400E" w:rsidRPr="00D6259F" w:rsidRDefault="00B3400E" w:rsidP="007C7248">
      <w:pPr>
        <w:rPr>
          <w:color w:val="000000" w:themeColor="text1"/>
        </w:rPr>
      </w:pPr>
    </w:p>
    <w:p w14:paraId="1763ADC1" w14:textId="41865220" w:rsidR="00E94751" w:rsidRPr="00D6259F" w:rsidRDefault="00096B2D" w:rsidP="007C7248">
      <w:pPr>
        <w:pStyle w:val="Heading4"/>
      </w:pPr>
      <w:r w:rsidRPr="00D6259F">
        <w:lastRenderedPageBreak/>
        <w:t>Intra-group</w:t>
      </w:r>
      <w:r w:rsidR="00E94751" w:rsidRPr="00D6259F">
        <w:t xml:space="preserve"> transactions and balances – Associates and Joint </w:t>
      </w:r>
      <w:r w:rsidR="001D6484" w:rsidRPr="00D6259F">
        <w:t>v</w:t>
      </w:r>
      <w:r w:rsidR="00E94751" w:rsidRPr="00D6259F">
        <w:t>enture</w:t>
      </w:r>
    </w:p>
    <w:p w14:paraId="660D8F11" w14:textId="293457BE" w:rsidR="00D422B1" w:rsidRPr="00D6259F" w:rsidRDefault="00D422B1" w:rsidP="007C7248">
      <w:pPr>
        <w:rPr>
          <w:color w:val="000000" w:themeColor="text1"/>
        </w:rPr>
      </w:pPr>
      <w:r w:rsidRPr="00D6259F">
        <w:rPr>
          <w:color w:val="000000" w:themeColor="text1"/>
        </w:rPr>
        <w:t xml:space="preserve">During the year the Council has </w:t>
      </w:r>
      <w:proofErr w:type="gramStart"/>
      <w:r w:rsidRPr="00D6259F">
        <w:rPr>
          <w:color w:val="000000" w:themeColor="text1"/>
        </w:rPr>
        <w:t>entered into</w:t>
      </w:r>
      <w:proofErr w:type="gramEnd"/>
      <w:r w:rsidRPr="00D6259F">
        <w:rPr>
          <w:color w:val="000000" w:themeColor="text1"/>
        </w:rPr>
        <w:t xml:space="preserve"> several transactions with its associates and joint venture. These transactions disclosed are within the normal course of business. The nature of these </w:t>
      </w:r>
      <w:r w:rsidR="00AA0B50" w:rsidRPr="00D6259F">
        <w:rPr>
          <w:color w:val="000000" w:themeColor="text1"/>
        </w:rPr>
        <w:t>intra-group</w:t>
      </w:r>
      <w:r w:rsidRPr="00D6259F">
        <w:rPr>
          <w:color w:val="000000" w:themeColor="text1"/>
        </w:rPr>
        <w:t xml:space="preserve"> transactions and the outstanding balances at the year-end are as </w:t>
      </w:r>
      <w:r w:rsidR="001747E5" w:rsidRPr="00D6259F">
        <w:rPr>
          <w:color w:val="000000" w:themeColor="text1"/>
        </w:rPr>
        <w:t>shown</w:t>
      </w:r>
      <w:r w:rsidRPr="00D6259F">
        <w:rPr>
          <w:color w:val="000000" w:themeColor="text1"/>
        </w:rPr>
        <w:t xml:space="preserve"> in </w:t>
      </w:r>
      <w:r w:rsidRPr="00D6259F">
        <w:rPr>
          <w:i/>
          <w:color w:val="000000" w:themeColor="text1"/>
        </w:rPr>
        <w:t>Table</w:t>
      </w:r>
      <w:r w:rsidR="0007007B" w:rsidRPr="00D6259F">
        <w:rPr>
          <w:i/>
          <w:color w:val="000000" w:themeColor="text1"/>
        </w:rPr>
        <w:t xml:space="preserve"> </w:t>
      </w:r>
      <w:r w:rsidR="008B0E35" w:rsidRPr="00D6259F">
        <w:rPr>
          <w:i/>
          <w:color w:val="000000" w:themeColor="text1"/>
        </w:rPr>
        <w:t>92</w:t>
      </w:r>
      <w:r w:rsidR="00923A22" w:rsidRPr="00D6259F">
        <w:rPr>
          <w:i/>
          <w:color w:val="000000" w:themeColor="text1"/>
        </w:rPr>
        <w:t>.</w:t>
      </w:r>
    </w:p>
    <w:p w14:paraId="313663BB" w14:textId="57C4F2E3" w:rsidR="00D422B1" w:rsidRPr="00D6259F" w:rsidRDefault="000F20D8" w:rsidP="007C7248">
      <w:pPr>
        <w:rPr>
          <w:color w:val="000000" w:themeColor="text1"/>
        </w:rPr>
      </w:pPr>
      <w:r w:rsidRPr="00D6259F">
        <w:rPr>
          <w:noProof/>
          <w:color w:val="000000" w:themeColor="text1"/>
        </w:rPr>
        <w:object w:dxaOrig="10320" w:dyaOrig="5115" w14:anchorId="1306A685">
          <v:shape id="_x0000_i1127" type="#_x0000_t75" style="width:481pt;height:238pt" o:ole="">
            <v:imagedata r:id="rId216" o:title=""/>
          </v:shape>
          <o:OLEObject Type="Link" ProgID="Excel.Sheet.12" ShapeID="_x0000_i1127" DrawAspect="Content" r:id="rId217" UpdateMode="Always">
            <o:LinkType>EnhancedMetaFile</o:LinkType>
            <o:LockedField>false</o:LockedField>
          </o:OLEObject>
        </w:object>
      </w:r>
    </w:p>
    <w:p w14:paraId="0E9CCDA2" w14:textId="77777777" w:rsidR="00D422B1" w:rsidRPr="00D6259F" w:rsidRDefault="00D422B1" w:rsidP="007C7248">
      <w:pPr>
        <w:pStyle w:val="Heading5"/>
        <w:rPr>
          <w:rFonts w:cs="Arial"/>
          <w:color w:val="000000" w:themeColor="text1"/>
        </w:rPr>
      </w:pPr>
      <w:r w:rsidRPr="00D6259F">
        <w:rPr>
          <w:color w:val="000000" w:themeColor="text1"/>
        </w:rPr>
        <w:t>Current receivables, recoverables and payables</w:t>
      </w:r>
    </w:p>
    <w:p w14:paraId="30898B61" w14:textId="77777777" w:rsidR="00D422B1" w:rsidRPr="00D6259F" w:rsidRDefault="00D422B1" w:rsidP="007C7248">
      <w:pPr>
        <w:rPr>
          <w:color w:val="000000" w:themeColor="text1"/>
        </w:rPr>
      </w:pPr>
      <w:r w:rsidRPr="00D6259F">
        <w:rPr>
          <w:color w:val="000000" w:themeColor="text1"/>
        </w:rPr>
        <w:t>The receivable, recoverable and payable balances are non-interest bearing and are to be settled with the relevant entities on normal trading terms and conditions.</w:t>
      </w:r>
    </w:p>
    <w:p w14:paraId="27B4E5AD" w14:textId="77777777" w:rsidR="00687A45" w:rsidRPr="00D6259F" w:rsidRDefault="00687A45" w:rsidP="007C7248">
      <w:pPr>
        <w:rPr>
          <w:rFonts w:ascii="Cambria" w:hAnsi="Cambria" w:cs="Calibri"/>
          <w:color w:val="000000" w:themeColor="text1"/>
          <w:sz w:val="36"/>
          <w:szCs w:val="36"/>
          <w:lang w:eastAsia="en-NZ"/>
        </w:rPr>
      </w:pPr>
      <w:r w:rsidRPr="00D6259F">
        <w:rPr>
          <w:color w:val="000000" w:themeColor="text1"/>
        </w:rPr>
        <w:br w:type="page"/>
      </w:r>
    </w:p>
    <w:p w14:paraId="61DBE4BA" w14:textId="246EDAC9" w:rsidR="00D422B1" w:rsidRPr="00D6259F" w:rsidRDefault="00D422B1" w:rsidP="00C63496">
      <w:pPr>
        <w:pStyle w:val="Heading2"/>
      </w:pPr>
      <w:bookmarkStart w:id="234" w:name="_Toc55482686"/>
      <w:bookmarkStart w:id="235" w:name="_Toc179890329"/>
      <w:r w:rsidRPr="00D6259F">
        <w:lastRenderedPageBreak/>
        <w:t>Note 3</w:t>
      </w:r>
      <w:r w:rsidR="00AD66F8" w:rsidRPr="00D6259F">
        <w:t>8</w:t>
      </w:r>
      <w:r w:rsidRPr="00D6259F">
        <w:t xml:space="preserve">: Remuneration and </w:t>
      </w:r>
      <w:proofErr w:type="gramStart"/>
      <w:r w:rsidRPr="00D6259F">
        <w:t>staffing</w:t>
      </w:r>
      <w:bookmarkEnd w:id="234"/>
      <w:bookmarkEnd w:id="235"/>
      <w:proofErr w:type="gramEnd"/>
    </w:p>
    <w:p w14:paraId="4BE2AD54" w14:textId="77777777" w:rsidR="00D422B1" w:rsidRPr="00D6259F" w:rsidRDefault="00D422B1" w:rsidP="00C63496">
      <w:pPr>
        <w:pStyle w:val="Heading3"/>
      </w:pPr>
      <w:bookmarkStart w:id="236" w:name="_Toc121217196"/>
      <w:r w:rsidRPr="00D6259F">
        <w:t>Mayoral and Councillor remuneration</w:t>
      </w:r>
      <w:bookmarkEnd w:id="236"/>
    </w:p>
    <w:p w14:paraId="52204FB9" w14:textId="77777777" w:rsidR="00D422B1" w:rsidRPr="00D6259F" w:rsidRDefault="00D422B1" w:rsidP="00C63496">
      <w:pPr>
        <w:pStyle w:val="Heading4"/>
        <w:rPr>
          <w:rFonts w:cs="Arial"/>
        </w:rPr>
      </w:pPr>
      <w:r w:rsidRPr="00D6259F">
        <w:t>Remuneration</w:t>
      </w:r>
    </w:p>
    <w:p w14:paraId="1D0A6F55" w14:textId="01563B23" w:rsidR="00BC6765" w:rsidRPr="00D6259F" w:rsidRDefault="00D422B1" w:rsidP="00BC6765">
      <w:pPr>
        <w:rPr>
          <w:i/>
          <w:color w:val="000000" w:themeColor="text1"/>
        </w:rPr>
      </w:pPr>
      <w:r w:rsidRPr="00D6259F">
        <w:rPr>
          <w:color w:val="000000" w:themeColor="text1"/>
        </w:rPr>
        <w:t xml:space="preserve">The following people held office as elected members of the Council’s governing body, during the reporting period. The total </w:t>
      </w:r>
      <w:r w:rsidR="00670571" w:rsidRPr="00D6259F">
        <w:rPr>
          <w:color w:val="000000" w:themeColor="text1"/>
        </w:rPr>
        <w:t>remuneration</w:t>
      </w:r>
      <w:r w:rsidRPr="00D6259F">
        <w:rPr>
          <w:color w:val="000000" w:themeColor="text1"/>
        </w:rPr>
        <w:t xml:space="preserve"> was </w:t>
      </w:r>
      <w:r w:rsidR="00A82365" w:rsidRPr="00D6259F">
        <w:rPr>
          <w:color w:val="000000" w:themeColor="text1"/>
        </w:rPr>
        <w:t>$1</w:t>
      </w:r>
      <w:r w:rsidR="00C146AB" w:rsidRPr="00D6259F">
        <w:rPr>
          <w:color w:val="000000" w:themeColor="text1"/>
        </w:rPr>
        <w:t>.</w:t>
      </w:r>
      <w:r w:rsidR="00E5243A" w:rsidRPr="00D6259F">
        <w:rPr>
          <w:color w:val="000000" w:themeColor="text1"/>
        </w:rPr>
        <w:t>8</w:t>
      </w:r>
      <w:r w:rsidR="00C146AB" w:rsidRPr="00D6259F">
        <w:rPr>
          <w:color w:val="000000" w:themeColor="text1"/>
        </w:rPr>
        <w:t>m</w:t>
      </w:r>
      <w:r w:rsidR="00663309" w:rsidRPr="00D6259F">
        <w:rPr>
          <w:color w:val="000000" w:themeColor="text1"/>
        </w:rPr>
        <w:t xml:space="preserve"> (</w:t>
      </w:r>
      <w:r w:rsidRPr="00D6259F">
        <w:rPr>
          <w:color w:val="000000" w:themeColor="text1"/>
        </w:rPr>
        <w:t>20</w:t>
      </w:r>
      <w:r w:rsidR="00923A22" w:rsidRPr="00D6259F">
        <w:rPr>
          <w:color w:val="000000" w:themeColor="text1"/>
        </w:rPr>
        <w:t>2</w:t>
      </w:r>
      <w:r w:rsidR="004A0797" w:rsidRPr="00D6259F">
        <w:rPr>
          <w:color w:val="000000" w:themeColor="text1"/>
        </w:rPr>
        <w:t>3</w:t>
      </w:r>
      <w:r w:rsidRPr="00D6259F">
        <w:rPr>
          <w:color w:val="000000" w:themeColor="text1"/>
        </w:rPr>
        <w:t>: $</w:t>
      </w:r>
      <w:r w:rsidR="004A0797" w:rsidRPr="00D6259F">
        <w:rPr>
          <w:color w:val="000000" w:themeColor="text1"/>
        </w:rPr>
        <w:t>1</w:t>
      </w:r>
      <w:r w:rsidR="00C146AB" w:rsidRPr="00D6259F">
        <w:rPr>
          <w:color w:val="000000" w:themeColor="text1"/>
        </w:rPr>
        <w:t>.</w:t>
      </w:r>
      <w:r w:rsidR="00E5243A" w:rsidRPr="00D6259F">
        <w:rPr>
          <w:color w:val="000000" w:themeColor="text1"/>
        </w:rPr>
        <w:t>8</w:t>
      </w:r>
      <w:r w:rsidR="00C146AB" w:rsidRPr="00D6259F">
        <w:rPr>
          <w:color w:val="000000" w:themeColor="text1"/>
        </w:rPr>
        <w:t>m</w:t>
      </w:r>
      <w:r w:rsidRPr="00D6259F">
        <w:rPr>
          <w:color w:val="000000" w:themeColor="text1"/>
        </w:rPr>
        <w:t xml:space="preserve">) and is broken down and </w:t>
      </w:r>
      <w:r w:rsidR="00923A22" w:rsidRPr="00D6259F">
        <w:rPr>
          <w:color w:val="000000" w:themeColor="text1"/>
        </w:rPr>
        <w:t>c</w:t>
      </w:r>
      <w:r w:rsidRPr="00D6259F">
        <w:rPr>
          <w:color w:val="000000" w:themeColor="text1"/>
        </w:rPr>
        <w:t xml:space="preserve">lassified as </w:t>
      </w:r>
      <w:r w:rsidR="001747E5" w:rsidRPr="00D6259F">
        <w:rPr>
          <w:color w:val="000000" w:themeColor="text1"/>
        </w:rPr>
        <w:t>shown</w:t>
      </w:r>
      <w:r w:rsidRPr="00D6259F">
        <w:rPr>
          <w:color w:val="000000" w:themeColor="text1"/>
        </w:rPr>
        <w:t xml:space="preserve"> in </w:t>
      </w:r>
      <w:r w:rsidRPr="00D6259F">
        <w:rPr>
          <w:i/>
          <w:color w:val="000000" w:themeColor="text1"/>
        </w:rPr>
        <w:t>Table</w:t>
      </w:r>
      <w:r w:rsidR="0007007B" w:rsidRPr="00D6259F">
        <w:rPr>
          <w:i/>
          <w:color w:val="000000" w:themeColor="text1"/>
        </w:rPr>
        <w:t xml:space="preserve"> </w:t>
      </w:r>
      <w:r w:rsidR="008B0E35" w:rsidRPr="00D6259F">
        <w:rPr>
          <w:i/>
          <w:color w:val="000000" w:themeColor="text1"/>
        </w:rPr>
        <w:t>93</w:t>
      </w:r>
      <w:r w:rsidR="00401B5A" w:rsidRPr="00D6259F">
        <w:rPr>
          <w:i/>
          <w:color w:val="000000" w:themeColor="text1"/>
        </w:rPr>
        <w:t>.</w:t>
      </w:r>
    </w:p>
    <w:p w14:paraId="469C7D08" w14:textId="561AD428" w:rsidR="00D422B1" w:rsidRPr="00D6259F" w:rsidRDefault="000F20D8" w:rsidP="00BC6765">
      <w:pPr>
        <w:rPr>
          <w:noProof/>
          <w:color w:val="000000" w:themeColor="text1"/>
        </w:rPr>
      </w:pPr>
      <w:r w:rsidRPr="00D6259F">
        <w:rPr>
          <w:noProof/>
          <w:color w:val="000000" w:themeColor="text1"/>
        </w:rPr>
        <w:object w:dxaOrig="10140" w:dyaOrig="7695" w14:anchorId="4D0BE8CE">
          <v:shape id="_x0000_i1128" type="#_x0000_t75" style="width:486pt;height:362pt" o:ole="">
            <v:imagedata r:id="rId218" o:title=""/>
          </v:shape>
          <o:OLEObject Type="Link" ProgID="Excel.Sheet.12" ShapeID="_x0000_i1128" DrawAspect="Content" r:id="rId219" UpdateMode="Always">
            <o:LinkType>EnhancedMetaFile</o:LinkType>
            <o:LockedField>false</o:LockedField>
          </o:OLEObject>
        </w:object>
      </w:r>
    </w:p>
    <w:p w14:paraId="6ABEEF42" w14:textId="77777777" w:rsidR="00D422B1" w:rsidRPr="00D6259F" w:rsidRDefault="00D422B1" w:rsidP="00C63496">
      <w:pPr>
        <w:pStyle w:val="Heading4"/>
      </w:pPr>
      <w:r w:rsidRPr="00D6259F">
        <w:t xml:space="preserve">Salary </w:t>
      </w:r>
    </w:p>
    <w:p w14:paraId="39EDB156" w14:textId="4A6D11BD" w:rsidR="00D422B1" w:rsidRPr="00D6259F" w:rsidRDefault="00D422B1" w:rsidP="00C63496">
      <w:pPr>
        <w:rPr>
          <w:color w:val="000000" w:themeColor="text1"/>
        </w:rPr>
      </w:pPr>
      <w:r w:rsidRPr="00D6259F">
        <w:rPr>
          <w:color w:val="000000" w:themeColor="text1"/>
        </w:rPr>
        <w:t xml:space="preserve">The Remuneration Authority is responsible for setting the remuneration levels for elected members (Clause 6, Schedule 7 of the </w:t>
      </w:r>
      <w:r w:rsidR="00F2150F" w:rsidRPr="00D6259F">
        <w:rPr>
          <w:color w:val="000000" w:themeColor="text1"/>
        </w:rPr>
        <w:t>LGA</w:t>
      </w:r>
      <w:r w:rsidRPr="00D6259F">
        <w:rPr>
          <w:color w:val="000000" w:themeColor="text1"/>
        </w:rPr>
        <w:t xml:space="preserve"> 2002). The Council’s monetary remuneration (salary) detailed above was determined by the Remuneration Authority. As permitted under the Authority’s guidelines the Council has chosen for its elected members to receive an annual salary for the </w:t>
      </w:r>
      <w:r w:rsidR="00CA2A5B" w:rsidRPr="00D6259F">
        <w:rPr>
          <w:color w:val="000000" w:themeColor="text1"/>
        </w:rPr>
        <w:t>2023/24</w:t>
      </w:r>
      <w:r w:rsidRPr="00D6259F">
        <w:rPr>
          <w:color w:val="000000" w:themeColor="text1"/>
        </w:rPr>
        <w:t xml:space="preserve"> financial year rather than the alternative option of a combination of meeting fee payments and annual salary. </w:t>
      </w:r>
    </w:p>
    <w:p w14:paraId="6EB8FB78" w14:textId="77777777" w:rsidR="00D422B1" w:rsidRPr="00D6259F" w:rsidRDefault="00DE5779" w:rsidP="00C63496">
      <w:pPr>
        <w:pStyle w:val="Heading4"/>
      </w:pPr>
      <w:bookmarkStart w:id="237" w:name="_Hlk163724116"/>
      <w:r w:rsidRPr="00D6259F">
        <w:t>Mayoral car</w:t>
      </w:r>
    </w:p>
    <w:p w14:paraId="49941285" w14:textId="178FEA09" w:rsidR="00D422B1" w:rsidRPr="00D6259F" w:rsidRDefault="00D422B1" w:rsidP="00C63496">
      <w:pPr>
        <w:rPr>
          <w:color w:val="000000" w:themeColor="text1"/>
        </w:rPr>
      </w:pPr>
      <w:r w:rsidRPr="00D6259F">
        <w:rPr>
          <w:color w:val="000000" w:themeColor="text1"/>
        </w:rPr>
        <w:t>The Remuneration Authority permit</w:t>
      </w:r>
      <w:r w:rsidR="003809F6" w:rsidRPr="00D6259F">
        <w:rPr>
          <w:color w:val="000000" w:themeColor="text1"/>
        </w:rPr>
        <w:t>s</w:t>
      </w:r>
      <w:r w:rsidRPr="00D6259F">
        <w:rPr>
          <w:color w:val="000000" w:themeColor="text1"/>
        </w:rPr>
        <w:t xml:space="preserve"> </w:t>
      </w:r>
      <w:r w:rsidR="00A41290" w:rsidRPr="00D6259F">
        <w:rPr>
          <w:color w:val="000000" w:themeColor="text1"/>
        </w:rPr>
        <w:t xml:space="preserve">the </w:t>
      </w:r>
      <w:r w:rsidRPr="00D6259F">
        <w:rPr>
          <w:color w:val="000000" w:themeColor="text1"/>
        </w:rPr>
        <w:t xml:space="preserve">Council to provide the </w:t>
      </w:r>
      <w:proofErr w:type="gramStart"/>
      <w:r w:rsidRPr="00D6259F">
        <w:rPr>
          <w:color w:val="000000" w:themeColor="text1"/>
        </w:rPr>
        <w:t>Mayor</w:t>
      </w:r>
      <w:proofErr w:type="gramEnd"/>
      <w:r w:rsidRPr="00D6259F">
        <w:rPr>
          <w:color w:val="000000" w:themeColor="text1"/>
        </w:rPr>
        <w:t xml:space="preserve"> with a vehicle for full private use, which is a taxable benefit</w:t>
      </w:r>
      <w:r w:rsidR="00561760" w:rsidRPr="00D6259F">
        <w:rPr>
          <w:color w:val="000000" w:themeColor="text1"/>
        </w:rPr>
        <w:t>. Mayor Whanau has chosen not to</w:t>
      </w:r>
      <w:r w:rsidRPr="00D6259F">
        <w:rPr>
          <w:color w:val="000000" w:themeColor="text1"/>
        </w:rPr>
        <w:t xml:space="preserve"> take up this option.</w:t>
      </w:r>
    </w:p>
    <w:p w14:paraId="23829A06" w14:textId="77777777" w:rsidR="00E5243A" w:rsidRPr="00D6259F" w:rsidRDefault="00E5243A" w:rsidP="00C63496">
      <w:pPr>
        <w:rPr>
          <w:color w:val="000000" w:themeColor="text1"/>
        </w:rPr>
      </w:pPr>
    </w:p>
    <w:bookmarkEnd w:id="237"/>
    <w:p w14:paraId="50974FC2" w14:textId="77777777" w:rsidR="00D422B1" w:rsidRPr="00D6259F" w:rsidRDefault="00D422B1" w:rsidP="00C63496">
      <w:pPr>
        <w:pStyle w:val="Heading4"/>
        <w:rPr>
          <w:rFonts w:cs="Arial"/>
          <w:sz w:val="20"/>
          <w:szCs w:val="20"/>
        </w:rPr>
      </w:pPr>
      <w:r w:rsidRPr="00D6259F">
        <w:lastRenderedPageBreak/>
        <w:t>Non-monetary</w:t>
      </w:r>
    </w:p>
    <w:p w14:paraId="57DB9E57" w14:textId="04173F6F" w:rsidR="00D422B1" w:rsidRPr="00D6259F" w:rsidRDefault="00D422B1" w:rsidP="00C63496">
      <w:pPr>
        <w:rPr>
          <w:color w:val="000000" w:themeColor="text1"/>
        </w:rPr>
      </w:pPr>
      <w:r w:rsidRPr="00D6259F">
        <w:rPr>
          <w:color w:val="000000" w:themeColor="text1"/>
        </w:rPr>
        <w:t xml:space="preserve">In addition, the Mayor and Councillors receive non-monetary remuneration (benefit) in relation to </w:t>
      </w:r>
      <w:r w:rsidR="008A7D51" w:rsidRPr="00D6259F">
        <w:rPr>
          <w:color w:val="000000" w:themeColor="text1"/>
        </w:rPr>
        <w:t xml:space="preserve">a pool of </w:t>
      </w:r>
      <w:r w:rsidR="005D279A" w:rsidRPr="00D6259F">
        <w:rPr>
          <w:color w:val="000000" w:themeColor="text1"/>
        </w:rPr>
        <w:t xml:space="preserve">on-site </w:t>
      </w:r>
      <w:r w:rsidRPr="00D6259F">
        <w:rPr>
          <w:color w:val="000000" w:themeColor="text1"/>
        </w:rPr>
        <w:t>car parking spaces provided, regardless of whether they elect to use these or not.</w:t>
      </w:r>
      <w:r w:rsidR="00013C1B" w:rsidRPr="00D6259F">
        <w:rPr>
          <w:color w:val="000000" w:themeColor="text1"/>
        </w:rPr>
        <w:t xml:space="preserve"> Some Councillors do not have vehicles and/or do not choose to use these car park spaces. </w:t>
      </w:r>
      <w:r w:rsidR="008A7D51" w:rsidRPr="00D6259F">
        <w:rPr>
          <w:color w:val="000000" w:themeColor="text1"/>
        </w:rPr>
        <w:t xml:space="preserve">This benefit is excluded from </w:t>
      </w:r>
      <w:r w:rsidR="008A7D51" w:rsidRPr="00D6259F">
        <w:rPr>
          <w:i/>
          <w:iCs/>
          <w:color w:val="000000" w:themeColor="text1"/>
        </w:rPr>
        <w:t xml:space="preserve">Table </w:t>
      </w:r>
      <w:r w:rsidR="008B0E35" w:rsidRPr="00D6259F">
        <w:rPr>
          <w:i/>
          <w:iCs/>
          <w:color w:val="000000" w:themeColor="text1"/>
        </w:rPr>
        <w:t>93</w:t>
      </w:r>
      <w:r w:rsidR="008A7D51" w:rsidRPr="00D6259F">
        <w:rPr>
          <w:color w:val="000000" w:themeColor="text1"/>
        </w:rPr>
        <w:t xml:space="preserve"> as the Council considers it </w:t>
      </w:r>
      <w:r w:rsidR="006A6706" w:rsidRPr="00D6259F">
        <w:rPr>
          <w:color w:val="000000" w:themeColor="text1"/>
        </w:rPr>
        <w:t xml:space="preserve">immaterial </w:t>
      </w:r>
      <w:r w:rsidR="008A7D51" w:rsidRPr="00D6259F">
        <w:rPr>
          <w:color w:val="000000" w:themeColor="text1"/>
        </w:rPr>
        <w:t xml:space="preserve">and not practical to include this information. </w:t>
      </w:r>
      <w:r w:rsidR="00013C1B" w:rsidRPr="00D6259F">
        <w:rPr>
          <w:color w:val="000000" w:themeColor="text1"/>
        </w:rPr>
        <w:t xml:space="preserve">  </w:t>
      </w:r>
      <w:r w:rsidRPr="00D6259F">
        <w:rPr>
          <w:color w:val="000000" w:themeColor="text1"/>
        </w:rPr>
        <w:t xml:space="preserve"> </w:t>
      </w:r>
    </w:p>
    <w:p w14:paraId="1F5659C8" w14:textId="77777777" w:rsidR="00D422B1" w:rsidRPr="00D6259F" w:rsidRDefault="00D422B1" w:rsidP="00C63496">
      <w:pPr>
        <w:rPr>
          <w:color w:val="000000" w:themeColor="text1"/>
        </w:rPr>
      </w:pPr>
      <w:r w:rsidRPr="00D6259F">
        <w:rPr>
          <w:color w:val="000000" w:themeColor="text1"/>
        </w:rPr>
        <w:t xml:space="preserve">The Councillors have shared office and working space available for use, and access to phones and computers. Professional indemnity and trustee liability insurance is also provided to Councillors against any potential legal litigation which may occur while undertaking Council business. </w:t>
      </w:r>
    </w:p>
    <w:p w14:paraId="4EBF0FE4" w14:textId="77777777" w:rsidR="00D422B1" w:rsidRPr="00D6259F" w:rsidRDefault="00D422B1" w:rsidP="00C63496">
      <w:pPr>
        <w:pStyle w:val="Heading3"/>
      </w:pPr>
      <w:bookmarkStart w:id="238" w:name="_Toc121217197"/>
      <w:r w:rsidRPr="00D6259F">
        <w:t>Relevant significant accounting policies</w:t>
      </w:r>
      <w:bookmarkEnd w:id="238"/>
    </w:p>
    <w:p w14:paraId="12D18D8D" w14:textId="289F267D" w:rsidR="00D422B1" w:rsidRPr="00D6259F" w:rsidRDefault="00D422B1" w:rsidP="00C63496">
      <w:pPr>
        <w:rPr>
          <w:color w:val="000000" w:themeColor="text1"/>
        </w:rPr>
      </w:pPr>
      <w:r w:rsidRPr="00D6259F">
        <w:rPr>
          <w:color w:val="000000" w:themeColor="text1"/>
        </w:rPr>
        <w:t xml:space="preserve">Remuneration of elected members comprises any money, consideration or </w:t>
      </w:r>
      <w:r w:rsidR="008A7D51" w:rsidRPr="00D6259F">
        <w:rPr>
          <w:color w:val="000000" w:themeColor="text1"/>
        </w:rPr>
        <w:t xml:space="preserve">non-monetary </w:t>
      </w:r>
      <w:r w:rsidRPr="00D6259F">
        <w:rPr>
          <w:color w:val="000000" w:themeColor="text1"/>
        </w:rPr>
        <w:t xml:space="preserve">benefit received or receivable or otherwise made available, </w:t>
      </w:r>
      <w:proofErr w:type="gramStart"/>
      <w:r w:rsidRPr="00D6259F">
        <w:rPr>
          <w:color w:val="000000" w:themeColor="text1"/>
        </w:rPr>
        <w:t>directly</w:t>
      </w:r>
      <w:proofErr w:type="gramEnd"/>
      <w:r w:rsidRPr="00D6259F">
        <w:rPr>
          <w:color w:val="000000" w:themeColor="text1"/>
        </w:rPr>
        <w:t xml:space="preserve"> or indirectly, during the reporting period but does not include reimbursement of authorised work expenses or the provision of work-related equipment such as cell phones and laptops. </w:t>
      </w:r>
    </w:p>
    <w:p w14:paraId="0C300709" w14:textId="7495342A" w:rsidR="00D422B1" w:rsidRPr="00D6259F" w:rsidRDefault="00D422B1" w:rsidP="00C63496">
      <w:pPr>
        <w:pStyle w:val="Heading3"/>
      </w:pPr>
      <w:bookmarkStart w:id="239" w:name="_Toc121217198"/>
      <w:r w:rsidRPr="00D6259F">
        <w:t>Community Boards</w:t>
      </w:r>
      <w:bookmarkEnd w:id="239"/>
    </w:p>
    <w:p w14:paraId="1BE7570E" w14:textId="5A5E3AB8" w:rsidR="00CD3B0B" w:rsidRPr="00D6259F" w:rsidRDefault="00D422B1" w:rsidP="00CD3B0B">
      <w:pPr>
        <w:rPr>
          <w:i/>
          <w:color w:val="000000" w:themeColor="text1"/>
        </w:rPr>
      </w:pPr>
      <w:r w:rsidRPr="00D6259F">
        <w:rPr>
          <w:color w:val="000000" w:themeColor="text1"/>
        </w:rPr>
        <w:t xml:space="preserve">The Council has two community boards – the Tawa Community Board and the </w:t>
      </w:r>
      <w:proofErr w:type="spellStart"/>
      <w:r w:rsidRPr="00D6259F">
        <w:rPr>
          <w:color w:val="000000" w:themeColor="text1"/>
        </w:rPr>
        <w:t>M</w:t>
      </w:r>
      <w:r w:rsidR="002E6915" w:rsidRPr="00D6259F">
        <w:rPr>
          <w:color w:val="000000" w:themeColor="text1"/>
        </w:rPr>
        <w:t>ā</w:t>
      </w:r>
      <w:r w:rsidRPr="00D6259F">
        <w:rPr>
          <w:color w:val="000000" w:themeColor="text1"/>
        </w:rPr>
        <w:t>kara</w:t>
      </w:r>
      <w:proofErr w:type="spellEnd"/>
      <w:r w:rsidRPr="00D6259F">
        <w:rPr>
          <w:color w:val="000000" w:themeColor="text1"/>
        </w:rPr>
        <w:t>/</w:t>
      </w:r>
      <w:r w:rsidR="00A1223C" w:rsidRPr="00D6259F">
        <w:rPr>
          <w:color w:val="000000" w:themeColor="text1"/>
        </w:rPr>
        <w:t>Ōhāriu</w:t>
      </w:r>
      <w:r w:rsidRPr="00D6259F">
        <w:rPr>
          <w:color w:val="000000" w:themeColor="text1"/>
        </w:rPr>
        <w:t xml:space="preserve"> Community Board. </w:t>
      </w:r>
      <w:r w:rsidR="00E950A8" w:rsidRPr="00D6259F">
        <w:rPr>
          <w:color w:val="000000" w:themeColor="text1"/>
        </w:rPr>
        <w:t>The total r</w:t>
      </w:r>
      <w:r w:rsidRPr="00D6259F">
        <w:rPr>
          <w:color w:val="000000" w:themeColor="text1"/>
        </w:rPr>
        <w:t xml:space="preserve">emuneration paid to the elected members of these boards </w:t>
      </w:r>
      <w:r w:rsidR="0007128D" w:rsidRPr="00D6259F">
        <w:rPr>
          <w:color w:val="000000" w:themeColor="text1"/>
        </w:rPr>
        <w:t xml:space="preserve">was </w:t>
      </w:r>
      <w:r w:rsidR="000F05CD" w:rsidRPr="00D6259F">
        <w:rPr>
          <w:color w:val="000000" w:themeColor="text1"/>
        </w:rPr>
        <w:t xml:space="preserve">$0.1m (2023: $0.1m) </w:t>
      </w:r>
      <w:r w:rsidRPr="00D6259F">
        <w:rPr>
          <w:color w:val="000000" w:themeColor="text1"/>
        </w:rPr>
        <w:t xml:space="preserve">as </w:t>
      </w:r>
      <w:r w:rsidR="001747E5" w:rsidRPr="00D6259F">
        <w:rPr>
          <w:color w:val="000000" w:themeColor="text1"/>
        </w:rPr>
        <w:t>shown</w:t>
      </w:r>
      <w:r w:rsidRPr="00D6259F">
        <w:rPr>
          <w:color w:val="000000" w:themeColor="text1"/>
        </w:rPr>
        <w:t xml:space="preserve"> in </w:t>
      </w:r>
      <w:r w:rsidRPr="00D6259F">
        <w:rPr>
          <w:i/>
          <w:color w:val="000000" w:themeColor="text1"/>
        </w:rPr>
        <w:t xml:space="preserve">Table </w:t>
      </w:r>
      <w:r w:rsidR="008B0E35" w:rsidRPr="00D6259F">
        <w:rPr>
          <w:i/>
          <w:color w:val="000000" w:themeColor="text1"/>
        </w:rPr>
        <w:t>94</w:t>
      </w:r>
      <w:r w:rsidR="00401B5A" w:rsidRPr="00D6259F">
        <w:rPr>
          <w:i/>
          <w:color w:val="000000" w:themeColor="text1"/>
        </w:rPr>
        <w:t>.</w:t>
      </w:r>
    </w:p>
    <w:p w14:paraId="42BEA526" w14:textId="668062ED" w:rsidR="00D422B1" w:rsidRPr="00D6259F" w:rsidRDefault="000F20D8" w:rsidP="00CD3B0B">
      <w:pPr>
        <w:rPr>
          <w:noProof/>
          <w:color w:val="000000" w:themeColor="text1"/>
        </w:rPr>
      </w:pPr>
      <w:r w:rsidRPr="00D6259F">
        <w:rPr>
          <w:noProof/>
          <w:color w:val="000000" w:themeColor="text1"/>
        </w:rPr>
        <w:object w:dxaOrig="9990" w:dyaOrig="8505" w14:anchorId="68C99855">
          <v:shape id="_x0000_i1129" type="#_x0000_t75" style="width:457pt;height:425pt" o:ole="">
            <v:imagedata r:id="rId220" o:title=""/>
          </v:shape>
          <o:OLEObject Type="Link" ProgID="Excel.Sheet.12" ShapeID="_x0000_i1129" DrawAspect="Content" r:id="rId221" UpdateMode="Always">
            <o:LinkType>EnhancedMetaFile</o:LinkType>
            <o:LockedField>false</o:LockedField>
          </o:OLEObject>
        </w:object>
      </w:r>
    </w:p>
    <w:p w14:paraId="7307A2FE" w14:textId="6D21D88F" w:rsidR="00D422B1" w:rsidRPr="00D6259F" w:rsidRDefault="00D422B1" w:rsidP="00C63496">
      <w:pPr>
        <w:rPr>
          <w:color w:val="000000" w:themeColor="text1"/>
        </w:rPr>
      </w:pPr>
      <w:r w:rsidRPr="00D6259F">
        <w:rPr>
          <w:color w:val="000000" w:themeColor="text1"/>
        </w:rPr>
        <w:t xml:space="preserve">A technology allowance of $45 per month is available to the </w:t>
      </w:r>
      <w:r w:rsidR="007907EA" w:rsidRPr="00D6259F">
        <w:rPr>
          <w:color w:val="000000" w:themeColor="text1"/>
        </w:rPr>
        <w:t>C</w:t>
      </w:r>
      <w:r w:rsidRPr="00D6259F">
        <w:rPr>
          <w:color w:val="000000" w:themeColor="text1"/>
        </w:rPr>
        <w:t xml:space="preserve">hair of both the Tawa and </w:t>
      </w:r>
      <w:proofErr w:type="spellStart"/>
      <w:r w:rsidRPr="00D6259F">
        <w:rPr>
          <w:color w:val="000000" w:themeColor="text1"/>
        </w:rPr>
        <w:t>M</w:t>
      </w:r>
      <w:r w:rsidR="002E6915" w:rsidRPr="00D6259F">
        <w:rPr>
          <w:color w:val="000000" w:themeColor="text1"/>
        </w:rPr>
        <w:t>ā</w:t>
      </w:r>
      <w:r w:rsidRPr="00D6259F">
        <w:rPr>
          <w:color w:val="000000" w:themeColor="text1"/>
        </w:rPr>
        <w:t>kara</w:t>
      </w:r>
      <w:proofErr w:type="spellEnd"/>
      <w:r w:rsidRPr="00D6259F">
        <w:rPr>
          <w:color w:val="000000" w:themeColor="text1"/>
        </w:rPr>
        <w:t>/</w:t>
      </w:r>
      <w:r w:rsidR="002E6915" w:rsidRPr="00D6259F">
        <w:rPr>
          <w:color w:val="000000" w:themeColor="text1"/>
        </w:rPr>
        <w:t>Ō</w:t>
      </w:r>
      <w:r w:rsidRPr="00D6259F">
        <w:rPr>
          <w:color w:val="000000" w:themeColor="text1"/>
        </w:rPr>
        <w:t>h</w:t>
      </w:r>
      <w:r w:rsidR="002E6915" w:rsidRPr="00D6259F">
        <w:rPr>
          <w:color w:val="000000" w:themeColor="text1"/>
        </w:rPr>
        <w:t>ā</w:t>
      </w:r>
      <w:r w:rsidRPr="00D6259F">
        <w:rPr>
          <w:color w:val="000000" w:themeColor="text1"/>
        </w:rPr>
        <w:t xml:space="preserve">riu Community Boards. This allowance can be taken as either an allowance or as an actual expense reimbursement. </w:t>
      </w:r>
    </w:p>
    <w:p w14:paraId="1A2B4BCE" w14:textId="15036B03" w:rsidR="00D422B1" w:rsidRPr="00D6259F" w:rsidRDefault="00D422B1" w:rsidP="00C63496">
      <w:pPr>
        <w:pStyle w:val="Heading3"/>
      </w:pPr>
      <w:bookmarkStart w:id="240" w:name="_Toc121217199"/>
      <w:bookmarkStart w:id="241" w:name="_Hlk81319309"/>
      <w:r w:rsidRPr="00D6259F">
        <w:t>Chief Executive’s remuneration</w:t>
      </w:r>
      <w:bookmarkEnd w:id="240"/>
    </w:p>
    <w:p w14:paraId="0A07EFE3" w14:textId="5EE079FD" w:rsidR="00D422B1" w:rsidRPr="00D6259F" w:rsidRDefault="00D422B1" w:rsidP="00C63496">
      <w:pPr>
        <w:rPr>
          <w:color w:val="000000" w:themeColor="text1"/>
        </w:rPr>
      </w:pPr>
      <w:r w:rsidRPr="00D6259F">
        <w:rPr>
          <w:color w:val="000000" w:themeColor="text1"/>
        </w:rPr>
        <w:t xml:space="preserve">The Chief Executive of the Council was appointed in accordance with section 42 of the </w:t>
      </w:r>
      <w:r w:rsidR="00F2150F" w:rsidRPr="00D6259F">
        <w:rPr>
          <w:color w:val="000000" w:themeColor="text1"/>
        </w:rPr>
        <w:t>LGA</w:t>
      </w:r>
      <w:r w:rsidRPr="00D6259F">
        <w:rPr>
          <w:color w:val="000000" w:themeColor="text1"/>
        </w:rPr>
        <w:t xml:space="preserve"> 2002. </w:t>
      </w:r>
    </w:p>
    <w:p w14:paraId="6D8A86F8" w14:textId="3FCD6603" w:rsidR="00D422B1" w:rsidRPr="00D6259F" w:rsidRDefault="00D422B1" w:rsidP="00C63496">
      <w:pPr>
        <w:rPr>
          <w:color w:val="000000" w:themeColor="text1"/>
        </w:rPr>
      </w:pPr>
      <w:r w:rsidRPr="00D6259F">
        <w:rPr>
          <w:i/>
          <w:color w:val="000000" w:themeColor="text1"/>
        </w:rPr>
        <w:t>Table</w:t>
      </w:r>
      <w:r w:rsidR="00663309" w:rsidRPr="00D6259F">
        <w:rPr>
          <w:i/>
          <w:color w:val="000000" w:themeColor="text1"/>
        </w:rPr>
        <w:t xml:space="preserve"> </w:t>
      </w:r>
      <w:r w:rsidR="008B0E35" w:rsidRPr="00D6259F">
        <w:rPr>
          <w:i/>
          <w:color w:val="000000" w:themeColor="text1"/>
        </w:rPr>
        <w:t>95</w:t>
      </w:r>
      <w:r w:rsidR="00552125" w:rsidRPr="00D6259F">
        <w:rPr>
          <w:i/>
          <w:color w:val="000000" w:themeColor="text1"/>
        </w:rPr>
        <w:t xml:space="preserve"> </w:t>
      </w:r>
      <w:r w:rsidRPr="00D6259F">
        <w:rPr>
          <w:color w:val="000000" w:themeColor="text1"/>
        </w:rPr>
        <w:t xml:space="preserve">shows the total remuneration of the Chief Executive paid or payable for the year ended </w:t>
      </w:r>
      <w:r w:rsidR="005D56AC" w:rsidRPr="00D6259F">
        <w:rPr>
          <w:color w:val="000000" w:themeColor="text1"/>
        </w:rPr>
        <w:t>30 June 2024</w:t>
      </w:r>
      <w:r w:rsidRPr="00D6259F">
        <w:rPr>
          <w:color w:val="000000" w:themeColor="text1"/>
        </w:rPr>
        <w:t xml:space="preserve">. </w:t>
      </w:r>
    </w:p>
    <w:p w14:paraId="7668B813" w14:textId="77777777" w:rsidR="00D422B1" w:rsidRPr="00D6259F" w:rsidRDefault="00D422B1" w:rsidP="00C63496">
      <w:pPr>
        <w:rPr>
          <w:color w:val="000000" w:themeColor="text1"/>
        </w:rPr>
      </w:pPr>
      <w:r w:rsidRPr="00D6259F">
        <w:rPr>
          <w:color w:val="000000" w:themeColor="text1"/>
        </w:rPr>
        <w:t xml:space="preserve">Under the terms of the agreement, the Chief Executive of the Council chooses how they wish to take their remuneration package (salary only or a combination of salary and benefits). </w:t>
      </w:r>
    </w:p>
    <w:p w14:paraId="32A77AE7" w14:textId="30724760" w:rsidR="00E90791" w:rsidRPr="00D6259F" w:rsidRDefault="000F20D8" w:rsidP="00C63496">
      <w:pPr>
        <w:pStyle w:val="Body"/>
        <w:rPr>
          <w:noProof/>
          <w:color w:val="000000" w:themeColor="text1"/>
        </w:rPr>
      </w:pPr>
      <w:r w:rsidRPr="00D6259F">
        <w:rPr>
          <w:noProof/>
          <w:color w:val="000000" w:themeColor="text1"/>
        </w:rPr>
        <w:object w:dxaOrig="9735" w:dyaOrig="2715" w14:anchorId="682C6851">
          <v:shape id="_x0000_i1130" type="#_x0000_t75" style="width:448pt;height:137pt" o:ole="">
            <v:imagedata r:id="rId222" o:title=""/>
          </v:shape>
          <o:OLEObject Type="Link" ProgID="Excel.Sheet.12" ShapeID="_x0000_i1130" DrawAspect="Content" r:id="rId223" UpdateMode="Always">
            <o:LinkType>EnhancedMetaFile</o:LinkType>
            <o:LockedField>false</o:LockedField>
          </o:OLEObject>
        </w:object>
      </w:r>
    </w:p>
    <w:p w14:paraId="19DC722C" w14:textId="31C3D9F6" w:rsidR="00D422B1" w:rsidRPr="00D6259F" w:rsidRDefault="00D422B1" w:rsidP="00C63496">
      <w:pPr>
        <w:pStyle w:val="Heading3"/>
      </w:pPr>
      <w:bookmarkStart w:id="242" w:name="_Toc121217200"/>
      <w:r w:rsidRPr="00D6259F">
        <w:t>Severances</w:t>
      </w:r>
      <w:bookmarkEnd w:id="242"/>
      <w:r w:rsidRPr="00D6259F">
        <w:t xml:space="preserve"> </w:t>
      </w:r>
    </w:p>
    <w:p w14:paraId="3914C92B" w14:textId="0D9208B1" w:rsidR="00D422B1" w:rsidRPr="00D6259F" w:rsidRDefault="00D422B1" w:rsidP="00C63496">
      <w:pPr>
        <w:rPr>
          <w:color w:val="000000" w:themeColor="text1"/>
        </w:rPr>
      </w:pPr>
      <w:r w:rsidRPr="00D6259F">
        <w:rPr>
          <w:color w:val="000000" w:themeColor="text1"/>
        </w:rPr>
        <w:t>In accordance with Schedule 10</w:t>
      </w:r>
      <w:r w:rsidR="003D204C" w:rsidRPr="00D6259F">
        <w:rPr>
          <w:color w:val="000000" w:themeColor="text1"/>
        </w:rPr>
        <w:t xml:space="preserve"> (</w:t>
      </w:r>
      <w:r w:rsidRPr="00D6259F">
        <w:rPr>
          <w:color w:val="000000" w:themeColor="text1"/>
        </w:rPr>
        <w:t>section 33</w:t>
      </w:r>
      <w:r w:rsidR="003D204C" w:rsidRPr="00D6259F">
        <w:rPr>
          <w:color w:val="000000" w:themeColor="text1"/>
        </w:rPr>
        <w:t>)</w:t>
      </w:r>
      <w:r w:rsidRPr="00D6259F">
        <w:rPr>
          <w:color w:val="000000" w:themeColor="text1"/>
        </w:rPr>
        <w:t xml:space="preserve"> of the </w:t>
      </w:r>
      <w:r w:rsidR="00D16E80" w:rsidRPr="00D6259F">
        <w:rPr>
          <w:color w:val="000000" w:themeColor="text1"/>
        </w:rPr>
        <w:t>LGA</w:t>
      </w:r>
      <w:r w:rsidRPr="00D6259F">
        <w:rPr>
          <w:color w:val="000000" w:themeColor="text1"/>
        </w:rPr>
        <w:t xml:space="preserve"> 2002, the Council is required to disclose the number of employees who received severance payments during the year and the amount of each severance payment made.</w:t>
      </w:r>
    </w:p>
    <w:p w14:paraId="6D763F86" w14:textId="77777777" w:rsidR="00D422B1" w:rsidRPr="00D6259F" w:rsidRDefault="00D422B1" w:rsidP="00C63496">
      <w:pPr>
        <w:rPr>
          <w:color w:val="000000" w:themeColor="text1"/>
        </w:rPr>
      </w:pPr>
      <w:r w:rsidRPr="00D6259F">
        <w:rPr>
          <w:color w:val="000000" w:themeColor="text1"/>
        </w:rPr>
        <w:t xml:space="preserve">Severance payments include any consideration (monetary and non-monetary) provided to any employee in respect of the employee’s agreement to the termination of their employment with the Council. Severance payments exclude any final payment of salary, holiday pay and superannuation contributions or other contractual entitlement. </w:t>
      </w:r>
    </w:p>
    <w:p w14:paraId="6C6FEDC4" w14:textId="267F4727" w:rsidR="00D422B1" w:rsidRPr="00D6259F" w:rsidRDefault="00D422B1" w:rsidP="00C63496">
      <w:pPr>
        <w:rPr>
          <w:color w:val="000000" w:themeColor="text1"/>
        </w:rPr>
      </w:pPr>
      <w:r w:rsidRPr="00D6259F">
        <w:rPr>
          <w:color w:val="000000" w:themeColor="text1"/>
        </w:rPr>
        <w:t xml:space="preserve">For the year </w:t>
      </w:r>
      <w:r w:rsidR="000030D8" w:rsidRPr="00D6259F">
        <w:rPr>
          <w:color w:val="000000" w:themeColor="text1"/>
        </w:rPr>
        <w:t>ended</w:t>
      </w:r>
      <w:r w:rsidRPr="00D6259F">
        <w:rPr>
          <w:color w:val="000000" w:themeColor="text1"/>
        </w:rPr>
        <w:t xml:space="preserve"> 30 June 202</w:t>
      </w:r>
      <w:r w:rsidR="004A0797" w:rsidRPr="00D6259F">
        <w:rPr>
          <w:color w:val="000000" w:themeColor="text1"/>
        </w:rPr>
        <w:t>4</w:t>
      </w:r>
      <w:r w:rsidRPr="00D6259F">
        <w:rPr>
          <w:color w:val="000000" w:themeColor="text1"/>
        </w:rPr>
        <w:t xml:space="preserve"> the Council made severance payments </w:t>
      </w:r>
      <w:r w:rsidR="0018797E" w:rsidRPr="00D6259F">
        <w:rPr>
          <w:color w:val="000000" w:themeColor="text1"/>
        </w:rPr>
        <w:t xml:space="preserve">to </w:t>
      </w:r>
      <w:r w:rsidR="001C257F" w:rsidRPr="00D6259F">
        <w:rPr>
          <w:color w:val="000000" w:themeColor="text1"/>
        </w:rPr>
        <w:t>7</w:t>
      </w:r>
      <w:r w:rsidR="00121365" w:rsidRPr="00D6259F">
        <w:rPr>
          <w:color w:val="000000" w:themeColor="text1"/>
        </w:rPr>
        <w:t xml:space="preserve"> employees</w:t>
      </w:r>
      <w:r w:rsidRPr="00D6259F">
        <w:rPr>
          <w:color w:val="000000" w:themeColor="text1"/>
        </w:rPr>
        <w:t xml:space="preserve"> totalling </w:t>
      </w:r>
      <w:r w:rsidR="0018797E" w:rsidRPr="00D6259F">
        <w:rPr>
          <w:color w:val="000000" w:themeColor="text1"/>
        </w:rPr>
        <w:t>$0.</w:t>
      </w:r>
      <w:r w:rsidR="001C257F" w:rsidRPr="00D6259F">
        <w:rPr>
          <w:color w:val="000000" w:themeColor="text1"/>
        </w:rPr>
        <w:t>2</w:t>
      </w:r>
      <w:r w:rsidR="0018797E" w:rsidRPr="00D6259F">
        <w:rPr>
          <w:color w:val="000000" w:themeColor="text1"/>
        </w:rPr>
        <w:t>m</w:t>
      </w:r>
      <w:r w:rsidR="00552125" w:rsidRPr="00D6259F">
        <w:rPr>
          <w:color w:val="000000" w:themeColor="text1"/>
        </w:rPr>
        <w:t xml:space="preserve"> (</w:t>
      </w:r>
      <w:r w:rsidRPr="00D6259F">
        <w:rPr>
          <w:color w:val="000000" w:themeColor="text1"/>
        </w:rPr>
        <w:t>20</w:t>
      </w:r>
      <w:r w:rsidR="001559A4" w:rsidRPr="00D6259F">
        <w:rPr>
          <w:color w:val="000000" w:themeColor="text1"/>
        </w:rPr>
        <w:t>2</w:t>
      </w:r>
      <w:r w:rsidR="004A0797" w:rsidRPr="00D6259F">
        <w:rPr>
          <w:color w:val="000000" w:themeColor="text1"/>
        </w:rPr>
        <w:t>3</w:t>
      </w:r>
      <w:r w:rsidRPr="00D6259F">
        <w:rPr>
          <w:color w:val="000000" w:themeColor="text1"/>
        </w:rPr>
        <w:t>:</w:t>
      </w:r>
      <w:r w:rsidR="00E90791" w:rsidRPr="00D6259F">
        <w:rPr>
          <w:color w:val="000000" w:themeColor="text1"/>
        </w:rPr>
        <w:t xml:space="preserve"> </w:t>
      </w:r>
      <w:r w:rsidR="004A0797" w:rsidRPr="00D6259F">
        <w:rPr>
          <w:color w:val="000000" w:themeColor="text1"/>
        </w:rPr>
        <w:t>10</w:t>
      </w:r>
      <w:r w:rsidRPr="00D6259F">
        <w:rPr>
          <w:color w:val="000000" w:themeColor="text1"/>
        </w:rPr>
        <w:t xml:space="preserve"> employees, $</w:t>
      </w:r>
      <w:r w:rsidR="00AB44F0" w:rsidRPr="00D6259F">
        <w:rPr>
          <w:color w:val="000000" w:themeColor="text1"/>
        </w:rPr>
        <w:t>0.</w:t>
      </w:r>
      <w:r w:rsidR="004A0797" w:rsidRPr="00D6259F">
        <w:rPr>
          <w:color w:val="000000" w:themeColor="text1"/>
        </w:rPr>
        <w:t>3</w:t>
      </w:r>
      <w:r w:rsidR="00AB44F0" w:rsidRPr="00D6259F">
        <w:rPr>
          <w:color w:val="000000" w:themeColor="text1"/>
        </w:rPr>
        <w:t>m</w:t>
      </w:r>
      <w:r w:rsidRPr="00D6259F">
        <w:rPr>
          <w:color w:val="000000" w:themeColor="text1"/>
        </w:rPr>
        <w:t>).</w:t>
      </w:r>
    </w:p>
    <w:p w14:paraId="1D015C3C" w14:textId="51649C1D" w:rsidR="00D422B1" w:rsidRPr="00D6259F" w:rsidRDefault="00D422B1" w:rsidP="00C63496">
      <w:pPr>
        <w:pStyle w:val="Body"/>
        <w:rPr>
          <w:color w:val="000000" w:themeColor="text1"/>
        </w:rPr>
      </w:pPr>
      <w:r w:rsidRPr="00D6259F">
        <w:rPr>
          <w:color w:val="000000" w:themeColor="text1"/>
        </w:rPr>
        <w:t xml:space="preserve">The individual values of each of these </w:t>
      </w:r>
      <w:r w:rsidR="002B797A" w:rsidRPr="00D6259F">
        <w:rPr>
          <w:color w:val="000000" w:themeColor="text1"/>
        </w:rPr>
        <w:t xml:space="preserve">Council </w:t>
      </w:r>
      <w:r w:rsidRPr="00D6259F">
        <w:rPr>
          <w:color w:val="000000" w:themeColor="text1"/>
        </w:rPr>
        <w:t xml:space="preserve">severance payments </w:t>
      </w:r>
      <w:r w:rsidR="00F11582" w:rsidRPr="00D6259F">
        <w:rPr>
          <w:color w:val="000000" w:themeColor="text1"/>
        </w:rPr>
        <w:t>were</w:t>
      </w:r>
      <w:r w:rsidRPr="00D6259F">
        <w:rPr>
          <w:color w:val="000000" w:themeColor="text1"/>
        </w:rPr>
        <w:t xml:space="preserve">: </w:t>
      </w:r>
      <w:r w:rsidR="00F11582" w:rsidRPr="00D6259F">
        <w:rPr>
          <w:color w:val="000000" w:themeColor="text1"/>
        </w:rPr>
        <w:t>$</w:t>
      </w:r>
      <w:r w:rsidR="0018797E" w:rsidRPr="00D6259F">
        <w:rPr>
          <w:color w:val="000000" w:themeColor="text1"/>
        </w:rPr>
        <w:t>1</w:t>
      </w:r>
      <w:r w:rsidR="00013620" w:rsidRPr="00D6259F">
        <w:rPr>
          <w:color w:val="000000" w:themeColor="text1"/>
        </w:rPr>
        <w:t>53</w:t>
      </w:r>
      <w:r w:rsidR="0018797E" w:rsidRPr="00D6259F">
        <w:rPr>
          <w:color w:val="000000" w:themeColor="text1"/>
        </w:rPr>
        <w:t>k</w:t>
      </w:r>
      <w:r w:rsidR="00121365" w:rsidRPr="00D6259F">
        <w:rPr>
          <w:color w:val="000000" w:themeColor="text1"/>
        </w:rPr>
        <w:t xml:space="preserve">, </w:t>
      </w:r>
      <w:r w:rsidR="0018797E" w:rsidRPr="00D6259F">
        <w:rPr>
          <w:color w:val="000000" w:themeColor="text1"/>
        </w:rPr>
        <w:t>$</w:t>
      </w:r>
      <w:r w:rsidR="001C257F" w:rsidRPr="00D6259F">
        <w:rPr>
          <w:color w:val="000000" w:themeColor="text1"/>
        </w:rPr>
        <w:t>17</w:t>
      </w:r>
      <w:r w:rsidR="0018797E" w:rsidRPr="00D6259F">
        <w:rPr>
          <w:color w:val="000000" w:themeColor="text1"/>
        </w:rPr>
        <w:t>k, $16k, $12k,</w:t>
      </w:r>
      <w:r w:rsidR="00112C26" w:rsidRPr="00D6259F">
        <w:rPr>
          <w:color w:val="000000" w:themeColor="text1"/>
        </w:rPr>
        <w:t xml:space="preserve"> </w:t>
      </w:r>
      <w:r w:rsidR="0018797E" w:rsidRPr="00D6259F">
        <w:rPr>
          <w:color w:val="000000" w:themeColor="text1"/>
        </w:rPr>
        <w:t>$8k,</w:t>
      </w:r>
      <w:r w:rsidR="00112C26" w:rsidRPr="00D6259F">
        <w:rPr>
          <w:color w:val="000000" w:themeColor="text1"/>
        </w:rPr>
        <w:t xml:space="preserve"> </w:t>
      </w:r>
      <w:r w:rsidR="0018797E" w:rsidRPr="00D6259F">
        <w:rPr>
          <w:color w:val="000000" w:themeColor="text1"/>
        </w:rPr>
        <w:t>$7k</w:t>
      </w:r>
      <w:r w:rsidR="00112C26" w:rsidRPr="00D6259F">
        <w:rPr>
          <w:color w:val="000000" w:themeColor="text1"/>
        </w:rPr>
        <w:t xml:space="preserve"> </w:t>
      </w:r>
      <w:r w:rsidR="00121365" w:rsidRPr="00D6259F">
        <w:rPr>
          <w:color w:val="000000" w:themeColor="text1"/>
        </w:rPr>
        <w:t xml:space="preserve">and </w:t>
      </w:r>
      <w:r w:rsidR="0018797E" w:rsidRPr="00D6259F">
        <w:rPr>
          <w:color w:val="000000" w:themeColor="text1"/>
        </w:rPr>
        <w:t>$7k</w:t>
      </w:r>
      <w:r w:rsidR="006C0685" w:rsidRPr="00D6259F">
        <w:rPr>
          <w:color w:val="000000" w:themeColor="text1"/>
        </w:rPr>
        <w:t>.</w:t>
      </w:r>
    </w:p>
    <w:p w14:paraId="47D09B03" w14:textId="3BCEE717" w:rsidR="00CD3B0B" w:rsidRPr="00D6259F" w:rsidRDefault="00CD3B0B">
      <w:pPr>
        <w:rPr>
          <w:rFonts w:ascii="Cambria" w:hAnsi="Cambria" w:cs="Calibri"/>
          <w:b/>
          <w:bCs/>
          <w:color w:val="000000" w:themeColor="text1"/>
          <w:sz w:val="20"/>
          <w:szCs w:val="20"/>
          <w:lang w:eastAsia="en-NZ"/>
        </w:rPr>
      </w:pPr>
      <w:bookmarkStart w:id="243" w:name="_Toc121217201"/>
      <w:bookmarkStart w:id="244" w:name="_Hlk81319365"/>
      <w:bookmarkEnd w:id="241"/>
    </w:p>
    <w:p w14:paraId="412E7348" w14:textId="11AD7E3D" w:rsidR="00D422B1" w:rsidRPr="00D6259F" w:rsidRDefault="00D422B1" w:rsidP="00C63496">
      <w:pPr>
        <w:pStyle w:val="Heading3"/>
      </w:pPr>
      <w:r w:rsidRPr="00D6259F">
        <w:t>Employee numbers and remuneration bands</w:t>
      </w:r>
      <w:bookmarkEnd w:id="243"/>
    </w:p>
    <w:p w14:paraId="2E097111" w14:textId="3CE635A8" w:rsidR="00401B5A" w:rsidRPr="00D6259F" w:rsidRDefault="001747E5" w:rsidP="007C7248">
      <w:pPr>
        <w:rPr>
          <w:color w:val="000000" w:themeColor="text1"/>
        </w:rPr>
      </w:pPr>
      <w:r w:rsidRPr="00D6259F">
        <w:rPr>
          <w:i/>
          <w:color w:val="000000" w:themeColor="text1"/>
        </w:rPr>
        <w:t xml:space="preserve">Table </w:t>
      </w:r>
      <w:r w:rsidR="008B0E35" w:rsidRPr="00D6259F">
        <w:rPr>
          <w:i/>
          <w:color w:val="000000" w:themeColor="text1"/>
        </w:rPr>
        <w:t>96</w:t>
      </w:r>
      <w:r w:rsidR="00D422B1" w:rsidRPr="00D6259F">
        <w:rPr>
          <w:color w:val="000000" w:themeColor="text1"/>
        </w:rPr>
        <w:t xml:space="preserve"> identifies the number of full-time employees as at the </w:t>
      </w:r>
      <w:r w:rsidR="007907EA" w:rsidRPr="00D6259F">
        <w:rPr>
          <w:color w:val="000000" w:themeColor="text1"/>
        </w:rPr>
        <w:t xml:space="preserve">end </w:t>
      </w:r>
      <w:r w:rsidR="00D422B1" w:rsidRPr="00D6259F">
        <w:rPr>
          <w:color w:val="000000" w:themeColor="text1"/>
        </w:rPr>
        <w:t xml:space="preserve">of the reporting period and the full-time equivalent number of all other part-time, fixed term and casual employees. </w:t>
      </w:r>
    </w:p>
    <w:p w14:paraId="3B435FD5" w14:textId="20744F8E" w:rsidR="007517F6" w:rsidRPr="00D6259F" w:rsidRDefault="000F20D8" w:rsidP="007C7248">
      <w:pPr>
        <w:rPr>
          <w:color w:val="000000" w:themeColor="text1"/>
        </w:rPr>
      </w:pPr>
      <w:r w:rsidRPr="00D6259F">
        <w:rPr>
          <w:noProof/>
          <w:color w:val="000000" w:themeColor="text1"/>
        </w:rPr>
        <w:object w:dxaOrig="10155" w:dyaOrig="1815" w14:anchorId="2F6E7577">
          <v:shape id="_x0000_i1131" type="#_x0000_t75" style="width:443pt;height:87pt" o:ole="">
            <v:imagedata r:id="rId224" o:title=""/>
          </v:shape>
          <o:OLEObject Type="Link" ProgID="Excel.Sheet.12" ShapeID="_x0000_i1131" DrawAspect="Content" r:id="rId225" UpdateMode="Always">
            <o:LinkType>EnhancedMetaFile</o:LinkType>
            <o:LockedField>false</o:LockedField>
          </o:OLEObject>
        </w:object>
      </w:r>
    </w:p>
    <w:p w14:paraId="4D6A1402" w14:textId="77777777" w:rsidR="008B0E35" w:rsidRPr="00D6259F" w:rsidRDefault="008B0E35">
      <w:pPr>
        <w:rPr>
          <w:i/>
          <w:iCs/>
          <w:color w:val="000000" w:themeColor="text1"/>
        </w:rPr>
      </w:pPr>
      <w:r w:rsidRPr="00D6259F">
        <w:rPr>
          <w:i/>
          <w:iCs/>
          <w:color w:val="000000" w:themeColor="text1"/>
        </w:rPr>
        <w:br w:type="page"/>
      </w:r>
    </w:p>
    <w:p w14:paraId="22C0533C" w14:textId="258DD67C" w:rsidR="00E45CE9" w:rsidRPr="00D6259F" w:rsidRDefault="00401B5A" w:rsidP="00C63496">
      <w:pPr>
        <w:rPr>
          <w:color w:val="000000" w:themeColor="text1"/>
        </w:rPr>
      </w:pPr>
      <w:r w:rsidRPr="00D6259F">
        <w:rPr>
          <w:i/>
          <w:iCs/>
          <w:color w:val="000000" w:themeColor="text1"/>
        </w:rPr>
        <w:lastRenderedPageBreak/>
        <w:t>T</w:t>
      </w:r>
      <w:r w:rsidR="00D422B1" w:rsidRPr="00D6259F">
        <w:rPr>
          <w:i/>
          <w:iCs/>
          <w:color w:val="000000" w:themeColor="text1"/>
        </w:rPr>
        <w:t>able</w:t>
      </w:r>
      <w:r w:rsidR="008B0E35" w:rsidRPr="00D6259F">
        <w:rPr>
          <w:i/>
          <w:iCs/>
          <w:color w:val="000000" w:themeColor="text1"/>
        </w:rPr>
        <w:t xml:space="preserve"> 97</w:t>
      </w:r>
      <w:r w:rsidR="003E320E" w:rsidRPr="00D6259F">
        <w:rPr>
          <w:color w:val="000000" w:themeColor="text1"/>
        </w:rPr>
        <w:t xml:space="preserve"> </w:t>
      </w:r>
      <w:r w:rsidR="00D422B1" w:rsidRPr="00D6259F">
        <w:rPr>
          <w:color w:val="000000" w:themeColor="text1"/>
        </w:rPr>
        <w:t>further identifies the breakdown of remuneration levels of those employees into various bands.</w:t>
      </w:r>
    </w:p>
    <w:bookmarkEnd w:id="244"/>
    <w:p w14:paraId="7507CFE6" w14:textId="06193C1F" w:rsidR="00A30057" w:rsidRPr="00D6259F" w:rsidRDefault="000F20D8" w:rsidP="00C07D5A">
      <w:pPr>
        <w:spacing w:after="0"/>
        <w:rPr>
          <w:color w:val="000000" w:themeColor="text1"/>
        </w:rPr>
      </w:pPr>
      <w:r w:rsidRPr="00D6259F">
        <w:rPr>
          <w:color w:val="000000" w:themeColor="text1"/>
        </w:rPr>
        <w:object w:dxaOrig="10155" w:dyaOrig="6570" w14:anchorId="7A45CCAC">
          <v:shape id="_x0000_i1132" type="#_x0000_t75" style="width:444pt;height:308pt" o:ole="">
            <v:imagedata r:id="rId226" o:title=""/>
          </v:shape>
          <o:OLEObject Type="Link" ProgID="Excel.Sheet.12" ShapeID="_x0000_i1132" DrawAspect="Content" r:id="rId227" UpdateMode="Always">
            <o:LinkType>EnhancedMetaFile</o:LinkType>
            <o:LockedField>false</o:LockedField>
          </o:OLEObject>
        </w:object>
      </w:r>
    </w:p>
    <w:p w14:paraId="47547280" w14:textId="284CC3B9" w:rsidR="00F6011E" w:rsidRPr="00D6259F" w:rsidRDefault="000F20D8" w:rsidP="007C7248">
      <w:pPr>
        <w:rPr>
          <w:noProof/>
          <w:color w:val="000000" w:themeColor="text1"/>
        </w:rPr>
      </w:pPr>
      <w:r w:rsidRPr="00D6259F">
        <w:rPr>
          <w:noProof/>
          <w:color w:val="000000" w:themeColor="text1"/>
        </w:rPr>
        <w:object w:dxaOrig="10155" w:dyaOrig="6420" w14:anchorId="024C8C3E">
          <v:shape id="_x0000_i1133" type="#_x0000_t75" style="width:444pt;height:299pt" o:ole="">
            <v:imagedata r:id="rId228" o:title=""/>
          </v:shape>
          <o:OLEObject Type="Link" ProgID="Excel.Sheet.12" ShapeID="_x0000_i1133" DrawAspect="Content" r:id="rId229" UpdateMode="Always">
            <o:LinkType>EnhancedMetaFile</o:LinkType>
            <o:LockedField>false</o:LockedField>
          </o:OLEObject>
        </w:object>
      </w:r>
    </w:p>
    <w:p w14:paraId="0DB977AA" w14:textId="662F0E2D" w:rsidR="00753962" w:rsidRPr="00D6259F" w:rsidRDefault="000030D8" w:rsidP="00753962">
      <w:pPr>
        <w:rPr>
          <w:color w:val="000000" w:themeColor="text1"/>
          <w:sz w:val="16"/>
          <w:szCs w:val="16"/>
        </w:rPr>
      </w:pPr>
      <w:bookmarkStart w:id="245" w:name="_Hlk81319411"/>
      <w:r w:rsidRPr="00D6259F">
        <w:rPr>
          <w:color w:val="000000" w:themeColor="text1"/>
          <w:sz w:val="16"/>
          <w:szCs w:val="16"/>
        </w:rPr>
        <w:t>9.</w:t>
      </w:r>
      <w:r w:rsidR="00753962" w:rsidRPr="00D6259F">
        <w:rPr>
          <w:color w:val="000000" w:themeColor="text1"/>
          <w:sz w:val="16"/>
          <w:szCs w:val="16"/>
        </w:rPr>
        <w:t xml:space="preserve"> If the number of employees for any band was five or less then we are legally required </w:t>
      </w:r>
      <w:r w:rsidR="00F4501E" w:rsidRPr="00D6259F">
        <w:rPr>
          <w:color w:val="000000" w:themeColor="text1"/>
          <w:sz w:val="16"/>
          <w:szCs w:val="16"/>
        </w:rPr>
        <w:t xml:space="preserve">by the LGA 2002 </w:t>
      </w:r>
      <w:r w:rsidR="00753962" w:rsidRPr="00D6259F">
        <w:rPr>
          <w:color w:val="000000" w:themeColor="text1"/>
          <w:sz w:val="16"/>
          <w:szCs w:val="16"/>
        </w:rPr>
        <w:t>to combine it with the next highest band. This means that some rows span different bands across the two years shown.</w:t>
      </w:r>
    </w:p>
    <w:p w14:paraId="792C9DF3" w14:textId="77777777" w:rsidR="00C07D5A" w:rsidRPr="00D6259F" w:rsidRDefault="00C07D5A" w:rsidP="00C07D5A">
      <w:pPr>
        <w:rPr>
          <w:color w:val="000000" w:themeColor="text1"/>
        </w:rPr>
      </w:pPr>
      <w:r w:rsidRPr="00D6259F">
        <w:rPr>
          <w:color w:val="000000" w:themeColor="text1"/>
        </w:rPr>
        <w:t>Of the 1,939 (2023: 2,061) individual employees, 601 (2023: 731) are part-time or casual.</w:t>
      </w:r>
    </w:p>
    <w:p w14:paraId="1F305C19" w14:textId="77777777" w:rsidR="00D422B1" w:rsidRPr="00D6259F" w:rsidRDefault="001A5CE0" w:rsidP="007C7248">
      <w:pPr>
        <w:rPr>
          <w:color w:val="000000" w:themeColor="text1"/>
        </w:rPr>
      </w:pPr>
      <w:r w:rsidRPr="00D6259F">
        <w:rPr>
          <w:color w:val="000000" w:themeColor="text1"/>
        </w:rPr>
        <w:lastRenderedPageBreak/>
        <w:t>T</w:t>
      </w:r>
      <w:r w:rsidR="00D422B1" w:rsidRPr="00D6259F">
        <w:rPr>
          <w:color w:val="000000" w:themeColor="text1"/>
        </w:rPr>
        <w:t xml:space="preserve">otal annual remuneration has been calculated to include any non-financial benefits and other payments </w:t>
      </w:r>
      <w:proofErr w:type="gramStart"/>
      <w:r w:rsidR="00D422B1" w:rsidRPr="00D6259F">
        <w:rPr>
          <w:color w:val="000000" w:themeColor="text1"/>
        </w:rPr>
        <w:t>in excess of</w:t>
      </w:r>
      <w:proofErr w:type="gramEnd"/>
      <w:r w:rsidR="00D422B1" w:rsidRPr="00D6259F">
        <w:rPr>
          <w:color w:val="000000" w:themeColor="text1"/>
        </w:rPr>
        <w:t xml:space="preserve"> normal remuneration such as the employer KiwiSaver contribution.</w:t>
      </w:r>
    </w:p>
    <w:p w14:paraId="37FFADB2" w14:textId="495DDA63" w:rsidR="00C94851" w:rsidRPr="00D6259F" w:rsidRDefault="00A41290" w:rsidP="001721B2">
      <w:pPr>
        <w:rPr>
          <w:color w:val="000000" w:themeColor="text1"/>
        </w:rPr>
      </w:pPr>
      <w:r w:rsidRPr="00D6259F">
        <w:rPr>
          <w:color w:val="000000" w:themeColor="text1"/>
        </w:rPr>
        <w:t xml:space="preserve">The </w:t>
      </w:r>
      <w:r w:rsidR="00D422B1" w:rsidRPr="00D6259F">
        <w:rPr>
          <w:color w:val="000000" w:themeColor="text1"/>
        </w:rPr>
        <w:t xml:space="preserve">Council has resolved that in addition to legislative requirements to disclose the above bandings it has also included the </w:t>
      </w:r>
      <w:r w:rsidR="00BF434F" w:rsidRPr="00D6259F">
        <w:rPr>
          <w:color w:val="000000" w:themeColor="text1"/>
        </w:rPr>
        <w:t xml:space="preserve">two </w:t>
      </w:r>
      <w:r w:rsidR="00D422B1" w:rsidRPr="00D6259F">
        <w:rPr>
          <w:color w:val="000000" w:themeColor="text1"/>
        </w:rPr>
        <w:t>lowest remuneration grades</w:t>
      </w:r>
      <w:r w:rsidR="001559A4" w:rsidRPr="00D6259F">
        <w:rPr>
          <w:color w:val="000000" w:themeColor="text1"/>
        </w:rPr>
        <w:t xml:space="preserve"> as shown in </w:t>
      </w:r>
      <w:r w:rsidR="001559A4" w:rsidRPr="00D6259F">
        <w:rPr>
          <w:i/>
          <w:iCs/>
          <w:color w:val="000000" w:themeColor="text1"/>
        </w:rPr>
        <w:t>Table</w:t>
      </w:r>
      <w:r w:rsidR="0007007B" w:rsidRPr="00D6259F">
        <w:rPr>
          <w:i/>
          <w:iCs/>
          <w:color w:val="000000" w:themeColor="text1"/>
        </w:rPr>
        <w:t xml:space="preserve"> </w:t>
      </w:r>
      <w:r w:rsidR="008B0E35" w:rsidRPr="00D6259F">
        <w:rPr>
          <w:i/>
          <w:iCs/>
          <w:color w:val="000000" w:themeColor="text1"/>
        </w:rPr>
        <w:t>98</w:t>
      </w:r>
      <w:r w:rsidR="001559A4" w:rsidRPr="00D6259F">
        <w:rPr>
          <w:color w:val="000000" w:themeColor="text1"/>
        </w:rPr>
        <w:t>.</w:t>
      </w:r>
    </w:p>
    <w:p w14:paraId="32312A3C" w14:textId="6C88C69A" w:rsidR="008B0E35" w:rsidRPr="00D6259F" w:rsidRDefault="008B0E35" w:rsidP="001721B2">
      <w:pPr>
        <w:rPr>
          <w:color w:val="000000" w:themeColor="text1"/>
          <w:lang w:eastAsia="en-GB"/>
        </w:rPr>
      </w:pPr>
      <w:r w:rsidRPr="00D6259F">
        <w:rPr>
          <w:color w:val="000000" w:themeColor="text1"/>
          <w:lang w:eastAsia="en-GB"/>
        </w:rPr>
        <w:object w:dxaOrig="10837" w:dyaOrig="1774" w14:anchorId="6CCBDC79">
          <v:shape id="_x0000_i1134" type="#_x0000_t75" style="width:439pt;height:89pt" o:ole="">
            <v:imagedata r:id="rId230" o:title=""/>
          </v:shape>
          <o:OLEObject Type="Link" ProgID="Excel.Sheet.12" ShapeID="_x0000_i1134" DrawAspect="Content" r:id="rId231" UpdateMode="Always">
            <o:LinkType>EnhancedMetaFile</o:LinkType>
            <o:LockedField>false</o:LockedField>
          </o:OLEObject>
        </w:object>
      </w:r>
    </w:p>
    <w:p w14:paraId="66B763EC" w14:textId="442DF345" w:rsidR="001A5CE0" w:rsidRPr="00D6259F" w:rsidRDefault="00D422B1" w:rsidP="007C7248">
      <w:pPr>
        <w:rPr>
          <w:color w:val="000000" w:themeColor="text1"/>
        </w:rPr>
      </w:pPr>
      <w:r w:rsidRPr="00D6259F">
        <w:rPr>
          <w:color w:val="000000" w:themeColor="text1"/>
        </w:rPr>
        <w:t xml:space="preserve">The current </w:t>
      </w:r>
      <w:r w:rsidR="00F044DB" w:rsidRPr="00D6259F">
        <w:rPr>
          <w:color w:val="000000" w:themeColor="text1"/>
        </w:rPr>
        <w:t>Li</w:t>
      </w:r>
      <w:r w:rsidRPr="00D6259F">
        <w:rPr>
          <w:color w:val="000000" w:themeColor="text1"/>
        </w:rPr>
        <w:t xml:space="preserve">ving </w:t>
      </w:r>
      <w:r w:rsidR="00F044DB" w:rsidRPr="00D6259F">
        <w:rPr>
          <w:color w:val="000000" w:themeColor="text1"/>
        </w:rPr>
        <w:t>W</w:t>
      </w:r>
      <w:r w:rsidRPr="00D6259F">
        <w:rPr>
          <w:color w:val="000000" w:themeColor="text1"/>
        </w:rPr>
        <w:t xml:space="preserve">age rate for </w:t>
      </w:r>
      <w:r w:rsidR="00A41290" w:rsidRPr="00D6259F">
        <w:rPr>
          <w:color w:val="000000" w:themeColor="text1"/>
        </w:rPr>
        <w:t xml:space="preserve">the </w:t>
      </w:r>
      <w:r w:rsidRPr="00D6259F">
        <w:rPr>
          <w:color w:val="000000" w:themeColor="text1"/>
        </w:rPr>
        <w:t xml:space="preserve">Council </w:t>
      </w:r>
      <w:r w:rsidR="00407395" w:rsidRPr="00D6259F">
        <w:rPr>
          <w:color w:val="000000" w:themeColor="text1"/>
        </w:rPr>
        <w:t>is</w:t>
      </w:r>
      <w:r w:rsidR="00F11582" w:rsidRPr="00D6259F">
        <w:rPr>
          <w:color w:val="000000" w:themeColor="text1"/>
        </w:rPr>
        <w:t xml:space="preserve"> </w:t>
      </w:r>
      <w:r w:rsidR="00407395" w:rsidRPr="00D6259F">
        <w:rPr>
          <w:color w:val="000000" w:themeColor="text1"/>
        </w:rPr>
        <w:t>$</w:t>
      </w:r>
      <w:r w:rsidR="00FA47CA" w:rsidRPr="00D6259F">
        <w:rPr>
          <w:color w:val="000000" w:themeColor="text1"/>
        </w:rPr>
        <w:t>26.00</w:t>
      </w:r>
      <w:r w:rsidR="004A0797" w:rsidRPr="00D6259F">
        <w:rPr>
          <w:color w:val="000000" w:themeColor="text1"/>
        </w:rPr>
        <w:t xml:space="preserve"> </w:t>
      </w:r>
      <w:r w:rsidR="00F11582" w:rsidRPr="00D6259F">
        <w:rPr>
          <w:color w:val="000000" w:themeColor="text1"/>
        </w:rPr>
        <w:t>(202</w:t>
      </w:r>
      <w:r w:rsidR="004A0797" w:rsidRPr="00D6259F">
        <w:rPr>
          <w:color w:val="000000" w:themeColor="text1"/>
        </w:rPr>
        <w:t>3</w:t>
      </w:r>
      <w:r w:rsidR="00F11582" w:rsidRPr="00D6259F">
        <w:rPr>
          <w:color w:val="000000" w:themeColor="text1"/>
        </w:rPr>
        <w:t>:</w:t>
      </w:r>
      <w:r w:rsidR="00C75AE3" w:rsidRPr="00D6259F">
        <w:rPr>
          <w:color w:val="000000" w:themeColor="text1"/>
        </w:rPr>
        <w:t xml:space="preserve"> </w:t>
      </w:r>
      <w:r w:rsidRPr="00D6259F">
        <w:rPr>
          <w:color w:val="000000" w:themeColor="text1"/>
        </w:rPr>
        <w:t>$</w:t>
      </w:r>
      <w:r w:rsidR="004A0797" w:rsidRPr="00D6259F">
        <w:rPr>
          <w:color w:val="000000" w:themeColor="text1"/>
        </w:rPr>
        <w:t>23.65</w:t>
      </w:r>
      <w:r w:rsidR="00F11582" w:rsidRPr="00D6259F">
        <w:rPr>
          <w:color w:val="000000" w:themeColor="text1"/>
        </w:rPr>
        <w:t>)</w:t>
      </w:r>
      <w:r w:rsidRPr="00D6259F">
        <w:rPr>
          <w:color w:val="000000" w:themeColor="text1"/>
        </w:rPr>
        <w:t xml:space="preserve"> per</w:t>
      </w:r>
      <w:r w:rsidR="00112C26" w:rsidRPr="00D6259F">
        <w:rPr>
          <w:color w:val="000000" w:themeColor="text1"/>
        </w:rPr>
        <w:t xml:space="preserve"> hour</w:t>
      </w:r>
      <w:r w:rsidR="00C75AE3" w:rsidRPr="00D6259F">
        <w:rPr>
          <w:color w:val="000000" w:themeColor="text1"/>
        </w:rPr>
        <w:t>.</w:t>
      </w:r>
      <w:r w:rsidRPr="00D6259F">
        <w:rPr>
          <w:color w:val="000000" w:themeColor="text1"/>
          <w:sz w:val="24"/>
          <w:szCs w:val="24"/>
        </w:rPr>
        <w:t xml:space="preserve"> </w:t>
      </w:r>
      <w:r w:rsidRPr="00D6259F">
        <w:rPr>
          <w:color w:val="000000" w:themeColor="text1"/>
        </w:rPr>
        <w:t xml:space="preserve">Each year the living wage rate for </w:t>
      </w:r>
      <w:r w:rsidR="00A41290" w:rsidRPr="00D6259F">
        <w:rPr>
          <w:color w:val="000000" w:themeColor="text1"/>
        </w:rPr>
        <w:t xml:space="preserve">the </w:t>
      </w:r>
      <w:r w:rsidRPr="00D6259F">
        <w:rPr>
          <w:color w:val="000000" w:themeColor="text1"/>
        </w:rPr>
        <w:t xml:space="preserve">Council </w:t>
      </w:r>
      <w:r w:rsidR="00B90171" w:rsidRPr="00D6259F">
        <w:rPr>
          <w:color w:val="000000" w:themeColor="text1"/>
        </w:rPr>
        <w:t>is</w:t>
      </w:r>
      <w:r w:rsidRPr="00D6259F">
        <w:rPr>
          <w:color w:val="000000" w:themeColor="text1"/>
        </w:rPr>
        <w:t xml:space="preserve"> reviewed in accordance with the latest Living </w:t>
      </w:r>
      <w:r w:rsidR="00F044DB" w:rsidRPr="00D6259F">
        <w:rPr>
          <w:color w:val="000000" w:themeColor="text1"/>
        </w:rPr>
        <w:t>W</w:t>
      </w:r>
      <w:r w:rsidRPr="00D6259F">
        <w:rPr>
          <w:color w:val="000000" w:themeColor="text1"/>
        </w:rPr>
        <w:t>age rate announced/published by Living Wage Aotearoa.</w:t>
      </w:r>
      <w:bookmarkStart w:id="246" w:name="_Toc55482687"/>
      <w:r w:rsidR="00910C7C" w:rsidRPr="00D6259F">
        <w:rPr>
          <w:color w:val="000000" w:themeColor="text1"/>
        </w:rPr>
        <w:t xml:space="preserve"> </w:t>
      </w:r>
    </w:p>
    <w:p w14:paraId="74FE2EAE" w14:textId="14674504" w:rsidR="00CD3B0B" w:rsidRPr="00D6259F" w:rsidRDefault="00CD3B0B">
      <w:pPr>
        <w:rPr>
          <w:rFonts w:ascii="Cambria" w:eastAsiaTheme="majorEastAsia" w:hAnsi="Cambria"/>
          <w:b/>
          <w:bCs/>
          <w:color w:val="000000" w:themeColor="text1"/>
          <w:sz w:val="48"/>
          <w:szCs w:val="40"/>
        </w:rPr>
      </w:pPr>
      <w:bookmarkStart w:id="247" w:name="_Hlk81401286"/>
      <w:bookmarkStart w:id="248" w:name="_Hlk85059295"/>
      <w:bookmarkStart w:id="249" w:name="_Hlk167106939"/>
      <w:bookmarkEnd w:id="245"/>
    </w:p>
    <w:p w14:paraId="27479A24" w14:textId="77777777" w:rsidR="00E477D1" w:rsidRPr="00D6259F" w:rsidRDefault="00E477D1">
      <w:pPr>
        <w:rPr>
          <w:rFonts w:ascii="Cambria" w:eastAsiaTheme="majorEastAsia" w:hAnsi="Cambria"/>
          <w:b/>
          <w:bCs/>
          <w:color w:val="000000" w:themeColor="text1"/>
          <w:sz w:val="48"/>
          <w:szCs w:val="40"/>
        </w:rPr>
      </w:pPr>
      <w:r w:rsidRPr="00D6259F">
        <w:rPr>
          <w:color w:val="000000" w:themeColor="text1"/>
        </w:rPr>
        <w:br w:type="page"/>
      </w:r>
    </w:p>
    <w:p w14:paraId="1327D0CA" w14:textId="58CF644C" w:rsidR="00D422B1" w:rsidRPr="00D6259F" w:rsidRDefault="00D422B1" w:rsidP="00C63496">
      <w:pPr>
        <w:pStyle w:val="Heading2"/>
      </w:pPr>
      <w:bookmarkStart w:id="250" w:name="_Toc179890330"/>
      <w:r w:rsidRPr="00D6259F">
        <w:lastRenderedPageBreak/>
        <w:t>Note 3</w:t>
      </w:r>
      <w:r w:rsidR="00AD66F8" w:rsidRPr="00D6259F">
        <w:t>9</w:t>
      </w:r>
      <w:r w:rsidRPr="00D6259F">
        <w:t xml:space="preserve">: Events after the end of the reporting </w:t>
      </w:r>
      <w:proofErr w:type="gramStart"/>
      <w:r w:rsidRPr="00D6259F">
        <w:t>period</w:t>
      </w:r>
      <w:bookmarkEnd w:id="246"/>
      <w:bookmarkEnd w:id="250"/>
      <w:proofErr w:type="gramEnd"/>
    </w:p>
    <w:p w14:paraId="798186E8" w14:textId="77777777" w:rsidR="00A21964" w:rsidRPr="00D6259F" w:rsidRDefault="00A21964" w:rsidP="00C63496">
      <w:pPr>
        <w:rPr>
          <w:color w:val="000000" w:themeColor="text1"/>
        </w:rPr>
      </w:pPr>
      <w:bookmarkStart w:id="251" w:name="_Hlk113617906"/>
      <w:r w:rsidRPr="00D6259F">
        <w:rPr>
          <w:color w:val="000000" w:themeColor="text1"/>
        </w:rPr>
        <w:t>There are no events after the end of the reporting period that require adjustment to the financial statements or notes to the financial statements.</w:t>
      </w:r>
    </w:p>
    <w:p w14:paraId="45C7BDA3" w14:textId="77777777" w:rsidR="00460729" w:rsidRPr="00D6259F" w:rsidRDefault="00460729" w:rsidP="00460729">
      <w:pPr>
        <w:rPr>
          <w:rFonts w:cs="Arial"/>
          <w:color w:val="000000" w:themeColor="text1"/>
        </w:rPr>
      </w:pPr>
      <w:r w:rsidRPr="00D6259F">
        <w:rPr>
          <w:color w:val="000000" w:themeColor="text1"/>
        </w:rPr>
        <w:t xml:space="preserve">The following update has been included due to the significant impact the programme is likely to have on the Council including on all water related infrastructure assets. </w:t>
      </w:r>
    </w:p>
    <w:p w14:paraId="3CC45191" w14:textId="336ACA76" w:rsidR="006F616E" w:rsidRPr="00D6259F" w:rsidRDefault="00E477D1" w:rsidP="006F616E">
      <w:pPr>
        <w:pStyle w:val="Heading3"/>
      </w:pPr>
      <w:r w:rsidRPr="00D6259F">
        <w:t>Local Water Done Well</w:t>
      </w:r>
    </w:p>
    <w:p w14:paraId="0D5D4710" w14:textId="77777777" w:rsidR="00460729" w:rsidRPr="00D6259F" w:rsidRDefault="00460729" w:rsidP="00460729">
      <w:pPr>
        <w:rPr>
          <w:rFonts w:ascii="Calibri" w:hAnsi="Calibri"/>
          <w:color w:val="000000" w:themeColor="text1"/>
        </w:rPr>
      </w:pPr>
      <w:bookmarkStart w:id="252" w:name="OLE_LINK4"/>
      <w:bookmarkEnd w:id="247"/>
      <w:bookmarkEnd w:id="248"/>
      <w:bookmarkEnd w:id="249"/>
      <w:bookmarkEnd w:id="251"/>
      <w:r w:rsidRPr="00D6259F">
        <w:rPr>
          <w:color w:val="000000" w:themeColor="text1"/>
        </w:rPr>
        <w:t xml:space="preserve">In December 2023, the New Zealand Government announced a new direction for water services (drinking water, </w:t>
      </w:r>
      <w:proofErr w:type="gramStart"/>
      <w:r w:rsidRPr="00D6259F">
        <w:rPr>
          <w:color w:val="000000" w:themeColor="text1"/>
        </w:rPr>
        <w:t>wastewater</w:t>
      </w:r>
      <w:proofErr w:type="gramEnd"/>
      <w:r w:rsidRPr="00D6259F">
        <w:rPr>
          <w:color w:val="000000" w:themeColor="text1"/>
        </w:rPr>
        <w:t xml:space="preserve"> and stormwater services) policy and legislation which it has called Local Water Done Well. This is being implemented in 3 stages namely:</w:t>
      </w:r>
    </w:p>
    <w:p w14:paraId="4E7BDCDF" w14:textId="77777777" w:rsidR="00460729" w:rsidRPr="00D6259F" w:rsidRDefault="00460729" w:rsidP="00BB0BEE">
      <w:pPr>
        <w:pStyle w:val="ListParagraph"/>
        <w:numPr>
          <w:ilvl w:val="0"/>
          <w:numId w:val="51"/>
        </w:numPr>
        <w:spacing w:after="240" w:line="300" w:lineRule="atLeast"/>
        <w:rPr>
          <w:color w:val="000000" w:themeColor="text1"/>
          <w:lang w:eastAsia="en-NZ"/>
        </w:rPr>
      </w:pPr>
      <w:r w:rsidRPr="00D6259F">
        <w:rPr>
          <w:color w:val="000000" w:themeColor="text1"/>
        </w:rPr>
        <w:t>stage 1 – repealing the previous affordable water reforms (completed in February 2024</w:t>
      </w:r>
      <w:proofErr w:type="gramStart"/>
      <w:r w:rsidRPr="00D6259F">
        <w:rPr>
          <w:color w:val="000000" w:themeColor="text1"/>
        </w:rPr>
        <w:t>);</w:t>
      </w:r>
      <w:proofErr w:type="gramEnd"/>
      <w:r w:rsidRPr="00D6259F">
        <w:rPr>
          <w:color w:val="000000" w:themeColor="text1"/>
        </w:rPr>
        <w:t xml:space="preserve"> </w:t>
      </w:r>
    </w:p>
    <w:p w14:paraId="00D5295D" w14:textId="001241B1" w:rsidR="00460729" w:rsidRPr="00D6259F" w:rsidRDefault="00460729" w:rsidP="00BB0BEE">
      <w:pPr>
        <w:pStyle w:val="ListParagraph"/>
        <w:numPr>
          <w:ilvl w:val="0"/>
          <w:numId w:val="51"/>
        </w:numPr>
        <w:spacing w:after="240" w:line="300" w:lineRule="atLeast"/>
        <w:rPr>
          <w:color w:val="000000" w:themeColor="text1"/>
          <w:lang w:eastAsia="en-NZ"/>
        </w:rPr>
      </w:pPr>
      <w:r w:rsidRPr="00D6259F">
        <w:rPr>
          <w:color w:val="000000" w:themeColor="text1"/>
          <w:lang w:eastAsia="en-NZ"/>
        </w:rPr>
        <w:t xml:space="preserve">stage 2 – enacting </w:t>
      </w:r>
      <w:r w:rsidRPr="00D6259F">
        <w:rPr>
          <w:color w:val="000000" w:themeColor="text1"/>
        </w:rPr>
        <w:t xml:space="preserve">the Local Government (Water Services Preliminary Arrangements) Act 2024 (the Act) which received Royal Assent on 2 September 2024; and </w:t>
      </w:r>
    </w:p>
    <w:p w14:paraId="0CA079CE" w14:textId="77777777" w:rsidR="00460729" w:rsidRPr="00D6259F" w:rsidRDefault="00460729" w:rsidP="00BB0BEE">
      <w:pPr>
        <w:pStyle w:val="ListParagraph"/>
        <w:numPr>
          <w:ilvl w:val="0"/>
          <w:numId w:val="51"/>
        </w:numPr>
        <w:spacing w:after="240" w:line="300" w:lineRule="atLeast"/>
        <w:rPr>
          <w:color w:val="000000" w:themeColor="text1"/>
          <w:lang w:eastAsia="en-NZ"/>
        </w:rPr>
      </w:pPr>
      <w:r w:rsidRPr="00D6259F">
        <w:rPr>
          <w:color w:val="000000" w:themeColor="text1"/>
        </w:rPr>
        <w:t>stage 3 – implementing further legislative change (expected to be introduced in December 2024 to be passed by mid-2025).  </w:t>
      </w:r>
      <w:r w:rsidRPr="00D6259F">
        <w:rPr>
          <w:color w:val="000000" w:themeColor="text1"/>
          <w:lang w:eastAsia="en-NZ"/>
        </w:rPr>
        <w:t> </w:t>
      </w:r>
    </w:p>
    <w:p w14:paraId="036D7CFA" w14:textId="77777777" w:rsidR="00460729" w:rsidRPr="00D6259F" w:rsidRDefault="00460729" w:rsidP="00460729">
      <w:pPr>
        <w:rPr>
          <w:color w:val="000000" w:themeColor="text1"/>
          <w:lang w:eastAsia="en-NZ"/>
        </w:rPr>
      </w:pPr>
      <w:r w:rsidRPr="00D6259F">
        <w:rPr>
          <w:color w:val="000000" w:themeColor="text1"/>
        </w:rPr>
        <w:t>The Act requires the Council to submit a Water Services Delivery Plan (WSDP) to the Secretary of Local Government, by September 2025. In broad terms, a WSDP must identify the current state of the Council’s water services and show how the Council will deliver those services in a way that:</w:t>
      </w:r>
    </w:p>
    <w:p w14:paraId="1A603716" w14:textId="77777777" w:rsidR="00460729" w:rsidRPr="00D6259F" w:rsidRDefault="00460729" w:rsidP="00BB0BEE">
      <w:pPr>
        <w:pStyle w:val="ListParagraph"/>
        <w:numPr>
          <w:ilvl w:val="0"/>
          <w:numId w:val="52"/>
        </w:numPr>
        <w:spacing w:after="240" w:line="300" w:lineRule="atLeast"/>
        <w:rPr>
          <w:color w:val="000000" w:themeColor="text1"/>
        </w:rPr>
      </w:pPr>
      <w:r w:rsidRPr="00D6259F">
        <w:rPr>
          <w:color w:val="000000" w:themeColor="text1"/>
        </w:rPr>
        <w:t xml:space="preserve">meets relevant regulatory quality standards for stormwater, wastewater and water supply </w:t>
      </w:r>
      <w:proofErr w:type="gramStart"/>
      <w:r w:rsidRPr="00D6259F">
        <w:rPr>
          <w:color w:val="000000" w:themeColor="text1"/>
        </w:rPr>
        <w:t>networks;</w:t>
      </w:r>
      <w:proofErr w:type="gramEnd"/>
    </w:p>
    <w:p w14:paraId="782E01EC" w14:textId="77777777" w:rsidR="00460729" w:rsidRPr="00D6259F" w:rsidRDefault="00460729" w:rsidP="00BB0BEE">
      <w:pPr>
        <w:pStyle w:val="ListParagraph"/>
        <w:numPr>
          <w:ilvl w:val="0"/>
          <w:numId w:val="52"/>
        </w:numPr>
        <w:spacing w:after="240" w:line="300" w:lineRule="atLeast"/>
        <w:rPr>
          <w:color w:val="000000" w:themeColor="text1"/>
        </w:rPr>
      </w:pPr>
      <w:r w:rsidRPr="00D6259F">
        <w:rPr>
          <w:color w:val="000000" w:themeColor="text1"/>
        </w:rPr>
        <w:t xml:space="preserve">is </w:t>
      </w:r>
      <w:r w:rsidRPr="00D6259F">
        <w:rPr>
          <w:color w:val="000000" w:themeColor="text1"/>
          <w:lang w:eastAsia="en-NZ"/>
        </w:rPr>
        <w:t xml:space="preserve">financially </w:t>
      </w:r>
      <w:proofErr w:type="gramStart"/>
      <w:r w:rsidRPr="00D6259F">
        <w:rPr>
          <w:color w:val="000000" w:themeColor="text1"/>
          <w:lang w:eastAsia="en-NZ"/>
        </w:rPr>
        <w:t>sustainable;</w:t>
      </w:r>
      <w:proofErr w:type="gramEnd"/>
      <w:r w:rsidRPr="00D6259F">
        <w:rPr>
          <w:color w:val="000000" w:themeColor="text1"/>
          <w:lang w:eastAsia="en-NZ"/>
        </w:rPr>
        <w:t xml:space="preserve"> </w:t>
      </w:r>
    </w:p>
    <w:p w14:paraId="180CA267" w14:textId="77777777" w:rsidR="00460729" w:rsidRPr="00D6259F" w:rsidRDefault="00460729" w:rsidP="00BB0BEE">
      <w:pPr>
        <w:pStyle w:val="ListParagraph"/>
        <w:numPr>
          <w:ilvl w:val="0"/>
          <w:numId w:val="52"/>
        </w:numPr>
        <w:spacing w:after="240" w:line="300" w:lineRule="atLeast"/>
        <w:rPr>
          <w:color w:val="000000" w:themeColor="text1"/>
        </w:rPr>
      </w:pPr>
      <w:r w:rsidRPr="00D6259F">
        <w:rPr>
          <w:color w:val="000000" w:themeColor="text1"/>
          <w:lang w:eastAsia="en-NZ"/>
        </w:rPr>
        <w:t xml:space="preserve">ensures compliance with drinking water quality standards; and </w:t>
      </w:r>
    </w:p>
    <w:p w14:paraId="37BEF540" w14:textId="77777777" w:rsidR="00460729" w:rsidRPr="00D6259F" w:rsidRDefault="00460729" w:rsidP="00BB0BEE">
      <w:pPr>
        <w:pStyle w:val="ListParagraph"/>
        <w:numPr>
          <w:ilvl w:val="0"/>
          <w:numId w:val="52"/>
        </w:numPr>
        <w:spacing w:after="240" w:line="300" w:lineRule="atLeast"/>
        <w:rPr>
          <w:color w:val="000000" w:themeColor="text1"/>
        </w:rPr>
      </w:pPr>
      <w:r w:rsidRPr="00D6259F">
        <w:rPr>
          <w:color w:val="000000" w:themeColor="text1"/>
        </w:rPr>
        <w:t xml:space="preserve">supports </w:t>
      </w:r>
      <w:r w:rsidRPr="00D6259F">
        <w:rPr>
          <w:color w:val="000000" w:themeColor="text1"/>
          <w:lang w:eastAsia="en-NZ"/>
        </w:rPr>
        <w:t xml:space="preserve">the council’s housing growth and urban development objectives. </w:t>
      </w:r>
      <w:r w:rsidRPr="00D6259F">
        <w:rPr>
          <w:color w:val="000000" w:themeColor="text1"/>
        </w:rPr>
        <w:t>  </w:t>
      </w:r>
    </w:p>
    <w:p w14:paraId="33D37C0E" w14:textId="77777777" w:rsidR="00460729" w:rsidRPr="00D6259F" w:rsidRDefault="00460729" w:rsidP="00460729">
      <w:pPr>
        <w:rPr>
          <w:color w:val="000000" w:themeColor="text1"/>
        </w:rPr>
      </w:pPr>
      <w:r w:rsidRPr="00D6259F">
        <w:rPr>
          <w:color w:val="000000" w:themeColor="text1"/>
        </w:rPr>
        <w:t xml:space="preserve">The Council is currently working with other councils in the Greater Wellington region along with the Horowhenua District on a WSDP to reform the region’s water services. The 10 councils, representing more than half a million people, are committed to the </w:t>
      </w:r>
      <w:proofErr w:type="gramStart"/>
      <w:r w:rsidRPr="00D6259F">
        <w:rPr>
          <w:color w:val="000000" w:themeColor="text1"/>
        </w:rPr>
        <w:t>process</w:t>
      </w:r>
      <w:proofErr w:type="gramEnd"/>
      <w:r w:rsidRPr="00D6259F">
        <w:rPr>
          <w:color w:val="000000" w:themeColor="text1"/>
        </w:rPr>
        <w:t xml:space="preserve"> and working at pace to ensure an enduring approach to water management ahead of the local government elections in 2025. The Council is also required to formally consult the community on aspects of the proposed model and arrangements for delivering water services.  </w:t>
      </w:r>
    </w:p>
    <w:p w14:paraId="534AFCD3" w14:textId="77777777" w:rsidR="00460729" w:rsidRPr="00D6259F" w:rsidRDefault="00460729" w:rsidP="00460729">
      <w:pPr>
        <w:rPr>
          <w:color w:val="000000" w:themeColor="text1"/>
        </w:rPr>
      </w:pPr>
      <w:r w:rsidRPr="00D6259F">
        <w:rPr>
          <w:color w:val="000000" w:themeColor="text1"/>
        </w:rPr>
        <w:t>The reforms to date have had no effect on the financial statements or performance information for the year ended 30 June 2024.   </w:t>
      </w:r>
    </w:p>
    <w:p w14:paraId="08D6263F" w14:textId="77777777" w:rsidR="0065451D" w:rsidRPr="00D6259F" w:rsidRDefault="0065451D" w:rsidP="0065451D">
      <w:pPr>
        <w:rPr>
          <w:rFonts w:ascii="Cambria" w:eastAsiaTheme="majorEastAsia" w:hAnsi="Cambria"/>
          <w:color w:val="000000" w:themeColor="text1"/>
          <w:sz w:val="60"/>
          <w:szCs w:val="60"/>
        </w:rPr>
      </w:pPr>
      <w:r w:rsidRPr="00D6259F">
        <w:rPr>
          <w:color w:val="000000" w:themeColor="text1"/>
        </w:rPr>
        <w:br w:type="page"/>
      </w:r>
    </w:p>
    <w:p w14:paraId="1A85E3E7" w14:textId="2269B22F" w:rsidR="00D422B1" w:rsidRPr="00D6259F" w:rsidRDefault="00D422B1" w:rsidP="00D6259F">
      <w:pPr>
        <w:pStyle w:val="Heading1"/>
      </w:pPr>
      <w:bookmarkStart w:id="253" w:name="_Toc55482688"/>
      <w:bookmarkStart w:id="254" w:name="_Toc61862890"/>
      <w:bookmarkStart w:id="255" w:name="_Toc179890331"/>
      <w:bookmarkStart w:id="256" w:name="_Hlk144884705"/>
      <w:r w:rsidRPr="00D6259F">
        <w:lastRenderedPageBreak/>
        <w:t>F</w:t>
      </w:r>
      <w:r w:rsidR="004E3E22" w:rsidRPr="00D6259F">
        <w:t xml:space="preserve">inancial </w:t>
      </w:r>
      <w:r w:rsidR="0028058E" w:rsidRPr="00D6259F">
        <w:t>P</w:t>
      </w:r>
      <w:r w:rsidR="004E3E22" w:rsidRPr="00D6259F">
        <w:t>rudence</w:t>
      </w:r>
      <w:bookmarkEnd w:id="253"/>
      <w:bookmarkEnd w:id="254"/>
      <w:bookmarkEnd w:id="255"/>
      <w:r w:rsidR="001424F3" w:rsidRPr="00D6259F">
        <w:t xml:space="preserve"> </w:t>
      </w:r>
    </w:p>
    <w:p w14:paraId="57573621" w14:textId="77777777" w:rsidR="004C0A42" w:rsidRPr="00D6259F" w:rsidRDefault="004C0A42" w:rsidP="0065451D">
      <w:pPr>
        <w:rPr>
          <w:color w:val="000000" w:themeColor="text1"/>
        </w:rPr>
      </w:pPr>
    </w:p>
    <w:p w14:paraId="1D84E46B" w14:textId="1F6D2929" w:rsidR="00D422B1" w:rsidRPr="00D6259F" w:rsidRDefault="00D422B1" w:rsidP="0065451D">
      <w:pPr>
        <w:rPr>
          <w:color w:val="000000" w:themeColor="text1"/>
        </w:rPr>
      </w:pPr>
      <w:r w:rsidRPr="00D6259F">
        <w:rPr>
          <w:color w:val="000000" w:themeColor="text1"/>
        </w:rPr>
        <w:t>The Local Government (Financial Reporting and Prudence) Regulations 2014</w:t>
      </w:r>
      <w:r w:rsidR="004D2966" w:rsidRPr="00D6259F">
        <w:rPr>
          <w:color w:val="000000" w:themeColor="text1"/>
        </w:rPr>
        <w:t xml:space="preserve"> (the regulations)</w:t>
      </w:r>
      <w:r w:rsidRPr="00D6259F">
        <w:rPr>
          <w:color w:val="000000" w:themeColor="text1"/>
        </w:rPr>
        <w:t xml:space="preserve"> has a series of measures and benchmarks, disclosed in the following pages. </w:t>
      </w:r>
    </w:p>
    <w:p w14:paraId="0E3BAC00" w14:textId="77777777" w:rsidR="00D422B1" w:rsidRPr="00D6259F" w:rsidRDefault="00D422B1" w:rsidP="0065451D">
      <w:pPr>
        <w:rPr>
          <w:color w:val="000000" w:themeColor="text1"/>
        </w:rPr>
      </w:pPr>
      <w:r w:rsidRPr="00D6259F">
        <w:rPr>
          <w:color w:val="000000" w:themeColor="text1"/>
        </w:rPr>
        <w:t>Readers are urged to read the commentary and explanations provided to give context to the information, as it is not always possible to compare Wellington City Council</w:t>
      </w:r>
      <w:r w:rsidR="00C94D95" w:rsidRPr="00D6259F">
        <w:rPr>
          <w:color w:val="000000" w:themeColor="text1"/>
        </w:rPr>
        <w:t>’</w:t>
      </w:r>
      <w:r w:rsidRPr="00D6259F">
        <w:rPr>
          <w:color w:val="000000" w:themeColor="text1"/>
        </w:rPr>
        <w:t xml:space="preserve">s results with other councils due to their size, </w:t>
      </w:r>
      <w:proofErr w:type="gramStart"/>
      <w:r w:rsidRPr="00D6259F">
        <w:rPr>
          <w:color w:val="000000" w:themeColor="text1"/>
        </w:rPr>
        <w:t>location</w:t>
      </w:r>
      <w:proofErr w:type="gramEnd"/>
      <w:r w:rsidRPr="00D6259F">
        <w:rPr>
          <w:color w:val="000000" w:themeColor="text1"/>
        </w:rPr>
        <w:t xml:space="preserve"> and provision of services.</w:t>
      </w:r>
    </w:p>
    <w:p w14:paraId="22422849" w14:textId="224B731C" w:rsidR="00D422B1" w:rsidRPr="00D6259F" w:rsidRDefault="00D422B1" w:rsidP="0065451D">
      <w:pPr>
        <w:pStyle w:val="Heading3"/>
      </w:pPr>
      <w:bookmarkStart w:id="257" w:name="_Toc55482689"/>
      <w:bookmarkStart w:id="258" w:name="_Toc121217211"/>
      <w:r w:rsidRPr="00D6259F">
        <w:t>Annual report disclosure statement for year end</w:t>
      </w:r>
      <w:r w:rsidR="00055326" w:rsidRPr="00D6259F">
        <w:t>ed</w:t>
      </w:r>
      <w:r w:rsidRPr="00D6259F">
        <w:t xml:space="preserve"> </w:t>
      </w:r>
      <w:bookmarkEnd w:id="257"/>
      <w:bookmarkEnd w:id="258"/>
      <w:r w:rsidR="005D56AC" w:rsidRPr="00D6259F">
        <w:t>30 June 2024</w:t>
      </w:r>
      <w:r w:rsidR="00F816D4" w:rsidRPr="00D6259F">
        <w:t xml:space="preserve"> </w:t>
      </w:r>
    </w:p>
    <w:p w14:paraId="5F103968" w14:textId="77777777" w:rsidR="00D422B1" w:rsidRPr="00D6259F" w:rsidRDefault="00D422B1" w:rsidP="0065451D">
      <w:pPr>
        <w:pStyle w:val="Heading4"/>
      </w:pPr>
      <w:r w:rsidRPr="00D6259F">
        <w:t>What is the purpose of this statement?</w:t>
      </w:r>
    </w:p>
    <w:p w14:paraId="0C77302A" w14:textId="77777777" w:rsidR="00D422B1" w:rsidRPr="00D6259F" w:rsidRDefault="00D422B1" w:rsidP="0065451D">
      <w:pPr>
        <w:rPr>
          <w:color w:val="000000" w:themeColor="text1"/>
        </w:rPr>
      </w:pPr>
      <w:r w:rsidRPr="00D6259F">
        <w:rPr>
          <w:color w:val="000000" w:themeColor="text1"/>
        </w:rPr>
        <w:t xml:space="preserve">The purpose of this statement is to disclose the </w:t>
      </w:r>
      <w:r w:rsidR="002C03CA" w:rsidRPr="00D6259F">
        <w:rPr>
          <w:color w:val="000000" w:themeColor="text1"/>
        </w:rPr>
        <w:t>C</w:t>
      </w:r>
      <w:r w:rsidRPr="00D6259F">
        <w:rPr>
          <w:color w:val="000000" w:themeColor="text1"/>
        </w:rPr>
        <w:t xml:space="preserve">ouncil's financial performance in relation to various benchmarks to enable the assessment of whether the </w:t>
      </w:r>
      <w:r w:rsidR="002C03CA" w:rsidRPr="00D6259F">
        <w:rPr>
          <w:color w:val="000000" w:themeColor="text1"/>
        </w:rPr>
        <w:t>C</w:t>
      </w:r>
      <w:r w:rsidRPr="00D6259F">
        <w:rPr>
          <w:color w:val="000000" w:themeColor="text1"/>
        </w:rPr>
        <w:t>ouncil is prudently managing its revenues, expenses, assets, liabilities, and general financial dealings.</w:t>
      </w:r>
    </w:p>
    <w:p w14:paraId="537F6584" w14:textId="1C8702F0" w:rsidR="00D422B1" w:rsidRPr="00D6259F" w:rsidRDefault="00D422B1" w:rsidP="0065451D">
      <w:pPr>
        <w:rPr>
          <w:color w:val="000000" w:themeColor="text1"/>
        </w:rPr>
      </w:pPr>
      <w:r w:rsidRPr="00D6259F">
        <w:rPr>
          <w:color w:val="000000" w:themeColor="text1"/>
        </w:rPr>
        <w:t xml:space="preserve">The </w:t>
      </w:r>
      <w:r w:rsidR="002C03CA" w:rsidRPr="00D6259F">
        <w:rPr>
          <w:color w:val="000000" w:themeColor="text1"/>
        </w:rPr>
        <w:t>C</w:t>
      </w:r>
      <w:r w:rsidRPr="00D6259F">
        <w:rPr>
          <w:color w:val="000000" w:themeColor="text1"/>
        </w:rPr>
        <w:t>ouncil is required to include this statement in its annual report in accordance with the regulations. Refer to the regulations for more information, including definitions of some of the terms used in this statement.</w:t>
      </w:r>
    </w:p>
    <w:p w14:paraId="596663E0" w14:textId="69B5824B" w:rsidR="00D422B1" w:rsidRPr="00D6259F" w:rsidRDefault="00D422B1" w:rsidP="0065451D">
      <w:pPr>
        <w:rPr>
          <w:color w:val="000000" w:themeColor="text1"/>
        </w:rPr>
      </w:pPr>
      <w:r w:rsidRPr="00D6259F">
        <w:rPr>
          <w:color w:val="000000" w:themeColor="text1"/>
        </w:rPr>
        <w:t xml:space="preserve">Unless prescribed by the regulations the quantified limit for each </w:t>
      </w:r>
      <w:r w:rsidR="0028058E" w:rsidRPr="00D6259F">
        <w:rPr>
          <w:color w:val="000000" w:themeColor="text1"/>
        </w:rPr>
        <w:t xml:space="preserve">current year </w:t>
      </w:r>
      <w:r w:rsidRPr="00D6259F">
        <w:rPr>
          <w:color w:val="000000" w:themeColor="text1"/>
        </w:rPr>
        <w:t xml:space="preserve">benchmark is calculated using the financial information from the Council’s </w:t>
      </w:r>
      <w:r w:rsidR="00924B4E" w:rsidRPr="00D6259F">
        <w:rPr>
          <w:color w:val="000000" w:themeColor="text1"/>
        </w:rPr>
        <w:t>2021</w:t>
      </w:r>
      <w:r w:rsidRPr="00D6259F">
        <w:rPr>
          <w:color w:val="000000" w:themeColor="text1"/>
        </w:rPr>
        <w:t xml:space="preserve"> LTP. </w:t>
      </w:r>
    </w:p>
    <w:p w14:paraId="55A18D02" w14:textId="2881C371" w:rsidR="00A85CB0" w:rsidRPr="00D6259F" w:rsidRDefault="00A85CB0" w:rsidP="0065451D">
      <w:pPr>
        <w:rPr>
          <w:color w:val="000000" w:themeColor="text1"/>
        </w:rPr>
      </w:pPr>
    </w:p>
    <w:p w14:paraId="1189C7BB" w14:textId="77777777" w:rsidR="003720D3" w:rsidRPr="00D6259F" w:rsidRDefault="003720D3">
      <w:pPr>
        <w:rPr>
          <w:rFonts w:ascii="Cambria" w:hAnsi="Cambria" w:cs="Calibri"/>
          <w:b/>
          <w:bCs/>
          <w:color w:val="000000" w:themeColor="text1"/>
          <w:sz w:val="40"/>
          <w:szCs w:val="40"/>
          <w:lang w:eastAsia="en-NZ"/>
        </w:rPr>
      </w:pPr>
      <w:bookmarkStart w:id="259" w:name="_Toc121217212"/>
      <w:bookmarkStart w:id="260" w:name="_Hlk144884763"/>
      <w:bookmarkEnd w:id="256"/>
      <w:r w:rsidRPr="00D6259F">
        <w:rPr>
          <w:color w:val="000000" w:themeColor="text1"/>
        </w:rPr>
        <w:br w:type="page"/>
      </w:r>
    </w:p>
    <w:p w14:paraId="0576BC56" w14:textId="1631DA20" w:rsidR="00E212DC" w:rsidRPr="00D6259F" w:rsidRDefault="00E212DC" w:rsidP="00F9703F">
      <w:pPr>
        <w:pStyle w:val="Heading3"/>
      </w:pPr>
      <w:r w:rsidRPr="00D6259F">
        <w:lastRenderedPageBreak/>
        <w:t>Rates affordability benchmark</w:t>
      </w:r>
      <w:bookmarkEnd w:id="259"/>
    </w:p>
    <w:p w14:paraId="3723DFCC" w14:textId="77777777" w:rsidR="00E212DC" w:rsidRPr="00D6259F" w:rsidRDefault="00E212DC" w:rsidP="0065451D">
      <w:pPr>
        <w:rPr>
          <w:color w:val="000000" w:themeColor="text1"/>
        </w:rPr>
      </w:pPr>
      <w:r w:rsidRPr="00D6259F">
        <w:rPr>
          <w:color w:val="000000" w:themeColor="text1"/>
        </w:rPr>
        <w:t xml:space="preserve">The </w:t>
      </w:r>
      <w:r w:rsidR="008F21D4" w:rsidRPr="00D6259F">
        <w:rPr>
          <w:color w:val="000000" w:themeColor="text1"/>
        </w:rPr>
        <w:t>C</w:t>
      </w:r>
      <w:r w:rsidRPr="00D6259F">
        <w:rPr>
          <w:color w:val="000000" w:themeColor="text1"/>
        </w:rPr>
        <w:t>ouncil meets the rates affordability benchmark if</w:t>
      </w:r>
      <w:r w:rsidR="00A42E94" w:rsidRPr="00D6259F">
        <w:rPr>
          <w:color w:val="000000" w:themeColor="text1"/>
        </w:rPr>
        <w:t xml:space="preserve"> </w:t>
      </w:r>
      <w:r w:rsidRPr="00D6259F">
        <w:rPr>
          <w:color w:val="000000" w:themeColor="text1"/>
        </w:rPr>
        <w:t>—</w:t>
      </w:r>
    </w:p>
    <w:p w14:paraId="764D638E" w14:textId="77777777" w:rsidR="00E212DC" w:rsidRPr="00D6259F" w:rsidRDefault="00E212DC" w:rsidP="00BB0BEE">
      <w:pPr>
        <w:pStyle w:val="ListParagraph"/>
        <w:numPr>
          <w:ilvl w:val="0"/>
          <w:numId w:val="26"/>
        </w:numPr>
        <w:rPr>
          <w:color w:val="000000" w:themeColor="text1"/>
          <w:lang w:val="en-GB" w:eastAsia="en-GB"/>
        </w:rPr>
      </w:pPr>
      <w:r w:rsidRPr="00D6259F">
        <w:rPr>
          <w:color w:val="000000" w:themeColor="text1"/>
          <w:lang w:val="en-GB" w:eastAsia="en-GB"/>
        </w:rPr>
        <w:t>its actual rates revenue equals or is less than each quantified limit on rates; and</w:t>
      </w:r>
    </w:p>
    <w:p w14:paraId="11F1459C" w14:textId="77777777" w:rsidR="00E212DC" w:rsidRPr="00D6259F" w:rsidRDefault="00E212DC" w:rsidP="00BB0BEE">
      <w:pPr>
        <w:pStyle w:val="ListParagraph"/>
        <w:numPr>
          <w:ilvl w:val="0"/>
          <w:numId w:val="26"/>
        </w:numPr>
        <w:rPr>
          <w:color w:val="000000" w:themeColor="text1"/>
          <w:lang w:val="en-GB" w:eastAsia="en-GB"/>
        </w:rPr>
      </w:pPr>
      <w:r w:rsidRPr="00D6259F">
        <w:rPr>
          <w:color w:val="000000" w:themeColor="text1"/>
          <w:lang w:val="en-GB" w:eastAsia="en-GB"/>
        </w:rPr>
        <w:t xml:space="preserve">its actual rates </w:t>
      </w:r>
      <w:proofErr w:type="gramStart"/>
      <w:r w:rsidRPr="00D6259F">
        <w:rPr>
          <w:color w:val="000000" w:themeColor="text1"/>
          <w:lang w:val="en-GB" w:eastAsia="en-GB"/>
        </w:rPr>
        <w:t>increases</w:t>
      </w:r>
      <w:proofErr w:type="gramEnd"/>
      <w:r w:rsidRPr="00D6259F">
        <w:rPr>
          <w:color w:val="000000" w:themeColor="text1"/>
          <w:lang w:val="en-GB" w:eastAsia="en-GB"/>
        </w:rPr>
        <w:t xml:space="preserve"> equal or are less than each quantified limit on rates increases.</w:t>
      </w:r>
    </w:p>
    <w:p w14:paraId="7008316F" w14:textId="77777777" w:rsidR="00D422B1" w:rsidRPr="00D6259F" w:rsidRDefault="00D422B1" w:rsidP="0065451D">
      <w:pPr>
        <w:pStyle w:val="Heading3"/>
      </w:pPr>
      <w:bookmarkStart w:id="261" w:name="_Toc121217213"/>
      <w:r w:rsidRPr="00D6259F">
        <w:t>Rates (revenue) affordability</w:t>
      </w:r>
      <w:bookmarkEnd w:id="261"/>
    </w:p>
    <w:p w14:paraId="37651F2B" w14:textId="77777777" w:rsidR="00363729" w:rsidRPr="00D6259F" w:rsidRDefault="00363729" w:rsidP="0065451D">
      <w:pPr>
        <w:rPr>
          <w:color w:val="000000" w:themeColor="text1"/>
        </w:rPr>
      </w:pPr>
    </w:p>
    <w:bookmarkEnd w:id="260"/>
    <w:p w14:paraId="6A1C9BED" w14:textId="0BD33B25" w:rsidR="001A5CE0" w:rsidRPr="00D6259F" w:rsidRDefault="007874CE" w:rsidP="0065451D">
      <w:pPr>
        <w:pStyle w:val="Heading4"/>
      </w:pPr>
      <w:r w:rsidRPr="00D6259F">
        <w:rPr>
          <w:noProof/>
        </w:rPr>
        <w:drawing>
          <wp:inline distT="0" distB="0" distL="0" distR="0" wp14:anchorId="41909F28" wp14:editId="64369B85">
            <wp:extent cx="6344210" cy="3571875"/>
            <wp:effectExtent l="0" t="0" r="0" b="9525"/>
            <wp:docPr id="33243245" name="Chart 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14:paraId="171C878F" w14:textId="77777777" w:rsidR="00372CB3" w:rsidRPr="00D6259F" w:rsidRDefault="00372CB3" w:rsidP="00372CB3">
      <w:pPr>
        <w:rPr>
          <w:color w:val="000000" w:themeColor="text1"/>
        </w:rPr>
      </w:pPr>
    </w:p>
    <w:p w14:paraId="1E29CA23" w14:textId="77777777" w:rsidR="003E0DA6" w:rsidRPr="00D6259F" w:rsidRDefault="00372CB3" w:rsidP="00372CB3">
      <w:pPr>
        <w:rPr>
          <w:color w:val="000000" w:themeColor="text1"/>
        </w:rPr>
      </w:pPr>
      <w:r w:rsidRPr="00D6259F">
        <w:rPr>
          <w:color w:val="000000" w:themeColor="text1"/>
        </w:rPr>
        <w:t xml:space="preserve">The </w:t>
      </w:r>
      <w:r w:rsidR="00333BA6" w:rsidRPr="00D6259F">
        <w:rPr>
          <w:color w:val="000000" w:themeColor="text1"/>
        </w:rPr>
        <w:t xml:space="preserve">above </w:t>
      </w:r>
      <w:r w:rsidRPr="00D6259F">
        <w:rPr>
          <w:color w:val="000000" w:themeColor="text1"/>
        </w:rPr>
        <w:t xml:space="preserve">graph compares the Council's actual rates revenue with a quantified dollar limit on rates revenue included in the financial strategy in the Council's LTP. </w:t>
      </w:r>
    </w:p>
    <w:p w14:paraId="08AC8231" w14:textId="18DE2B24" w:rsidR="00372CB3" w:rsidRPr="00D6259F" w:rsidRDefault="00372CB3" w:rsidP="00372CB3">
      <w:pPr>
        <w:rPr>
          <w:color w:val="000000" w:themeColor="text1"/>
        </w:rPr>
      </w:pPr>
      <w:r w:rsidRPr="00D6259F">
        <w:rPr>
          <w:color w:val="000000" w:themeColor="text1"/>
        </w:rPr>
        <w:t>The quantified limit for the first three years of the 2021 LTP, which encompasse</w:t>
      </w:r>
      <w:r w:rsidR="003E6684" w:rsidRPr="00D6259F">
        <w:rPr>
          <w:color w:val="000000" w:themeColor="text1"/>
        </w:rPr>
        <w:t>d</w:t>
      </w:r>
      <w:r w:rsidRPr="00D6259F">
        <w:rPr>
          <w:color w:val="000000" w:themeColor="text1"/>
        </w:rPr>
        <w:t xml:space="preserve"> the financial years 2021/22; 2022/23 and 2023/24 </w:t>
      </w:r>
      <w:r w:rsidR="003E6684" w:rsidRPr="00D6259F">
        <w:rPr>
          <w:color w:val="000000" w:themeColor="text1"/>
        </w:rPr>
        <w:t>was</w:t>
      </w:r>
      <w:r w:rsidRPr="00D6259F">
        <w:rPr>
          <w:color w:val="000000" w:themeColor="text1"/>
        </w:rPr>
        <w:t xml:space="preserve"> $475</w:t>
      </w:r>
      <w:r w:rsidR="003E6684" w:rsidRPr="00D6259F">
        <w:rPr>
          <w:color w:val="000000" w:themeColor="text1"/>
        </w:rPr>
        <w:t>m</w:t>
      </w:r>
      <w:r w:rsidRPr="00D6259F">
        <w:rPr>
          <w:color w:val="000000" w:themeColor="text1"/>
        </w:rPr>
        <w:t xml:space="preserve">. This means rates revenue remained below this </w:t>
      </w:r>
      <w:r w:rsidR="00105CAC" w:rsidRPr="00D6259F">
        <w:rPr>
          <w:color w:val="000000" w:themeColor="text1"/>
        </w:rPr>
        <w:t xml:space="preserve">quantified </w:t>
      </w:r>
      <w:r w:rsidRPr="00D6259F">
        <w:rPr>
          <w:color w:val="000000" w:themeColor="text1"/>
        </w:rPr>
        <w:t xml:space="preserve">limit for the first two years </w:t>
      </w:r>
      <w:r w:rsidR="00105CAC" w:rsidRPr="00D6259F">
        <w:rPr>
          <w:color w:val="000000" w:themeColor="text1"/>
        </w:rPr>
        <w:t xml:space="preserve">but exceeded it for 2023/24 </w:t>
      </w:r>
      <w:r w:rsidR="008A1CF3" w:rsidRPr="00D6259F">
        <w:rPr>
          <w:color w:val="000000" w:themeColor="text1"/>
        </w:rPr>
        <w:t xml:space="preserve">as signalled in the 2023/24 </w:t>
      </w:r>
      <w:r w:rsidR="00F260C1" w:rsidRPr="00D6259F">
        <w:rPr>
          <w:color w:val="000000" w:themeColor="text1"/>
        </w:rPr>
        <w:t>AP</w:t>
      </w:r>
      <w:r w:rsidR="008A1CF3" w:rsidRPr="00D6259F">
        <w:rPr>
          <w:color w:val="000000" w:themeColor="text1"/>
        </w:rPr>
        <w:t>.</w:t>
      </w:r>
      <w:r w:rsidR="00105CAC" w:rsidRPr="00D6259F">
        <w:rPr>
          <w:color w:val="000000" w:themeColor="text1"/>
        </w:rPr>
        <w:t xml:space="preserve"> </w:t>
      </w:r>
    </w:p>
    <w:p w14:paraId="6696C656" w14:textId="77777777" w:rsidR="0065451D" w:rsidRPr="00D6259F" w:rsidRDefault="0065451D">
      <w:pPr>
        <w:rPr>
          <w:rFonts w:ascii="Cambria" w:hAnsi="Cambria" w:cs="Calibri"/>
          <w:b/>
          <w:bCs/>
          <w:color w:val="000000" w:themeColor="text1"/>
          <w:sz w:val="40"/>
          <w:szCs w:val="40"/>
          <w:lang w:eastAsia="en-NZ"/>
        </w:rPr>
      </w:pPr>
      <w:r w:rsidRPr="00D6259F">
        <w:rPr>
          <w:color w:val="000000" w:themeColor="text1"/>
        </w:rPr>
        <w:br w:type="page"/>
      </w:r>
    </w:p>
    <w:p w14:paraId="4143B905" w14:textId="77777777" w:rsidR="00E212DC" w:rsidRPr="00D6259F" w:rsidRDefault="00E212DC" w:rsidP="0065451D">
      <w:pPr>
        <w:pStyle w:val="Heading3"/>
      </w:pPr>
      <w:bookmarkStart w:id="262" w:name="_Toc121217214"/>
      <w:bookmarkStart w:id="263" w:name="_Hlk144884782"/>
      <w:r w:rsidRPr="00D6259F">
        <w:lastRenderedPageBreak/>
        <w:t>Rates (increases) affordability</w:t>
      </w:r>
      <w:bookmarkEnd w:id="262"/>
    </w:p>
    <w:p w14:paraId="240CBA2A" w14:textId="77777777" w:rsidR="00C45943" w:rsidRPr="00D6259F" w:rsidRDefault="00C45943" w:rsidP="0065451D">
      <w:pPr>
        <w:rPr>
          <w:color w:val="000000" w:themeColor="text1"/>
        </w:rPr>
      </w:pPr>
    </w:p>
    <w:p w14:paraId="3AE41B61" w14:textId="7E3BBF54" w:rsidR="00363729" w:rsidRPr="00D6259F" w:rsidRDefault="005603E0" w:rsidP="0065451D">
      <w:pPr>
        <w:rPr>
          <w:color w:val="000000" w:themeColor="text1"/>
        </w:rPr>
      </w:pPr>
      <w:r w:rsidRPr="00D6259F">
        <w:rPr>
          <w:noProof/>
          <w:color w:val="000000" w:themeColor="text1"/>
        </w:rPr>
        <w:drawing>
          <wp:inline distT="0" distB="0" distL="0" distR="0" wp14:anchorId="5527F286" wp14:editId="788FE601">
            <wp:extent cx="6219825" cy="3575050"/>
            <wp:effectExtent l="0" t="0" r="9525" b="6350"/>
            <wp:docPr id="1411531338"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bookmarkEnd w:id="263"/>
    <w:p w14:paraId="5DE940B9" w14:textId="5442DA4D" w:rsidR="00D422B1" w:rsidRPr="00D6259F" w:rsidRDefault="00D422B1" w:rsidP="0065451D">
      <w:pPr>
        <w:rPr>
          <w:color w:val="000000" w:themeColor="text1"/>
        </w:rPr>
      </w:pPr>
    </w:p>
    <w:p w14:paraId="0534516B" w14:textId="421C83B8" w:rsidR="00105CAC" w:rsidRPr="00D6259F" w:rsidRDefault="00105CAC" w:rsidP="00105CAC">
      <w:pPr>
        <w:rPr>
          <w:color w:val="000000" w:themeColor="text1"/>
        </w:rPr>
      </w:pPr>
      <w:r w:rsidRPr="00D6259F">
        <w:rPr>
          <w:color w:val="000000" w:themeColor="text1"/>
        </w:rPr>
        <w:t xml:space="preserve">The above graph compares the Council's actual rates increases with a quantified limit on rates increases included in the financial strategy in the Council's LTP. </w:t>
      </w:r>
    </w:p>
    <w:p w14:paraId="432436AF" w14:textId="459E860D" w:rsidR="00105CAC" w:rsidRPr="00D6259F" w:rsidRDefault="00105CAC" w:rsidP="00105CAC">
      <w:pPr>
        <w:rPr>
          <w:color w:val="000000" w:themeColor="text1"/>
        </w:rPr>
      </w:pPr>
      <w:r w:rsidRPr="00D6259F">
        <w:rPr>
          <w:color w:val="000000" w:themeColor="text1"/>
        </w:rPr>
        <w:t xml:space="preserve">The quantified limit for 2023/24 </w:t>
      </w:r>
      <w:r w:rsidR="005D4A45" w:rsidRPr="00D6259F">
        <w:rPr>
          <w:color w:val="000000" w:themeColor="text1"/>
        </w:rPr>
        <w:t>was</w:t>
      </w:r>
      <w:r w:rsidRPr="00D6259F">
        <w:rPr>
          <w:color w:val="000000" w:themeColor="text1"/>
        </w:rPr>
        <w:t xml:space="preserve"> </w:t>
      </w:r>
      <w:r w:rsidR="003E6684" w:rsidRPr="00D6259F">
        <w:rPr>
          <w:color w:val="000000" w:themeColor="text1"/>
        </w:rPr>
        <w:t>9.6</w:t>
      </w:r>
      <w:r w:rsidRPr="00D6259F">
        <w:rPr>
          <w:color w:val="000000" w:themeColor="text1"/>
        </w:rPr>
        <w:t xml:space="preserve"> percent although the actual rates increase set for the 2023/24 year </w:t>
      </w:r>
      <w:r w:rsidR="003E6684" w:rsidRPr="00D6259F">
        <w:rPr>
          <w:color w:val="000000" w:themeColor="text1"/>
        </w:rPr>
        <w:t xml:space="preserve">exceeded </w:t>
      </w:r>
      <w:r w:rsidRPr="00D6259F">
        <w:rPr>
          <w:color w:val="000000" w:themeColor="text1"/>
        </w:rPr>
        <w:t xml:space="preserve">this limit. The rates increase proposed in the 2021 LTP </w:t>
      </w:r>
      <w:r w:rsidR="003E6684" w:rsidRPr="00D6259F">
        <w:rPr>
          <w:color w:val="000000" w:themeColor="text1"/>
        </w:rPr>
        <w:t xml:space="preserve">was </w:t>
      </w:r>
      <w:r w:rsidRPr="00D6259F">
        <w:rPr>
          <w:color w:val="000000" w:themeColor="text1"/>
        </w:rPr>
        <w:t xml:space="preserve">equivalent to an </w:t>
      </w:r>
      <w:proofErr w:type="gramStart"/>
      <w:r w:rsidRPr="00D6259F">
        <w:rPr>
          <w:color w:val="000000" w:themeColor="text1"/>
        </w:rPr>
        <w:t>average rates</w:t>
      </w:r>
      <w:proofErr w:type="gramEnd"/>
      <w:r w:rsidRPr="00D6259F">
        <w:rPr>
          <w:color w:val="000000" w:themeColor="text1"/>
        </w:rPr>
        <w:t xml:space="preserve"> increase of 10.5 percent over the first three years, which encompasse</w:t>
      </w:r>
      <w:r w:rsidR="005D4A45" w:rsidRPr="00D6259F">
        <w:rPr>
          <w:color w:val="000000" w:themeColor="text1"/>
        </w:rPr>
        <w:t>d</w:t>
      </w:r>
      <w:r w:rsidRPr="00D6259F">
        <w:rPr>
          <w:color w:val="000000" w:themeColor="text1"/>
        </w:rPr>
        <w:t xml:space="preserve"> the financial years 2021/22; 2022/23 and 2023/24. </w:t>
      </w:r>
      <w:r w:rsidR="009D6EBC" w:rsidRPr="00D6259F">
        <w:rPr>
          <w:color w:val="000000" w:themeColor="text1"/>
        </w:rPr>
        <w:t xml:space="preserve">This benchmark was signalled to not be met in the 2023/24 </w:t>
      </w:r>
      <w:r w:rsidR="00F260C1" w:rsidRPr="00D6259F">
        <w:rPr>
          <w:color w:val="000000" w:themeColor="text1"/>
        </w:rPr>
        <w:t>AP</w:t>
      </w:r>
      <w:r w:rsidR="009D6EBC" w:rsidRPr="00D6259F">
        <w:rPr>
          <w:color w:val="000000" w:themeColor="text1"/>
        </w:rPr>
        <w:t>.</w:t>
      </w:r>
    </w:p>
    <w:p w14:paraId="5737729A" w14:textId="77777777" w:rsidR="00105CAC" w:rsidRPr="00D6259F" w:rsidRDefault="00105CAC" w:rsidP="0065451D">
      <w:pPr>
        <w:rPr>
          <w:color w:val="000000" w:themeColor="text1"/>
        </w:rPr>
      </w:pPr>
    </w:p>
    <w:p w14:paraId="5864E879" w14:textId="77777777" w:rsidR="0065451D" w:rsidRPr="00D6259F" w:rsidRDefault="0065451D">
      <w:pPr>
        <w:rPr>
          <w:rFonts w:ascii="Cambria" w:eastAsiaTheme="majorEastAsia" w:hAnsi="Cambria"/>
          <w:b/>
          <w:bCs/>
          <w:color w:val="000000" w:themeColor="text1"/>
          <w:sz w:val="48"/>
          <w:szCs w:val="40"/>
        </w:rPr>
      </w:pPr>
      <w:r w:rsidRPr="00D6259F">
        <w:rPr>
          <w:color w:val="000000" w:themeColor="text1"/>
        </w:rPr>
        <w:br w:type="page"/>
      </w:r>
    </w:p>
    <w:p w14:paraId="3237600C" w14:textId="77777777" w:rsidR="00E212DC" w:rsidRPr="00D6259F" w:rsidRDefault="00E212DC" w:rsidP="00F9703F">
      <w:pPr>
        <w:pStyle w:val="Heading3"/>
      </w:pPr>
      <w:bookmarkStart w:id="264" w:name="_Toc121217215"/>
      <w:bookmarkStart w:id="265" w:name="_Hlk144884803"/>
      <w:r w:rsidRPr="00D6259F">
        <w:lastRenderedPageBreak/>
        <w:t>Debt affordability benchmark</w:t>
      </w:r>
      <w:bookmarkEnd w:id="264"/>
    </w:p>
    <w:p w14:paraId="116C6A07" w14:textId="299B3DA6" w:rsidR="00E212DC" w:rsidRPr="00D6259F" w:rsidRDefault="00E212DC" w:rsidP="0065451D">
      <w:pPr>
        <w:rPr>
          <w:color w:val="000000" w:themeColor="text1"/>
        </w:rPr>
      </w:pPr>
      <w:r w:rsidRPr="00D6259F">
        <w:rPr>
          <w:color w:val="000000" w:themeColor="text1"/>
        </w:rPr>
        <w:t xml:space="preserve">The </w:t>
      </w:r>
      <w:r w:rsidR="00747E34" w:rsidRPr="00D6259F">
        <w:rPr>
          <w:color w:val="000000" w:themeColor="text1"/>
        </w:rPr>
        <w:t>C</w:t>
      </w:r>
      <w:r w:rsidRPr="00D6259F">
        <w:rPr>
          <w:color w:val="000000" w:themeColor="text1"/>
        </w:rPr>
        <w:t>ouncil meets the debt affordability benchmark if its actual borrowing is within each quantified limit on borrowing. The Council has seve</w:t>
      </w:r>
      <w:r w:rsidR="00253358" w:rsidRPr="00D6259F">
        <w:rPr>
          <w:color w:val="000000" w:themeColor="text1"/>
        </w:rPr>
        <w:t xml:space="preserve">ral </w:t>
      </w:r>
      <w:r w:rsidRPr="00D6259F">
        <w:rPr>
          <w:color w:val="000000" w:themeColor="text1"/>
        </w:rPr>
        <w:t xml:space="preserve">measures for debt </w:t>
      </w:r>
      <w:proofErr w:type="gramStart"/>
      <w:r w:rsidRPr="00D6259F">
        <w:rPr>
          <w:color w:val="000000" w:themeColor="text1"/>
        </w:rPr>
        <w:t>affordability</w:t>
      </w:r>
      <w:proofErr w:type="gramEnd"/>
      <w:r w:rsidRPr="00D6259F">
        <w:rPr>
          <w:color w:val="000000" w:themeColor="text1"/>
        </w:rPr>
        <w:t xml:space="preserve"> and these are set out below. The suitability of these measures has been assessed by Council’s professional advisers, PwC Wellington.</w:t>
      </w:r>
    </w:p>
    <w:p w14:paraId="072C54D4" w14:textId="156E21F5" w:rsidR="00E212DC" w:rsidRPr="00D6259F" w:rsidRDefault="00E212DC" w:rsidP="0065451D">
      <w:pPr>
        <w:pStyle w:val="Heading3"/>
      </w:pPr>
      <w:bookmarkStart w:id="266" w:name="_Toc121217216"/>
      <w:bookmarkStart w:id="267" w:name="_Hlk144884827"/>
      <w:bookmarkEnd w:id="265"/>
      <w:r w:rsidRPr="00D6259F">
        <w:t>Net borrowing as a percentage of revenue</w:t>
      </w:r>
      <w:bookmarkEnd w:id="266"/>
    </w:p>
    <w:p w14:paraId="01711FB7" w14:textId="77777777" w:rsidR="00363729" w:rsidRPr="00D6259F" w:rsidRDefault="00363729" w:rsidP="0065451D">
      <w:pPr>
        <w:rPr>
          <w:color w:val="000000" w:themeColor="text1"/>
        </w:rPr>
      </w:pPr>
    </w:p>
    <w:bookmarkEnd w:id="267"/>
    <w:p w14:paraId="1E16E65C" w14:textId="113B3058" w:rsidR="00287A40" w:rsidRPr="00D6259F" w:rsidRDefault="005603E0" w:rsidP="0065451D">
      <w:pPr>
        <w:rPr>
          <w:color w:val="000000" w:themeColor="text1"/>
        </w:rPr>
      </w:pPr>
      <w:r w:rsidRPr="00D6259F">
        <w:rPr>
          <w:noProof/>
          <w:color w:val="000000" w:themeColor="text1"/>
        </w:rPr>
        <w:drawing>
          <wp:inline distT="0" distB="0" distL="0" distR="0" wp14:anchorId="26BA50C0" wp14:editId="54B892BE">
            <wp:extent cx="6419850" cy="3417795"/>
            <wp:effectExtent l="0" t="0" r="0" b="11430"/>
            <wp:docPr id="1923518859" name="Chart 1">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14:paraId="2AC4184D" w14:textId="77777777" w:rsidR="00253358" w:rsidRPr="00D6259F" w:rsidRDefault="00253358">
      <w:pPr>
        <w:rPr>
          <w:color w:val="000000" w:themeColor="text1"/>
        </w:rPr>
      </w:pPr>
    </w:p>
    <w:p w14:paraId="3DCA66FF" w14:textId="77777777" w:rsidR="003E0DA6" w:rsidRPr="00D6259F" w:rsidRDefault="00253358">
      <w:pPr>
        <w:rPr>
          <w:color w:val="000000" w:themeColor="text1"/>
        </w:rPr>
      </w:pPr>
      <w:r w:rsidRPr="00D6259F">
        <w:rPr>
          <w:color w:val="000000" w:themeColor="text1"/>
        </w:rPr>
        <w:t xml:space="preserve">The </w:t>
      </w:r>
      <w:r w:rsidR="00333BA6" w:rsidRPr="00D6259F">
        <w:rPr>
          <w:color w:val="000000" w:themeColor="text1"/>
        </w:rPr>
        <w:t xml:space="preserve">above </w:t>
      </w:r>
      <w:r w:rsidRPr="00D6259F">
        <w:rPr>
          <w:color w:val="000000" w:themeColor="text1"/>
        </w:rPr>
        <w:t xml:space="preserve">graph compares the Council's actual </w:t>
      </w:r>
      <w:r w:rsidR="006F57D0" w:rsidRPr="00D6259F">
        <w:rPr>
          <w:color w:val="000000" w:themeColor="text1"/>
        </w:rPr>
        <w:t xml:space="preserve">net </w:t>
      </w:r>
      <w:r w:rsidRPr="00D6259F">
        <w:rPr>
          <w:color w:val="000000" w:themeColor="text1"/>
        </w:rPr>
        <w:t>borrowing</w:t>
      </w:r>
      <w:r w:rsidR="006F57D0" w:rsidRPr="00D6259F">
        <w:rPr>
          <w:color w:val="000000" w:themeColor="text1"/>
        </w:rPr>
        <w:t>s as a proportion of revenue</w:t>
      </w:r>
      <w:r w:rsidRPr="00D6259F">
        <w:rPr>
          <w:color w:val="000000" w:themeColor="text1"/>
        </w:rPr>
        <w:t xml:space="preserve"> with a quantified limit on borrowing stated in the financial strategy included in the Council's LTP. </w:t>
      </w:r>
    </w:p>
    <w:p w14:paraId="6F901097" w14:textId="19F742CD" w:rsidR="00CE69F7" w:rsidRPr="00D6259F" w:rsidRDefault="00253358">
      <w:pPr>
        <w:rPr>
          <w:rFonts w:ascii="Cambria" w:hAnsi="Cambria" w:cs="Calibri"/>
          <w:b/>
          <w:bCs/>
          <w:color w:val="000000" w:themeColor="text1"/>
          <w:sz w:val="40"/>
          <w:szCs w:val="40"/>
          <w:lang w:eastAsia="en-NZ"/>
        </w:rPr>
      </w:pPr>
      <w:r w:rsidRPr="00D6259F">
        <w:rPr>
          <w:color w:val="000000" w:themeColor="text1"/>
        </w:rPr>
        <w:t>The quantified limit is net borrowings, comprised of borrowings less cash and cash equivalents, being less than or equal to 225 percent of revenue. For this measure, revenue is defined as total revenue less vested assets and development contribution revenue.</w:t>
      </w:r>
      <w:r w:rsidR="00CE69F7" w:rsidRPr="00D6259F">
        <w:rPr>
          <w:color w:val="000000" w:themeColor="text1"/>
        </w:rPr>
        <w:br w:type="page"/>
      </w:r>
    </w:p>
    <w:p w14:paraId="04D96167" w14:textId="00A4A4C4" w:rsidR="00D422B1" w:rsidRPr="00D6259F" w:rsidRDefault="00D422B1" w:rsidP="0065451D">
      <w:pPr>
        <w:pStyle w:val="Heading3"/>
      </w:pPr>
      <w:bookmarkStart w:id="268" w:name="_Toc121217217"/>
      <w:bookmarkStart w:id="269" w:name="_Hlk144884890"/>
      <w:r w:rsidRPr="00D6259F">
        <w:lastRenderedPageBreak/>
        <w:t>Net interest as a percentage of revenue</w:t>
      </w:r>
      <w:bookmarkEnd w:id="268"/>
    </w:p>
    <w:p w14:paraId="5B93EC11" w14:textId="77777777" w:rsidR="00363729" w:rsidRPr="00D6259F" w:rsidRDefault="00363729" w:rsidP="0065451D">
      <w:pPr>
        <w:rPr>
          <w:color w:val="000000" w:themeColor="text1"/>
        </w:rPr>
      </w:pPr>
    </w:p>
    <w:bookmarkEnd w:id="269"/>
    <w:p w14:paraId="4AC0B13E" w14:textId="3E45EC05" w:rsidR="00D422B1" w:rsidRPr="00D6259F" w:rsidRDefault="00031C22" w:rsidP="0065451D">
      <w:pPr>
        <w:rPr>
          <w:color w:val="000000" w:themeColor="text1"/>
        </w:rPr>
      </w:pPr>
      <w:r w:rsidRPr="00D6259F">
        <w:rPr>
          <w:noProof/>
          <w:color w:val="000000" w:themeColor="text1"/>
        </w:rPr>
        <w:drawing>
          <wp:inline distT="0" distB="0" distL="0" distR="0" wp14:anchorId="1B7C5E0D" wp14:editId="0D30D139">
            <wp:extent cx="6448425" cy="3562537"/>
            <wp:effectExtent l="0" t="0" r="9525" b="0"/>
            <wp:docPr id="247527432" name="Chart 1">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p w14:paraId="5D5C824B" w14:textId="77777777" w:rsidR="00287A40" w:rsidRPr="00D6259F" w:rsidRDefault="00287A40" w:rsidP="0065451D">
      <w:pPr>
        <w:pStyle w:val="Heading4"/>
        <w:rPr>
          <w:b w:val="0"/>
          <w:bCs w:val="0"/>
          <w:i w:val="0"/>
          <w:iCs w:val="0"/>
        </w:rPr>
      </w:pPr>
    </w:p>
    <w:p w14:paraId="5E421640" w14:textId="77777777" w:rsidR="003E0DA6" w:rsidRPr="00D6259F" w:rsidRDefault="00333BA6" w:rsidP="00333BA6">
      <w:pPr>
        <w:rPr>
          <w:color w:val="000000" w:themeColor="text1"/>
        </w:rPr>
      </w:pPr>
      <w:r w:rsidRPr="00D6259F">
        <w:rPr>
          <w:color w:val="000000" w:themeColor="text1"/>
        </w:rPr>
        <w:t xml:space="preserve">The above graph compares the Council's actual </w:t>
      </w:r>
      <w:r w:rsidR="006F57D0" w:rsidRPr="00D6259F">
        <w:rPr>
          <w:color w:val="000000" w:themeColor="text1"/>
        </w:rPr>
        <w:t>net interest expense as a proportion of revenue</w:t>
      </w:r>
      <w:r w:rsidRPr="00D6259F">
        <w:rPr>
          <w:color w:val="000000" w:themeColor="text1"/>
        </w:rPr>
        <w:t xml:space="preserve"> with a quantified limit </w:t>
      </w:r>
      <w:r w:rsidR="008A1CF3" w:rsidRPr="00D6259F">
        <w:rPr>
          <w:color w:val="000000" w:themeColor="text1"/>
        </w:rPr>
        <w:t xml:space="preserve">on net interest </w:t>
      </w:r>
      <w:r w:rsidRPr="00D6259F">
        <w:rPr>
          <w:color w:val="000000" w:themeColor="text1"/>
        </w:rPr>
        <w:t xml:space="preserve">stated in the financial strategy included in the Council's LTP. </w:t>
      </w:r>
    </w:p>
    <w:p w14:paraId="2C9D160E" w14:textId="443C742F" w:rsidR="00333BA6" w:rsidRPr="00D6259F" w:rsidRDefault="00333BA6" w:rsidP="00333BA6">
      <w:pPr>
        <w:rPr>
          <w:color w:val="000000" w:themeColor="text1"/>
        </w:rPr>
      </w:pPr>
      <w:r w:rsidRPr="00D6259F">
        <w:rPr>
          <w:color w:val="000000" w:themeColor="text1"/>
        </w:rPr>
        <w:t xml:space="preserve">The quantified limit is net interest, defined as interest expense less interest revenue, being less than or equal to 15 percent of revenue. For this measure revenue is defined as total revenue less vested assets and development contribution revenue. </w:t>
      </w:r>
    </w:p>
    <w:p w14:paraId="4473E175" w14:textId="77777777" w:rsidR="00333BA6" w:rsidRPr="00D6259F" w:rsidRDefault="00333BA6" w:rsidP="00333BA6">
      <w:pPr>
        <w:rPr>
          <w:color w:val="000000" w:themeColor="text1"/>
          <w:lang w:eastAsia="en-NZ"/>
        </w:rPr>
      </w:pPr>
    </w:p>
    <w:p w14:paraId="40FF713B" w14:textId="77777777" w:rsidR="00CE69F7" w:rsidRPr="00D6259F" w:rsidRDefault="00CE69F7">
      <w:pPr>
        <w:rPr>
          <w:rFonts w:ascii="Cambria" w:hAnsi="Cambria" w:cs="Calibri"/>
          <w:b/>
          <w:bCs/>
          <w:color w:val="000000" w:themeColor="text1"/>
          <w:sz w:val="40"/>
          <w:szCs w:val="40"/>
          <w:lang w:eastAsia="en-NZ"/>
        </w:rPr>
      </w:pPr>
      <w:r w:rsidRPr="00D6259F">
        <w:rPr>
          <w:color w:val="000000" w:themeColor="text1"/>
        </w:rPr>
        <w:br w:type="page"/>
      </w:r>
    </w:p>
    <w:p w14:paraId="22A7B32F" w14:textId="77777777" w:rsidR="00D422B1" w:rsidRPr="00D6259F" w:rsidRDefault="00D422B1" w:rsidP="00CE69F7">
      <w:pPr>
        <w:pStyle w:val="Heading3"/>
      </w:pPr>
      <w:bookmarkStart w:id="270" w:name="_Toc121217218"/>
      <w:bookmarkStart w:id="271" w:name="_Hlk144884985"/>
      <w:r w:rsidRPr="00D6259F">
        <w:lastRenderedPageBreak/>
        <w:t>Net interest as a percentage of annual rates revenue</w:t>
      </w:r>
      <w:bookmarkEnd w:id="270"/>
    </w:p>
    <w:p w14:paraId="1367E9C8" w14:textId="77777777" w:rsidR="00363729" w:rsidRPr="00D6259F" w:rsidRDefault="00363729" w:rsidP="0065451D">
      <w:pPr>
        <w:rPr>
          <w:color w:val="000000" w:themeColor="text1"/>
        </w:rPr>
      </w:pPr>
    </w:p>
    <w:bookmarkEnd w:id="271"/>
    <w:p w14:paraId="76876803" w14:textId="25362F1F" w:rsidR="001424F3" w:rsidRPr="00D6259F" w:rsidRDefault="00A67528" w:rsidP="0065451D">
      <w:pPr>
        <w:rPr>
          <w:color w:val="000000" w:themeColor="text1"/>
        </w:rPr>
      </w:pPr>
      <w:r w:rsidRPr="00D6259F">
        <w:rPr>
          <w:noProof/>
          <w:color w:val="000000" w:themeColor="text1"/>
        </w:rPr>
        <w:drawing>
          <wp:inline distT="0" distB="0" distL="0" distR="0" wp14:anchorId="2ABA76AE" wp14:editId="4E67B073">
            <wp:extent cx="6410325" cy="3389218"/>
            <wp:effectExtent l="0" t="0" r="9525" b="1905"/>
            <wp:docPr id="1818988665" name="Chart 1">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14:paraId="524CBF2D" w14:textId="77777777" w:rsidR="00333BA6" w:rsidRPr="00D6259F" w:rsidRDefault="00333BA6" w:rsidP="00753560">
      <w:pPr>
        <w:rPr>
          <w:color w:val="000000" w:themeColor="text1"/>
        </w:rPr>
      </w:pPr>
    </w:p>
    <w:p w14:paraId="7DCDEF23" w14:textId="77777777" w:rsidR="003E0DA6" w:rsidRPr="00D6259F" w:rsidRDefault="00333BA6" w:rsidP="00333BA6">
      <w:pPr>
        <w:rPr>
          <w:color w:val="000000" w:themeColor="text1"/>
        </w:rPr>
      </w:pPr>
      <w:r w:rsidRPr="00D6259F">
        <w:rPr>
          <w:color w:val="000000" w:themeColor="text1"/>
        </w:rPr>
        <w:t xml:space="preserve">The above graph compares the Council's actual </w:t>
      </w:r>
      <w:r w:rsidR="008A1CF3" w:rsidRPr="00D6259F">
        <w:rPr>
          <w:color w:val="000000" w:themeColor="text1"/>
        </w:rPr>
        <w:t>net interest expense as a proportion of annual rates revenue</w:t>
      </w:r>
      <w:r w:rsidRPr="00D6259F">
        <w:rPr>
          <w:color w:val="000000" w:themeColor="text1"/>
        </w:rPr>
        <w:t xml:space="preserve"> with a quantified limit on </w:t>
      </w:r>
      <w:r w:rsidR="008A1CF3" w:rsidRPr="00D6259F">
        <w:rPr>
          <w:color w:val="000000" w:themeColor="text1"/>
        </w:rPr>
        <w:t>net interest</w:t>
      </w:r>
      <w:r w:rsidRPr="00D6259F">
        <w:rPr>
          <w:color w:val="000000" w:themeColor="text1"/>
        </w:rPr>
        <w:t xml:space="preserve"> stated in the financial strategy included in the Council's LTP. </w:t>
      </w:r>
    </w:p>
    <w:p w14:paraId="654EFBC9" w14:textId="285C73A9" w:rsidR="00333BA6" w:rsidRPr="00D6259F" w:rsidRDefault="00333BA6" w:rsidP="00333BA6">
      <w:pPr>
        <w:rPr>
          <w:color w:val="000000" w:themeColor="text1"/>
        </w:rPr>
      </w:pPr>
      <w:r w:rsidRPr="00D6259F">
        <w:rPr>
          <w:color w:val="000000" w:themeColor="text1"/>
        </w:rPr>
        <w:t xml:space="preserve">The quantified limit is net interest, defined as interest expense less interest revenue, being less than or equal to 20 percent of annual rates revenue. </w:t>
      </w:r>
    </w:p>
    <w:p w14:paraId="43AE44F5" w14:textId="0DE2D687" w:rsidR="00753560" w:rsidRPr="00D6259F" w:rsidRDefault="00753560" w:rsidP="00753560">
      <w:pPr>
        <w:rPr>
          <w:color w:val="000000" w:themeColor="text1"/>
        </w:rPr>
      </w:pPr>
      <w:r w:rsidRPr="00D6259F">
        <w:rPr>
          <w:color w:val="000000" w:themeColor="text1"/>
        </w:rPr>
        <w:br w:type="page"/>
      </w:r>
    </w:p>
    <w:p w14:paraId="0F984D3D" w14:textId="77777777" w:rsidR="00D422B1" w:rsidRPr="00D6259F" w:rsidRDefault="00AF1147" w:rsidP="0065451D">
      <w:pPr>
        <w:pStyle w:val="Heading3"/>
      </w:pPr>
      <w:bookmarkStart w:id="272" w:name="_Toc121217219"/>
      <w:bookmarkStart w:id="273" w:name="_Hlk144885010"/>
      <w:r w:rsidRPr="00D6259F">
        <w:lastRenderedPageBreak/>
        <w:t>L</w:t>
      </w:r>
      <w:r w:rsidR="00D422B1" w:rsidRPr="00D6259F">
        <w:t>iquidity (term borrowing + committed loan facilities to existing external net debt)</w:t>
      </w:r>
      <w:bookmarkEnd w:id="272"/>
    </w:p>
    <w:p w14:paraId="3C9A67E4" w14:textId="77777777" w:rsidR="00C45943" w:rsidRPr="00D6259F" w:rsidRDefault="00C45943" w:rsidP="00753560">
      <w:pPr>
        <w:rPr>
          <w:color w:val="000000" w:themeColor="text1"/>
        </w:rPr>
      </w:pPr>
    </w:p>
    <w:p w14:paraId="1903E59E" w14:textId="6BC50E4C" w:rsidR="00363729" w:rsidRPr="00D6259F" w:rsidRDefault="00947BE1" w:rsidP="00753560">
      <w:pPr>
        <w:rPr>
          <w:color w:val="000000" w:themeColor="text1"/>
        </w:rPr>
      </w:pPr>
      <w:r w:rsidRPr="00D6259F">
        <w:rPr>
          <w:noProof/>
          <w:color w:val="000000" w:themeColor="text1"/>
        </w:rPr>
        <w:drawing>
          <wp:inline distT="0" distB="0" distL="0" distR="0" wp14:anchorId="01C27D56" wp14:editId="1D4F0C4F">
            <wp:extent cx="6448425" cy="3608293"/>
            <wp:effectExtent l="0" t="0" r="9525" b="11430"/>
            <wp:docPr id="1046865481" name="Chart 1">
              <a:extLst xmlns:a="http://schemas.openxmlformats.org/drawingml/2006/main">
                <a:ext uri="{FF2B5EF4-FFF2-40B4-BE49-F238E27FC236}">
                  <a16:creationId xmlns:a16="http://schemas.microsoft.com/office/drawing/2014/main" id="{00000000-0008-0000-01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bookmarkEnd w:id="273"/>
    <w:p w14:paraId="532C6639" w14:textId="6BA30CF8" w:rsidR="00287A40" w:rsidRPr="00D6259F" w:rsidRDefault="00D422B1" w:rsidP="00753560">
      <w:pPr>
        <w:rPr>
          <w:color w:val="000000" w:themeColor="text1"/>
        </w:rPr>
      </w:pPr>
      <w:r w:rsidRPr="00D6259F">
        <w:rPr>
          <w:color w:val="000000" w:themeColor="text1"/>
        </w:rPr>
        <w:t xml:space="preserve"> </w:t>
      </w:r>
    </w:p>
    <w:p w14:paraId="43E97B91" w14:textId="77777777" w:rsidR="003E0DA6" w:rsidRPr="00D6259F" w:rsidRDefault="00A84D47" w:rsidP="00753560">
      <w:pPr>
        <w:rPr>
          <w:color w:val="000000" w:themeColor="text1"/>
        </w:rPr>
      </w:pPr>
      <w:r w:rsidRPr="00D6259F">
        <w:rPr>
          <w:color w:val="000000" w:themeColor="text1"/>
        </w:rPr>
        <w:t xml:space="preserve">The above graph compares the Council's actual </w:t>
      </w:r>
      <w:r w:rsidR="006F57D0" w:rsidRPr="00D6259F">
        <w:rPr>
          <w:color w:val="000000" w:themeColor="text1"/>
        </w:rPr>
        <w:t>liquidity</w:t>
      </w:r>
      <w:r w:rsidRPr="00D6259F">
        <w:rPr>
          <w:color w:val="000000" w:themeColor="text1"/>
        </w:rPr>
        <w:t xml:space="preserve"> with a quantified limit </w:t>
      </w:r>
      <w:r w:rsidR="008A1CF3" w:rsidRPr="00D6259F">
        <w:rPr>
          <w:color w:val="000000" w:themeColor="text1"/>
        </w:rPr>
        <w:t xml:space="preserve">on liquidity </w:t>
      </w:r>
      <w:r w:rsidRPr="00D6259F">
        <w:rPr>
          <w:color w:val="000000" w:themeColor="text1"/>
        </w:rPr>
        <w:t xml:space="preserve">stated in the financial strategy included in the Council's LTP. </w:t>
      </w:r>
    </w:p>
    <w:p w14:paraId="12107660" w14:textId="77777777" w:rsidR="003E0DA6" w:rsidRPr="00D6259F" w:rsidRDefault="00A84D47" w:rsidP="00753560">
      <w:pPr>
        <w:rPr>
          <w:color w:val="000000" w:themeColor="text1"/>
        </w:rPr>
      </w:pPr>
      <w:r w:rsidRPr="00D6259F">
        <w:rPr>
          <w:color w:val="000000" w:themeColor="text1"/>
        </w:rPr>
        <w:t xml:space="preserve">The Council minimises its liquidity risk by avoiding concentration of debt maturity dates and by maintaining sufficient liquid assets. </w:t>
      </w:r>
    </w:p>
    <w:p w14:paraId="69E32C52" w14:textId="6F3652B9" w:rsidR="00A84D47" w:rsidRPr="00D6259F" w:rsidRDefault="00A84D47" w:rsidP="00753560">
      <w:pPr>
        <w:rPr>
          <w:color w:val="000000" w:themeColor="text1"/>
        </w:rPr>
      </w:pPr>
      <w:r w:rsidRPr="00D6259F">
        <w:rPr>
          <w:color w:val="000000" w:themeColor="text1"/>
        </w:rPr>
        <w:t xml:space="preserve">The quantified limit is liquidity being greater </w:t>
      </w:r>
      <w:r w:rsidR="001C27ED" w:rsidRPr="00D6259F">
        <w:rPr>
          <w:color w:val="000000" w:themeColor="text1"/>
        </w:rPr>
        <w:t xml:space="preserve">than or </w:t>
      </w:r>
      <w:r w:rsidRPr="00D6259F">
        <w:rPr>
          <w:color w:val="000000" w:themeColor="text1"/>
        </w:rPr>
        <w:t xml:space="preserve">equal to </w:t>
      </w:r>
      <w:r w:rsidR="001C27ED" w:rsidRPr="00D6259F">
        <w:rPr>
          <w:color w:val="000000" w:themeColor="text1"/>
        </w:rPr>
        <w:t>1</w:t>
      </w:r>
      <w:r w:rsidRPr="00D6259F">
        <w:rPr>
          <w:color w:val="000000" w:themeColor="text1"/>
        </w:rPr>
        <w:t>15 percent</w:t>
      </w:r>
      <w:r w:rsidR="001C27ED" w:rsidRPr="00D6259F">
        <w:rPr>
          <w:color w:val="000000" w:themeColor="text1"/>
        </w:rPr>
        <w:t xml:space="preserve">. </w:t>
      </w:r>
      <w:r w:rsidRPr="00D6259F">
        <w:rPr>
          <w:color w:val="000000" w:themeColor="text1"/>
        </w:rPr>
        <w:t xml:space="preserve">For debt affordability, liquidity is </w:t>
      </w:r>
      <w:r w:rsidR="002201B1" w:rsidRPr="00D6259F">
        <w:rPr>
          <w:color w:val="000000" w:themeColor="text1"/>
        </w:rPr>
        <w:t xml:space="preserve">defined as term borrowing plus committed loan facilities as a percentage of existing net debt. </w:t>
      </w:r>
      <w:r w:rsidR="00D27A07" w:rsidRPr="00D6259F">
        <w:rPr>
          <w:color w:val="000000" w:themeColor="text1"/>
        </w:rPr>
        <w:t>Existing net debt is d</w:t>
      </w:r>
      <w:r w:rsidRPr="00D6259F">
        <w:rPr>
          <w:color w:val="000000" w:themeColor="text1"/>
        </w:rPr>
        <w:t>efined as borrowings less cash and cash equivalents.</w:t>
      </w:r>
    </w:p>
    <w:p w14:paraId="695A6A87" w14:textId="77777777" w:rsidR="00753560" w:rsidRPr="00D6259F" w:rsidRDefault="00753560">
      <w:pPr>
        <w:rPr>
          <w:rFonts w:ascii="Cambria" w:eastAsiaTheme="majorEastAsia" w:hAnsi="Cambria"/>
          <w:b/>
          <w:bCs/>
          <w:color w:val="000000" w:themeColor="text1"/>
          <w:sz w:val="48"/>
          <w:szCs w:val="40"/>
        </w:rPr>
      </w:pPr>
      <w:r w:rsidRPr="00D6259F">
        <w:rPr>
          <w:color w:val="000000" w:themeColor="text1"/>
        </w:rPr>
        <w:br w:type="page"/>
      </w:r>
    </w:p>
    <w:p w14:paraId="4CB5A45E" w14:textId="77777777" w:rsidR="00D422B1" w:rsidRPr="00D6259F" w:rsidRDefault="00D422B1" w:rsidP="00F9703F">
      <w:pPr>
        <w:pStyle w:val="Heading3"/>
      </w:pPr>
      <w:bookmarkStart w:id="274" w:name="_Toc121217220"/>
      <w:r w:rsidRPr="00D6259F">
        <w:lastRenderedPageBreak/>
        <w:t>Balanced budget benchmark</w:t>
      </w:r>
      <w:bookmarkEnd w:id="274"/>
    </w:p>
    <w:p w14:paraId="76A3B97E" w14:textId="23821E34" w:rsidR="00AF5FF8" w:rsidRPr="00D6259F" w:rsidRDefault="00AF5FF8" w:rsidP="0065451D">
      <w:pPr>
        <w:rPr>
          <w:strike/>
          <w:color w:val="000000" w:themeColor="text1"/>
        </w:rPr>
      </w:pPr>
      <w:r w:rsidRPr="00D6259F">
        <w:rPr>
          <w:color w:val="000000" w:themeColor="text1"/>
        </w:rPr>
        <w:t xml:space="preserve"> </w:t>
      </w:r>
      <w:r w:rsidR="008B3AC5" w:rsidRPr="00D6259F">
        <w:rPr>
          <w:noProof/>
          <w:color w:val="000000" w:themeColor="text1"/>
        </w:rPr>
        <w:drawing>
          <wp:inline distT="0" distB="0" distL="0" distR="0" wp14:anchorId="51CD821D" wp14:editId="5405687A">
            <wp:extent cx="6448425" cy="3590925"/>
            <wp:effectExtent l="0" t="0" r="9525" b="9525"/>
            <wp:docPr id="51328352" name="Chart 1">
              <a:extLst xmlns:a="http://schemas.openxmlformats.org/drawingml/2006/main">
                <a:ext uri="{FF2B5EF4-FFF2-40B4-BE49-F238E27FC236}">
                  <a16:creationId xmlns:a16="http://schemas.microsoft.com/office/drawing/2014/main" id="{00000000-0008-0000-01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14:paraId="6111E454" w14:textId="77777777" w:rsidR="00D27A07" w:rsidRPr="00D6259F" w:rsidRDefault="00D27A07" w:rsidP="00D27A07">
      <w:pPr>
        <w:rPr>
          <w:color w:val="000000" w:themeColor="text1"/>
        </w:rPr>
      </w:pPr>
    </w:p>
    <w:p w14:paraId="28C283E2" w14:textId="3D2CDB5D" w:rsidR="00D27A07" w:rsidRPr="00D6259F" w:rsidRDefault="00D27A07" w:rsidP="00D27A07">
      <w:pPr>
        <w:rPr>
          <w:color w:val="000000" w:themeColor="text1"/>
        </w:rPr>
      </w:pPr>
      <w:r w:rsidRPr="00D6259F">
        <w:rPr>
          <w:color w:val="000000" w:themeColor="text1"/>
        </w:rPr>
        <w:t xml:space="preserve">The </w:t>
      </w:r>
      <w:r w:rsidR="00301E93" w:rsidRPr="00D6259F">
        <w:rPr>
          <w:color w:val="000000" w:themeColor="text1"/>
        </w:rPr>
        <w:t xml:space="preserve">above </w:t>
      </w:r>
      <w:r w:rsidRPr="00D6259F">
        <w:rPr>
          <w:color w:val="000000" w:themeColor="text1"/>
        </w:rPr>
        <w:t>graph displays the Council's revenue (excluding development contributions, financial contributions, vested assets, gains on derivative financial instruments, and revaluations of property, plant, or equipment) as a proportion of operating expenses (excluding losses on derivative financial instruments and revaluations of property, plant, or equipment).</w:t>
      </w:r>
    </w:p>
    <w:p w14:paraId="494A3F48" w14:textId="77777777" w:rsidR="00D27A07" w:rsidRPr="00D6259F" w:rsidRDefault="00D27A07" w:rsidP="00D27A07">
      <w:pPr>
        <w:rPr>
          <w:color w:val="000000" w:themeColor="text1"/>
        </w:rPr>
      </w:pPr>
      <w:r w:rsidRPr="00D6259F">
        <w:rPr>
          <w:color w:val="000000" w:themeColor="text1"/>
        </w:rPr>
        <w:t xml:space="preserve">The Council meets this benchmark if its revenue equals or is greater than its operating expenses. </w:t>
      </w:r>
    </w:p>
    <w:p w14:paraId="7E33E154" w14:textId="0B6EF3E2" w:rsidR="007E5D9C" w:rsidRPr="00D6259F" w:rsidRDefault="00D27A07" w:rsidP="00D27A07">
      <w:pPr>
        <w:rPr>
          <w:color w:val="000000" w:themeColor="text1"/>
        </w:rPr>
      </w:pPr>
      <w:r w:rsidRPr="00D6259F">
        <w:rPr>
          <w:color w:val="000000" w:themeColor="text1"/>
        </w:rPr>
        <w:t>For 202</w:t>
      </w:r>
      <w:r w:rsidR="00316141" w:rsidRPr="00D6259F">
        <w:rPr>
          <w:color w:val="000000" w:themeColor="text1"/>
        </w:rPr>
        <w:t>2/2</w:t>
      </w:r>
      <w:r w:rsidRPr="00D6259F">
        <w:rPr>
          <w:color w:val="000000" w:themeColor="text1"/>
        </w:rPr>
        <w:t>3</w:t>
      </w:r>
      <w:r w:rsidR="00316141" w:rsidRPr="00D6259F">
        <w:rPr>
          <w:color w:val="000000" w:themeColor="text1"/>
        </w:rPr>
        <w:t xml:space="preserve"> and 2023/24</w:t>
      </w:r>
      <w:r w:rsidRPr="00D6259F">
        <w:rPr>
          <w:color w:val="000000" w:themeColor="text1"/>
        </w:rPr>
        <w:t xml:space="preserve">, the deficit </w:t>
      </w:r>
      <w:r w:rsidR="00316141" w:rsidRPr="00D6259F">
        <w:rPr>
          <w:color w:val="000000" w:themeColor="text1"/>
        </w:rPr>
        <w:t xml:space="preserve">is largely </w:t>
      </w:r>
      <w:r w:rsidRPr="00D6259F">
        <w:rPr>
          <w:color w:val="000000" w:themeColor="text1"/>
        </w:rPr>
        <w:t>due to the change in approach of funding “three waters” depreciation from rates to debt funding of this operational expenditure to an amount equal to the difference between depreciation and capital expenditure renewals. This change in approach ar</w:t>
      </w:r>
      <w:r w:rsidR="00FB116F" w:rsidRPr="00D6259F">
        <w:rPr>
          <w:color w:val="000000" w:themeColor="text1"/>
        </w:rPr>
        <w:t xml:space="preserve">ose </w:t>
      </w:r>
      <w:r w:rsidRPr="00D6259F">
        <w:rPr>
          <w:color w:val="000000" w:themeColor="text1"/>
        </w:rPr>
        <w:t xml:space="preserve">from the revaluation of water assets which increased significantly in value </w:t>
      </w:r>
      <w:r w:rsidR="00FB116F" w:rsidRPr="00D6259F">
        <w:rPr>
          <w:color w:val="000000" w:themeColor="text1"/>
        </w:rPr>
        <w:t xml:space="preserve">resulting in increased </w:t>
      </w:r>
      <w:r w:rsidRPr="00D6259F">
        <w:rPr>
          <w:color w:val="000000" w:themeColor="text1"/>
        </w:rPr>
        <w:t>depreciation expense. This change was included in and approved as part of the 202</w:t>
      </w:r>
      <w:r w:rsidR="00FB116F" w:rsidRPr="00D6259F">
        <w:rPr>
          <w:color w:val="000000" w:themeColor="text1"/>
        </w:rPr>
        <w:t>2</w:t>
      </w:r>
      <w:r w:rsidRPr="00D6259F">
        <w:rPr>
          <w:color w:val="000000" w:themeColor="text1"/>
        </w:rPr>
        <w:t>/2</w:t>
      </w:r>
      <w:r w:rsidR="00FB116F" w:rsidRPr="00D6259F">
        <w:rPr>
          <w:color w:val="000000" w:themeColor="text1"/>
        </w:rPr>
        <w:t>3</w:t>
      </w:r>
      <w:r w:rsidR="009D6EBC" w:rsidRPr="00D6259F">
        <w:rPr>
          <w:color w:val="000000" w:themeColor="text1"/>
        </w:rPr>
        <w:t xml:space="preserve"> and 2023/24</w:t>
      </w:r>
      <w:r w:rsidRPr="00D6259F">
        <w:rPr>
          <w:color w:val="000000" w:themeColor="text1"/>
        </w:rPr>
        <w:t xml:space="preserve"> </w:t>
      </w:r>
      <w:r w:rsidR="00F260C1" w:rsidRPr="00D6259F">
        <w:rPr>
          <w:color w:val="000000" w:themeColor="text1"/>
        </w:rPr>
        <w:t>AP</w:t>
      </w:r>
      <w:r w:rsidRPr="00D6259F">
        <w:rPr>
          <w:color w:val="000000" w:themeColor="text1"/>
        </w:rPr>
        <w:t xml:space="preserve">. </w:t>
      </w:r>
      <w:r w:rsidR="007E5D9C" w:rsidRPr="00D6259F">
        <w:rPr>
          <w:color w:val="000000" w:themeColor="text1"/>
        </w:rPr>
        <w:t xml:space="preserve"> </w:t>
      </w:r>
    </w:p>
    <w:p w14:paraId="02101149" w14:textId="77777777" w:rsidR="00753560" w:rsidRPr="00D6259F" w:rsidRDefault="00753560">
      <w:pPr>
        <w:rPr>
          <w:rFonts w:ascii="Cambria" w:eastAsiaTheme="majorEastAsia" w:hAnsi="Cambria"/>
          <w:b/>
          <w:bCs/>
          <w:color w:val="000000" w:themeColor="text1"/>
          <w:sz w:val="48"/>
          <w:szCs w:val="40"/>
        </w:rPr>
      </w:pPr>
      <w:r w:rsidRPr="00D6259F">
        <w:rPr>
          <w:color w:val="000000" w:themeColor="text1"/>
        </w:rPr>
        <w:br w:type="page"/>
      </w:r>
    </w:p>
    <w:p w14:paraId="3D73D065" w14:textId="77777777" w:rsidR="00D422B1" w:rsidRPr="00D6259F" w:rsidRDefault="00D422B1" w:rsidP="00F9703F">
      <w:pPr>
        <w:pStyle w:val="Heading3"/>
      </w:pPr>
      <w:bookmarkStart w:id="275" w:name="_Toc121217221"/>
      <w:bookmarkStart w:id="276" w:name="_Hlk144885170"/>
      <w:r w:rsidRPr="00D6259F">
        <w:lastRenderedPageBreak/>
        <w:t>Essential services benchmark</w:t>
      </w:r>
      <w:bookmarkEnd w:id="275"/>
    </w:p>
    <w:p w14:paraId="06316238" w14:textId="77777777" w:rsidR="00363729" w:rsidRPr="00D6259F" w:rsidRDefault="00363729" w:rsidP="0065451D">
      <w:pPr>
        <w:rPr>
          <w:color w:val="000000" w:themeColor="text1"/>
        </w:rPr>
      </w:pPr>
    </w:p>
    <w:bookmarkEnd w:id="276"/>
    <w:p w14:paraId="23F47F42" w14:textId="46D1FA2C" w:rsidR="00D422B1" w:rsidRPr="00D6259F" w:rsidRDefault="008B3AC5" w:rsidP="0065451D">
      <w:pPr>
        <w:rPr>
          <w:noProof/>
          <w:color w:val="000000" w:themeColor="text1"/>
          <w:lang w:eastAsia="en-NZ"/>
        </w:rPr>
      </w:pPr>
      <w:r w:rsidRPr="00D6259F">
        <w:rPr>
          <w:noProof/>
          <w:color w:val="000000" w:themeColor="text1"/>
        </w:rPr>
        <w:drawing>
          <wp:inline distT="0" distB="0" distL="0" distR="0" wp14:anchorId="00773DD5" wp14:editId="798BD1AB">
            <wp:extent cx="6448425" cy="3590925"/>
            <wp:effectExtent l="0" t="0" r="9525" b="9525"/>
            <wp:docPr id="916273357" name="Chart 1">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14:paraId="2B054A4A" w14:textId="77777777" w:rsidR="00D27A07" w:rsidRPr="00D6259F" w:rsidRDefault="00D27A07" w:rsidP="00D27A07">
      <w:pPr>
        <w:rPr>
          <w:color w:val="000000" w:themeColor="text1"/>
        </w:rPr>
      </w:pPr>
    </w:p>
    <w:p w14:paraId="71A5AD06" w14:textId="0A89F5FE" w:rsidR="00D27A07" w:rsidRPr="00D6259F" w:rsidRDefault="00D27A07" w:rsidP="00D27A07">
      <w:pPr>
        <w:rPr>
          <w:color w:val="000000" w:themeColor="text1"/>
        </w:rPr>
      </w:pPr>
      <w:r w:rsidRPr="00D6259F">
        <w:rPr>
          <w:color w:val="000000" w:themeColor="text1"/>
        </w:rPr>
        <w:t>The above graph displays the Council's capital expenditure on network services as a proportion of depreciation on network services.</w:t>
      </w:r>
    </w:p>
    <w:p w14:paraId="7BEBC6A6" w14:textId="77777777" w:rsidR="00D27A07" w:rsidRPr="00D6259F" w:rsidRDefault="00D27A07" w:rsidP="00D27A07">
      <w:pPr>
        <w:rPr>
          <w:color w:val="000000" w:themeColor="text1"/>
        </w:rPr>
      </w:pPr>
      <w:r w:rsidRPr="00D6259F">
        <w:rPr>
          <w:color w:val="000000" w:themeColor="text1"/>
        </w:rPr>
        <w:t>The Council meets this benchmark if its capital expenditure on network services equals or is greater than depreciation on network services.</w:t>
      </w:r>
    </w:p>
    <w:p w14:paraId="75C2C95C" w14:textId="77777777" w:rsidR="00753560" w:rsidRPr="00D6259F" w:rsidRDefault="00753560">
      <w:pPr>
        <w:rPr>
          <w:rFonts w:ascii="Cambria" w:eastAsiaTheme="majorEastAsia" w:hAnsi="Cambria"/>
          <w:b/>
          <w:bCs/>
          <w:color w:val="000000" w:themeColor="text1"/>
          <w:sz w:val="48"/>
          <w:szCs w:val="40"/>
        </w:rPr>
      </w:pPr>
      <w:r w:rsidRPr="00D6259F">
        <w:rPr>
          <w:color w:val="000000" w:themeColor="text1"/>
        </w:rPr>
        <w:br w:type="page"/>
      </w:r>
    </w:p>
    <w:p w14:paraId="4CB3CC14" w14:textId="77777777" w:rsidR="00D422B1" w:rsidRPr="00D6259F" w:rsidRDefault="00D422B1" w:rsidP="00F9703F">
      <w:pPr>
        <w:pStyle w:val="Heading3"/>
      </w:pPr>
      <w:bookmarkStart w:id="277" w:name="_Toc121217222"/>
      <w:bookmarkStart w:id="278" w:name="_Hlk144885207"/>
      <w:r w:rsidRPr="00D6259F">
        <w:lastRenderedPageBreak/>
        <w:t>Debt servicing benchmark</w:t>
      </w:r>
      <w:bookmarkEnd w:id="277"/>
    </w:p>
    <w:p w14:paraId="6BD92AD1" w14:textId="77777777" w:rsidR="009243EC" w:rsidRPr="00D6259F" w:rsidRDefault="009243EC" w:rsidP="0065451D">
      <w:pPr>
        <w:rPr>
          <w:color w:val="000000" w:themeColor="text1"/>
        </w:rPr>
      </w:pPr>
    </w:p>
    <w:bookmarkEnd w:id="278"/>
    <w:p w14:paraId="1B2107B9" w14:textId="4D7EF016" w:rsidR="00D422B1" w:rsidRPr="00D6259F" w:rsidRDefault="00D422B1" w:rsidP="0065451D">
      <w:pPr>
        <w:rPr>
          <w:color w:val="000000" w:themeColor="text1"/>
        </w:rPr>
      </w:pPr>
    </w:p>
    <w:p w14:paraId="09E449D4" w14:textId="61A9E12C" w:rsidR="00D27A07" w:rsidRPr="00D6259F" w:rsidRDefault="00A46C0D">
      <w:pPr>
        <w:rPr>
          <w:color w:val="000000" w:themeColor="text1"/>
        </w:rPr>
      </w:pPr>
      <w:r w:rsidRPr="00D6259F">
        <w:rPr>
          <w:noProof/>
          <w:color w:val="000000" w:themeColor="text1"/>
        </w:rPr>
        <w:drawing>
          <wp:inline distT="0" distB="0" distL="0" distR="0" wp14:anchorId="4D3040F5" wp14:editId="4F38C707">
            <wp:extent cx="6453188" cy="3600450"/>
            <wp:effectExtent l="0" t="0" r="0" b="0"/>
            <wp:docPr id="642619636" name="Chart 1">
              <a:extLst xmlns:a="http://schemas.openxmlformats.org/drawingml/2006/main">
                <a:ext uri="{FF2B5EF4-FFF2-40B4-BE49-F238E27FC236}">
                  <a16:creationId xmlns:a16="http://schemas.microsoft.com/office/drawing/2014/main" id="{00000000-0008-0000-01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p w14:paraId="15F0EFEF" w14:textId="3C494497" w:rsidR="00D27A07" w:rsidRPr="00D6259F" w:rsidRDefault="00D27A07" w:rsidP="00D27A07">
      <w:pPr>
        <w:rPr>
          <w:color w:val="000000" w:themeColor="text1"/>
        </w:rPr>
      </w:pPr>
      <w:r w:rsidRPr="00D6259F">
        <w:rPr>
          <w:color w:val="000000" w:themeColor="text1"/>
        </w:rPr>
        <w:t>The above graph displays the Council's borrowing costs as a proportion of revenue (excluding development contributions, financial contributions, vested assets, gains on derivative financial instruments, and revaluations of property, plant, or equipment).</w:t>
      </w:r>
    </w:p>
    <w:p w14:paraId="573153DA" w14:textId="77777777" w:rsidR="00D27A07" w:rsidRPr="00D6259F" w:rsidRDefault="00D27A07" w:rsidP="00D27A07">
      <w:pPr>
        <w:rPr>
          <w:color w:val="000000" w:themeColor="text1"/>
        </w:rPr>
      </w:pPr>
      <w:r w:rsidRPr="00D6259F">
        <w:rPr>
          <w:color w:val="000000" w:themeColor="text1"/>
        </w:rPr>
        <w:t xml:space="preserve">Because Statistics New Zealand projects the Council's population will grow as fast as the national population growth rate, it meets the debt servicing benchmark if its borrowing costs equal or are less than 10 percent of its revenue. </w:t>
      </w:r>
    </w:p>
    <w:p w14:paraId="5D32150E" w14:textId="4C8AF4F5" w:rsidR="00753560" w:rsidRPr="00D6259F" w:rsidRDefault="00753560">
      <w:pPr>
        <w:rPr>
          <w:rFonts w:ascii="Cambria" w:eastAsiaTheme="majorEastAsia" w:hAnsi="Cambria"/>
          <w:b/>
          <w:bCs/>
          <w:color w:val="000000" w:themeColor="text1"/>
          <w:sz w:val="48"/>
          <w:szCs w:val="40"/>
        </w:rPr>
      </w:pPr>
      <w:r w:rsidRPr="00D6259F">
        <w:rPr>
          <w:color w:val="000000" w:themeColor="text1"/>
        </w:rPr>
        <w:br w:type="page"/>
      </w:r>
    </w:p>
    <w:p w14:paraId="655E938C" w14:textId="77777777" w:rsidR="00D422B1" w:rsidRPr="00D6259F" w:rsidRDefault="00D422B1" w:rsidP="00F9703F">
      <w:pPr>
        <w:pStyle w:val="Heading3"/>
      </w:pPr>
      <w:bookmarkStart w:id="279" w:name="_Toc121217223"/>
      <w:r w:rsidRPr="00D6259F">
        <w:lastRenderedPageBreak/>
        <w:t>Debt control benchmark</w:t>
      </w:r>
      <w:bookmarkEnd w:id="279"/>
    </w:p>
    <w:p w14:paraId="314E1953" w14:textId="77777777" w:rsidR="009243EC" w:rsidRPr="00D6259F" w:rsidRDefault="009243EC" w:rsidP="00753560">
      <w:pPr>
        <w:rPr>
          <w:color w:val="000000" w:themeColor="text1"/>
        </w:rPr>
      </w:pPr>
      <w:bookmarkStart w:id="280" w:name="_Hlk144885261"/>
    </w:p>
    <w:bookmarkEnd w:id="280"/>
    <w:p w14:paraId="7B2DBAD2" w14:textId="798F03E8" w:rsidR="005F6389" w:rsidRPr="00D6259F" w:rsidRDefault="00B379F6" w:rsidP="00532DF0">
      <w:pPr>
        <w:rPr>
          <w:color w:val="000000" w:themeColor="text1"/>
        </w:rPr>
      </w:pPr>
      <w:r w:rsidRPr="00D6259F">
        <w:rPr>
          <w:noProof/>
          <w:color w:val="000000" w:themeColor="text1"/>
        </w:rPr>
        <w:drawing>
          <wp:inline distT="0" distB="0" distL="0" distR="0" wp14:anchorId="7E95C141" wp14:editId="5223E30F">
            <wp:extent cx="6403601" cy="3548903"/>
            <wp:effectExtent l="0" t="0" r="16510" b="13970"/>
            <wp:docPr id="656515576" name="Chart 1">
              <a:extLst xmlns:a="http://schemas.openxmlformats.org/drawingml/2006/main">
                <a:ext uri="{FF2B5EF4-FFF2-40B4-BE49-F238E27FC236}">
                  <a16:creationId xmlns:a16="http://schemas.microsoft.com/office/drawing/2014/main" id="{00000000-0008-0000-01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p w14:paraId="24650001" w14:textId="27E4152B" w:rsidR="005F6389" w:rsidRPr="00D6259F" w:rsidRDefault="005F6389" w:rsidP="005F6389">
      <w:pPr>
        <w:rPr>
          <w:color w:val="000000" w:themeColor="text1"/>
        </w:rPr>
      </w:pPr>
      <w:r w:rsidRPr="00D6259F">
        <w:rPr>
          <w:color w:val="000000" w:themeColor="text1"/>
        </w:rPr>
        <w:t xml:space="preserve">The above graph displays the Council's actual net debt as a proportion of planned net debt. In this statement, net debt means financial liabilities </w:t>
      </w:r>
      <w:proofErr w:type="gramStart"/>
      <w:r w:rsidRPr="00D6259F">
        <w:rPr>
          <w:color w:val="000000" w:themeColor="text1"/>
        </w:rPr>
        <w:t>less</w:t>
      </w:r>
      <w:proofErr w:type="gramEnd"/>
      <w:r w:rsidRPr="00D6259F">
        <w:rPr>
          <w:color w:val="000000" w:themeColor="text1"/>
        </w:rPr>
        <w:t xml:space="preserve"> financial assets (excluding trade and other receivables).</w:t>
      </w:r>
    </w:p>
    <w:p w14:paraId="51BDE7A0" w14:textId="77777777" w:rsidR="005F6389" w:rsidRPr="00D6259F" w:rsidRDefault="005F6389" w:rsidP="005F6389">
      <w:pPr>
        <w:rPr>
          <w:color w:val="000000" w:themeColor="text1"/>
        </w:rPr>
      </w:pPr>
      <w:r w:rsidRPr="00D6259F">
        <w:rPr>
          <w:color w:val="000000" w:themeColor="text1"/>
        </w:rPr>
        <w:t xml:space="preserve">The Council meets the debt control benchmark if its actual net debt equals or is less than its planned net debt. </w:t>
      </w:r>
    </w:p>
    <w:p w14:paraId="7D6BC6FA" w14:textId="005251FD" w:rsidR="005F6389" w:rsidRPr="00D6259F" w:rsidRDefault="005F6389" w:rsidP="005F6389">
      <w:pPr>
        <w:rPr>
          <w:color w:val="000000" w:themeColor="text1"/>
        </w:rPr>
      </w:pPr>
      <w:r w:rsidRPr="00D6259F">
        <w:rPr>
          <w:color w:val="000000" w:themeColor="text1"/>
        </w:rPr>
        <w:t xml:space="preserve">The calculation of net debt in this benchmark includes derivative (non-cash) financial instruments, predominantly cash flow hedges. The 2019/20 net debt was impacted by the valuation of the Council’s cash flow hedge liabilities being higher than planned </w:t>
      </w:r>
      <w:r w:rsidR="00A35A41" w:rsidRPr="00D6259F">
        <w:rPr>
          <w:color w:val="000000" w:themeColor="text1"/>
        </w:rPr>
        <w:t>because of</w:t>
      </w:r>
      <w:r w:rsidRPr="00D6259F">
        <w:rPr>
          <w:color w:val="000000" w:themeColor="text1"/>
        </w:rPr>
        <w:t xml:space="preserve"> interest rate volatility during th</w:t>
      </w:r>
      <w:r w:rsidR="00A35A41" w:rsidRPr="00D6259F">
        <w:rPr>
          <w:color w:val="000000" w:themeColor="text1"/>
        </w:rPr>
        <w:t>at</w:t>
      </w:r>
      <w:r w:rsidRPr="00D6259F">
        <w:rPr>
          <w:color w:val="000000" w:themeColor="text1"/>
        </w:rPr>
        <w:t xml:space="preserve"> financial year. </w:t>
      </w:r>
    </w:p>
    <w:p w14:paraId="78A3A4E1" w14:textId="6DEEBF4C" w:rsidR="00753560" w:rsidRPr="00D6259F" w:rsidRDefault="00753560" w:rsidP="00532DF0">
      <w:pPr>
        <w:rPr>
          <w:color w:val="000000" w:themeColor="text1"/>
        </w:rPr>
      </w:pPr>
      <w:r w:rsidRPr="00D6259F">
        <w:rPr>
          <w:color w:val="000000" w:themeColor="text1"/>
        </w:rPr>
        <w:br w:type="page"/>
      </w:r>
    </w:p>
    <w:p w14:paraId="38F949B2" w14:textId="77777777" w:rsidR="00D422B1" w:rsidRPr="00D6259F" w:rsidRDefault="00D422B1" w:rsidP="00F9703F">
      <w:pPr>
        <w:pStyle w:val="Heading3"/>
      </w:pPr>
      <w:bookmarkStart w:id="281" w:name="_Toc121217225"/>
      <w:r w:rsidRPr="00D6259F">
        <w:lastRenderedPageBreak/>
        <w:t>Operations control benchmark</w:t>
      </w:r>
      <w:bookmarkEnd w:id="281"/>
    </w:p>
    <w:p w14:paraId="52B166F2" w14:textId="77777777" w:rsidR="009243EC" w:rsidRPr="00D6259F" w:rsidRDefault="009243EC" w:rsidP="00753560">
      <w:pPr>
        <w:rPr>
          <w:color w:val="000000" w:themeColor="text1"/>
        </w:rPr>
      </w:pPr>
      <w:bookmarkStart w:id="282" w:name="_Hlk144885318"/>
    </w:p>
    <w:p w14:paraId="3C7C5896" w14:textId="64570697" w:rsidR="00044228" w:rsidRPr="00D6259F" w:rsidRDefault="00947BE1" w:rsidP="00753560">
      <w:pPr>
        <w:rPr>
          <w:color w:val="000000" w:themeColor="text1"/>
          <w:lang w:eastAsia="en-NZ"/>
        </w:rPr>
      </w:pPr>
      <w:bookmarkStart w:id="283" w:name="_Toc55482690"/>
      <w:bookmarkStart w:id="284" w:name="_Toc61862891"/>
      <w:bookmarkEnd w:id="282"/>
      <w:r w:rsidRPr="00D6259F">
        <w:rPr>
          <w:noProof/>
          <w:color w:val="000000" w:themeColor="text1"/>
        </w:rPr>
        <w:drawing>
          <wp:inline distT="0" distB="0" distL="0" distR="0" wp14:anchorId="79A4C2EB" wp14:editId="40D69912">
            <wp:extent cx="6403602" cy="3537697"/>
            <wp:effectExtent l="0" t="0" r="16510" b="5715"/>
            <wp:docPr id="981012890" name="Chart 1">
              <a:extLst xmlns:a="http://schemas.openxmlformats.org/drawingml/2006/main">
                <a:ext uri="{FF2B5EF4-FFF2-40B4-BE49-F238E27FC236}">
                  <a16:creationId xmlns:a16="http://schemas.microsoft.com/office/drawing/2014/main" id="{00000000-0008-0000-01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14:paraId="095F3F4C" w14:textId="13A5A907" w:rsidR="003923FA" w:rsidRPr="00D6259F" w:rsidRDefault="003923FA" w:rsidP="00753560">
      <w:pPr>
        <w:rPr>
          <w:color w:val="000000" w:themeColor="text1"/>
        </w:rPr>
      </w:pPr>
    </w:p>
    <w:p w14:paraId="6C3DFF5A" w14:textId="60EB029C" w:rsidR="00A35A41" w:rsidRPr="00D6259F" w:rsidRDefault="00A35A41" w:rsidP="00A35A41">
      <w:pPr>
        <w:rPr>
          <w:color w:val="000000" w:themeColor="text1"/>
        </w:rPr>
      </w:pPr>
      <w:r w:rsidRPr="00D6259F">
        <w:rPr>
          <w:color w:val="000000" w:themeColor="text1"/>
        </w:rPr>
        <w:t>The above graph displays the Council's actual net cash flow from operations as a proportion of its planned net cash flow from operations.</w:t>
      </w:r>
    </w:p>
    <w:p w14:paraId="217A115D" w14:textId="77777777" w:rsidR="00A35A41" w:rsidRPr="00D6259F" w:rsidRDefault="00A35A41" w:rsidP="00A35A41">
      <w:pPr>
        <w:rPr>
          <w:color w:val="000000" w:themeColor="text1"/>
        </w:rPr>
      </w:pPr>
      <w:r w:rsidRPr="00D6259F">
        <w:rPr>
          <w:color w:val="000000" w:themeColor="text1"/>
        </w:rPr>
        <w:t>The Council meets the operations control benchmark if its actual net cash flow from operations equals or is greater than its planned net cash flow from operations.</w:t>
      </w:r>
    </w:p>
    <w:p w14:paraId="62F8E564" w14:textId="37C9B180" w:rsidR="00A35A41" w:rsidRPr="00D6259F" w:rsidRDefault="00A35A41" w:rsidP="00A35A41">
      <w:pPr>
        <w:rPr>
          <w:color w:val="000000" w:themeColor="text1"/>
        </w:rPr>
      </w:pPr>
      <w:r w:rsidRPr="00D6259F">
        <w:rPr>
          <w:color w:val="000000" w:themeColor="text1"/>
        </w:rPr>
        <w:t>Several assumptions are made around the timing of events. Any departure from these assumptions can affect the outcome of this measure. The Council is satisfied that it is prudently managing operational cash flow, with variances in the 2019/20</w:t>
      </w:r>
      <w:r w:rsidR="006544F3" w:rsidRPr="00D6259F">
        <w:rPr>
          <w:color w:val="000000" w:themeColor="text1"/>
        </w:rPr>
        <w:t xml:space="preserve">, </w:t>
      </w:r>
      <w:r w:rsidRPr="00D6259F">
        <w:rPr>
          <w:color w:val="000000" w:themeColor="text1"/>
        </w:rPr>
        <w:t>2021/22</w:t>
      </w:r>
      <w:r w:rsidR="003F3B1D" w:rsidRPr="00D6259F">
        <w:rPr>
          <w:color w:val="000000" w:themeColor="text1"/>
        </w:rPr>
        <w:t xml:space="preserve">, </w:t>
      </w:r>
      <w:r w:rsidR="006544F3" w:rsidRPr="00D6259F">
        <w:rPr>
          <w:color w:val="000000" w:themeColor="text1"/>
        </w:rPr>
        <w:t xml:space="preserve">2022/23 </w:t>
      </w:r>
      <w:r w:rsidR="003F3B1D" w:rsidRPr="00D6259F">
        <w:rPr>
          <w:color w:val="000000" w:themeColor="text1"/>
        </w:rPr>
        <w:t xml:space="preserve">and 2023/24 </w:t>
      </w:r>
      <w:r w:rsidRPr="00D6259F">
        <w:rPr>
          <w:color w:val="000000" w:themeColor="text1"/>
        </w:rPr>
        <w:t xml:space="preserve">years explained by the timing difference in the receipt of revenues compared to budget that led to the “not met” outcome for this measure. In 2019/20 and 2021/22 there were also significant revenue losses due to the COVID-19 restrictions which would have impacted this measure. </w:t>
      </w:r>
    </w:p>
    <w:bookmarkEnd w:id="4"/>
    <w:bookmarkEnd w:id="5"/>
    <w:bookmarkEnd w:id="6"/>
    <w:bookmarkEnd w:id="7"/>
    <w:bookmarkEnd w:id="197"/>
    <w:bookmarkEnd w:id="252"/>
    <w:bookmarkEnd w:id="283"/>
    <w:bookmarkEnd w:id="284"/>
    <w:p w14:paraId="2CA57201" w14:textId="77777777" w:rsidR="00A35A41" w:rsidRPr="00D6259F" w:rsidRDefault="00A35A41" w:rsidP="00753560">
      <w:pPr>
        <w:rPr>
          <w:color w:val="000000" w:themeColor="text1"/>
        </w:rPr>
      </w:pPr>
    </w:p>
    <w:sectPr w:rsidR="00A35A41" w:rsidRPr="00D6259F" w:rsidSect="00A92158">
      <w:headerReference w:type="default" r:id="rId243"/>
      <w:footerReference w:type="default" r:id="rId244"/>
      <w:type w:val="nextColumn"/>
      <w:pgSz w:w="11906" w:h="16838"/>
      <w:pgMar w:top="369" w:right="851" w:bottom="567" w:left="851" w:header="709" w:footer="0" w:gutter="0"/>
      <w:pgNumType w:start="1"/>
      <w:cols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6" w:author="Dean Norton" w:date="2024-07-03T11:49:00Z" w:initials="DN">
    <w:p w14:paraId="028B35E8" w14:textId="77777777" w:rsidR="007A7112" w:rsidRDefault="007A7112" w:rsidP="004978E2">
      <w:pPr>
        <w:pStyle w:val="CommentText"/>
      </w:pPr>
      <w:r>
        <w:rPr>
          <w:rStyle w:val="CommentReference"/>
        </w:rPr>
        <w:annotationRef/>
      </w:r>
      <w:r>
        <w:t>Really not sure this is correct - given links to Crown and NZTA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28B35E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2FB93C" w16cex:dateUtc="2024-07-02T23: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28B35E8" w16cid:durableId="2A2FB9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64923" w14:textId="77777777" w:rsidR="007375D5" w:rsidRDefault="007375D5" w:rsidP="00704FA9">
      <w:r>
        <w:separator/>
      </w:r>
    </w:p>
  </w:endnote>
  <w:endnote w:type="continuationSeparator" w:id="0">
    <w:p w14:paraId="5F87414B" w14:textId="77777777" w:rsidR="007375D5" w:rsidRDefault="007375D5" w:rsidP="00704FA9">
      <w:r>
        <w:continuationSeparator/>
      </w:r>
    </w:p>
  </w:endnote>
  <w:endnote w:type="continuationNotice" w:id="1">
    <w:p w14:paraId="65D60EB5" w14:textId="77777777" w:rsidR="007375D5" w:rsidRDefault="007375D5" w:rsidP="00704F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uardian Sans Semibold">
    <w:panose1 w:val="020B0703050503060803"/>
    <w:charset w:val="00"/>
    <w:family w:val="swiss"/>
    <w:notTrueType/>
    <w:pitch w:val="variable"/>
    <w:sig w:usb0="00000087" w:usb1="00000000" w:usb2="00000000" w:usb3="00000000" w:csb0="0000009B"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auto"/>
    <w:pitch w:val="variable"/>
    <w:sig w:usb0="E50002FF" w:usb1="500079DB" w:usb2="00000010" w:usb3="00000000" w:csb0="00000001" w:csb1="00000000"/>
  </w:font>
  <w:font w:name="GuardianTextEgyp">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New York">
    <w:panose1 w:val="02040503060506020304"/>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Guardian TextEgyp">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uardian Egyp Bold">
    <w:panose1 w:val="02060803050503060803"/>
    <w:charset w:val="00"/>
    <w:family w:val="roman"/>
    <w:notTrueType/>
    <w:pitch w:val="variable"/>
    <w:sig w:usb0="00000087" w:usb1="00000000" w:usb2="00000000" w:usb3="00000000" w:csb0="0000009B" w:csb1="00000000"/>
  </w:font>
  <w:font w:name="Guardian TextSans">
    <w:panose1 w:val="02060503050503060803"/>
    <w:charset w:val="00"/>
    <w:family w:val="roma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4855705"/>
      <w:docPartObj>
        <w:docPartGallery w:val="Page Numbers (Bottom of Page)"/>
        <w:docPartUnique/>
      </w:docPartObj>
    </w:sdtPr>
    <w:sdtEndPr>
      <w:rPr>
        <w:noProof/>
      </w:rPr>
    </w:sdtEndPr>
    <w:sdtContent>
      <w:p w14:paraId="4CDA7020" w14:textId="18C4D4A9" w:rsidR="00DD7365" w:rsidRDefault="00DD7365">
        <w:pPr>
          <w:pStyle w:val="Footer"/>
          <w:spacing w:before="240"/>
        </w:pPr>
        <w:r>
          <w:fldChar w:fldCharType="begin"/>
        </w:r>
        <w:r>
          <w:instrText xml:space="preserve"> PAGE   \* MERGEFORMAT </w:instrText>
        </w:r>
        <w:r>
          <w:fldChar w:fldCharType="separate"/>
        </w:r>
        <w:r>
          <w:rPr>
            <w:noProof/>
          </w:rPr>
          <w:t>2</w:t>
        </w:r>
        <w:r>
          <w:rPr>
            <w:noProof/>
          </w:rPr>
          <w:fldChar w:fldCharType="end"/>
        </w:r>
      </w:p>
    </w:sdtContent>
  </w:sdt>
  <w:p w14:paraId="2578D49B" w14:textId="77777777" w:rsidR="00DD7365" w:rsidRDefault="00DD73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5FFB4" w14:textId="77777777" w:rsidR="007375D5" w:rsidRDefault="007375D5" w:rsidP="00704FA9">
      <w:r>
        <w:separator/>
      </w:r>
    </w:p>
  </w:footnote>
  <w:footnote w:type="continuationSeparator" w:id="0">
    <w:p w14:paraId="4F2180E6" w14:textId="77777777" w:rsidR="007375D5" w:rsidRDefault="007375D5" w:rsidP="00704FA9">
      <w:r>
        <w:continuationSeparator/>
      </w:r>
    </w:p>
  </w:footnote>
  <w:footnote w:type="continuationNotice" w:id="1">
    <w:p w14:paraId="5D28AC7C" w14:textId="77777777" w:rsidR="007375D5" w:rsidRDefault="007375D5" w:rsidP="00704F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37105" w14:textId="77777777" w:rsidR="00F03BFE" w:rsidRPr="004B751A" w:rsidRDefault="00F03BFE" w:rsidP="001C6956">
    <w:pPr>
      <w:pStyle w:val="Header"/>
      <w:tabs>
        <w:tab w:val="clear" w:pos="902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FFFFFFF"/>
    <w:lvl w:ilvl="0">
      <w:start w:val="1"/>
      <w:numFmt w:val="bullet"/>
      <w:pStyle w:val="PlaceholderText1"/>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94E08"/>
    <w:multiLevelType w:val="hybridMultilevel"/>
    <w:tmpl w:val="FFFFFFFF"/>
    <w:lvl w:ilvl="0" w:tplc="5F4693DA">
      <w:start w:val="1"/>
      <w:numFmt w:val="bullet"/>
      <w:pStyle w:val="Table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20BD2"/>
    <w:multiLevelType w:val="hybridMultilevel"/>
    <w:tmpl w:val="FFFFFFFF"/>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44A4086"/>
    <w:multiLevelType w:val="hybridMultilevel"/>
    <w:tmpl w:val="FFFFFFFF"/>
    <w:lvl w:ilvl="0" w:tplc="14090001">
      <w:start w:val="1"/>
      <w:numFmt w:val="bullet"/>
      <w:pStyle w:val="ListNumber4"/>
      <w:lvlText w:val=""/>
      <w:lvlJc w:val="left"/>
      <w:pPr>
        <w:ind w:left="644"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F6B1FE4"/>
    <w:multiLevelType w:val="hybridMultilevel"/>
    <w:tmpl w:val="FFFFFFFF"/>
    <w:name w:val="List 1"/>
    <w:lvl w:ilvl="0" w:tplc="55180068">
      <w:start w:val="1"/>
      <w:numFmt w:val="decimal"/>
      <w:lvlText w:val="%1."/>
      <w:lvlJc w:val="left"/>
      <w:pPr>
        <w:ind w:left="1152" w:hanging="360"/>
      </w:pPr>
      <w:rPr>
        <w:rFonts w:cs="Times New Roman"/>
      </w:rPr>
    </w:lvl>
    <w:lvl w:ilvl="1" w:tplc="0A387B42">
      <w:numFmt w:val="decimal"/>
      <w:lvlText w:val=""/>
      <w:lvlJc w:val="left"/>
      <w:rPr>
        <w:rFonts w:cs="Times New Roman"/>
      </w:rPr>
    </w:lvl>
    <w:lvl w:ilvl="2" w:tplc="31469948">
      <w:numFmt w:val="decimal"/>
      <w:lvlText w:val=""/>
      <w:lvlJc w:val="left"/>
      <w:rPr>
        <w:rFonts w:cs="Times New Roman"/>
      </w:rPr>
    </w:lvl>
    <w:lvl w:ilvl="3" w:tplc="0B983F44">
      <w:numFmt w:val="decimal"/>
      <w:lvlText w:val=""/>
      <w:lvlJc w:val="left"/>
      <w:rPr>
        <w:rFonts w:cs="Times New Roman"/>
      </w:rPr>
    </w:lvl>
    <w:lvl w:ilvl="4" w:tplc="6CC43C82">
      <w:numFmt w:val="decimal"/>
      <w:lvlText w:val=""/>
      <w:lvlJc w:val="left"/>
      <w:rPr>
        <w:rFonts w:cs="Times New Roman"/>
      </w:rPr>
    </w:lvl>
    <w:lvl w:ilvl="5" w:tplc="D36A07FE">
      <w:numFmt w:val="decimal"/>
      <w:lvlText w:val=""/>
      <w:lvlJc w:val="left"/>
      <w:rPr>
        <w:rFonts w:cs="Times New Roman"/>
      </w:rPr>
    </w:lvl>
    <w:lvl w:ilvl="6" w:tplc="0A50DDA0">
      <w:numFmt w:val="decimal"/>
      <w:lvlText w:val=""/>
      <w:lvlJc w:val="left"/>
      <w:rPr>
        <w:rFonts w:cs="Times New Roman"/>
      </w:rPr>
    </w:lvl>
    <w:lvl w:ilvl="7" w:tplc="F564A208">
      <w:numFmt w:val="decimal"/>
      <w:lvlText w:val=""/>
      <w:lvlJc w:val="left"/>
      <w:rPr>
        <w:rFonts w:cs="Times New Roman"/>
      </w:rPr>
    </w:lvl>
    <w:lvl w:ilvl="8" w:tplc="86A25ED2">
      <w:numFmt w:val="decimal"/>
      <w:lvlText w:val=""/>
      <w:lvlJc w:val="left"/>
      <w:rPr>
        <w:rFonts w:cs="Times New Roman"/>
      </w:rPr>
    </w:lvl>
  </w:abstractNum>
  <w:abstractNum w:abstractNumId="5" w15:restartNumberingAfterBreak="0">
    <w:nsid w:val="105304AD"/>
    <w:multiLevelType w:val="hybridMultilevel"/>
    <w:tmpl w:val="FFFFFFFF"/>
    <w:lvl w:ilvl="0" w:tplc="14090001">
      <w:start w:val="1"/>
      <w:numFmt w:val="bullet"/>
      <w:pStyle w:val="ListBullet5"/>
      <w:lvlText w:val=""/>
      <w:lvlJc w:val="left"/>
      <w:pPr>
        <w:ind w:left="644"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5F3926"/>
    <w:multiLevelType w:val="hybridMultilevel"/>
    <w:tmpl w:val="FFFFFFFF"/>
    <w:lvl w:ilvl="0" w:tplc="14090001">
      <w:start w:val="1"/>
      <w:numFmt w:val="bullet"/>
      <w:pStyle w:val="ListBullet4"/>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1C31D67"/>
    <w:multiLevelType w:val="hybridMultilevel"/>
    <w:tmpl w:val="FFFFFFFF"/>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21A2BC3"/>
    <w:multiLevelType w:val="hybridMultilevel"/>
    <w:tmpl w:val="302673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2742394"/>
    <w:multiLevelType w:val="hybridMultilevel"/>
    <w:tmpl w:val="FFFFFFFF"/>
    <w:name w:val="List 3"/>
    <w:lvl w:ilvl="0" w:tplc="98A4564C">
      <w:start w:val="1"/>
      <w:numFmt w:val="decimal"/>
      <w:lvlText w:val="%1."/>
      <w:lvlJc w:val="left"/>
      <w:pPr>
        <w:ind w:left="1152" w:hanging="360"/>
      </w:pPr>
      <w:rPr>
        <w:rFonts w:cs="Times New Roman"/>
      </w:rPr>
    </w:lvl>
    <w:lvl w:ilvl="1" w:tplc="3AB471E0">
      <w:numFmt w:val="decimal"/>
      <w:lvlText w:val=""/>
      <w:lvlJc w:val="left"/>
      <w:rPr>
        <w:rFonts w:cs="Times New Roman"/>
      </w:rPr>
    </w:lvl>
    <w:lvl w:ilvl="2" w:tplc="FFA4F6FA">
      <w:numFmt w:val="decimal"/>
      <w:lvlText w:val=""/>
      <w:lvlJc w:val="left"/>
      <w:rPr>
        <w:rFonts w:cs="Times New Roman"/>
      </w:rPr>
    </w:lvl>
    <w:lvl w:ilvl="3" w:tplc="6B04F23C">
      <w:numFmt w:val="decimal"/>
      <w:lvlText w:val=""/>
      <w:lvlJc w:val="left"/>
      <w:rPr>
        <w:rFonts w:cs="Times New Roman"/>
      </w:rPr>
    </w:lvl>
    <w:lvl w:ilvl="4" w:tplc="ABAEBEB0">
      <w:numFmt w:val="decimal"/>
      <w:lvlText w:val=""/>
      <w:lvlJc w:val="left"/>
      <w:rPr>
        <w:rFonts w:cs="Times New Roman"/>
      </w:rPr>
    </w:lvl>
    <w:lvl w:ilvl="5" w:tplc="E390866E">
      <w:numFmt w:val="decimal"/>
      <w:lvlText w:val=""/>
      <w:lvlJc w:val="left"/>
      <w:rPr>
        <w:rFonts w:cs="Times New Roman"/>
      </w:rPr>
    </w:lvl>
    <w:lvl w:ilvl="6" w:tplc="959E61C4">
      <w:numFmt w:val="decimal"/>
      <w:lvlText w:val=""/>
      <w:lvlJc w:val="left"/>
      <w:rPr>
        <w:rFonts w:cs="Times New Roman"/>
      </w:rPr>
    </w:lvl>
    <w:lvl w:ilvl="7" w:tplc="FDCAB724">
      <w:numFmt w:val="decimal"/>
      <w:lvlText w:val=""/>
      <w:lvlJc w:val="left"/>
      <w:rPr>
        <w:rFonts w:cs="Times New Roman"/>
      </w:rPr>
    </w:lvl>
    <w:lvl w:ilvl="8" w:tplc="7EC60FFC">
      <w:numFmt w:val="decimal"/>
      <w:lvlText w:val=""/>
      <w:lvlJc w:val="left"/>
      <w:rPr>
        <w:rFonts w:cs="Times New Roman"/>
      </w:rPr>
    </w:lvl>
  </w:abstractNum>
  <w:abstractNum w:abstractNumId="10" w15:restartNumberingAfterBreak="0">
    <w:nsid w:val="13F9610C"/>
    <w:multiLevelType w:val="hybridMultilevel"/>
    <w:tmpl w:val="C6D2FC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62E0E6B"/>
    <w:multiLevelType w:val="hybridMultilevel"/>
    <w:tmpl w:val="FFFFFFFF"/>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6447302"/>
    <w:multiLevelType w:val="hybridMultilevel"/>
    <w:tmpl w:val="FFFFFFFF"/>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96601FA"/>
    <w:multiLevelType w:val="hybridMultilevel"/>
    <w:tmpl w:val="FFFFFFFF"/>
    <w:name w:val="List 2"/>
    <w:lvl w:ilvl="0" w:tplc="F85444DC">
      <w:start w:val="1"/>
      <w:numFmt w:val="decimal"/>
      <w:lvlText w:val="%1."/>
      <w:lvlJc w:val="left"/>
      <w:pPr>
        <w:ind w:left="1152" w:hanging="360"/>
      </w:pPr>
      <w:rPr>
        <w:rFonts w:cs="Times New Roman"/>
      </w:rPr>
    </w:lvl>
    <w:lvl w:ilvl="1" w:tplc="3350F0DC">
      <w:numFmt w:val="decimal"/>
      <w:lvlText w:val=""/>
      <w:lvlJc w:val="left"/>
      <w:rPr>
        <w:rFonts w:cs="Times New Roman"/>
      </w:rPr>
    </w:lvl>
    <w:lvl w:ilvl="2" w:tplc="C9820CC4">
      <w:numFmt w:val="decimal"/>
      <w:lvlText w:val=""/>
      <w:lvlJc w:val="left"/>
      <w:rPr>
        <w:rFonts w:cs="Times New Roman"/>
      </w:rPr>
    </w:lvl>
    <w:lvl w:ilvl="3" w:tplc="FEBC0082">
      <w:numFmt w:val="decimal"/>
      <w:lvlText w:val=""/>
      <w:lvlJc w:val="left"/>
      <w:rPr>
        <w:rFonts w:cs="Times New Roman"/>
      </w:rPr>
    </w:lvl>
    <w:lvl w:ilvl="4" w:tplc="D9341E2C">
      <w:numFmt w:val="decimal"/>
      <w:lvlText w:val=""/>
      <w:lvlJc w:val="left"/>
      <w:rPr>
        <w:rFonts w:cs="Times New Roman"/>
      </w:rPr>
    </w:lvl>
    <w:lvl w:ilvl="5" w:tplc="017EA186">
      <w:numFmt w:val="decimal"/>
      <w:lvlText w:val=""/>
      <w:lvlJc w:val="left"/>
      <w:rPr>
        <w:rFonts w:cs="Times New Roman"/>
      </w:rPr>
    </w:lvl>
    <w:lvl w:ilvl="6" w:tplc="FD3C7AA6">
      <w:numFmt w:val="decimal"/>
      <w:lvlText w:val=""/>
      <w:lvlJc w:val="left"/>
      <w:rPr>
        <w:rFonts w:cs="Times New Roman"/>
      </w:rPr>
    </w:lvl>
    <w:lvl w:ilvl="7" w:tplc="CB446E54">
      <w:numFmt w:val="decimal"/>
      <w:lvlText w:val=""/>
      <w:lvlJc w:val="left"/>
      <w:rPr>
        <w:rFonts w:cs="Times New Roman"/>
      </w:rPr>
    </w:lvl>
    <w:lvl w:ilvl="8" w:tplc="217CFD04">
      <w:numFmt w:val="decimal"/>
      <w:lvlText w:val=""/>
      <w:lvlJc w:val="left"/>
      <w:rPr>
        <w:rFonts w:cs="Times New Roman"/>
      </w:rPr>
    </w:lvl>
  </w:abstractNum>
  <w:abstractNum w:abstractNumId="14" w15:restartNumberingAfterBreak="0">
    <w:nsid w:val="1A4575E2"/>
    <w:multiLevelType w:val="hybridMultilevel"/>
    <w:tmpl w:val="68CA8024"/>
    <w:lvl w:ilvl="0" w:tplc="F4FCF64A">
      <w:start w:val="7"/>
      <w:numFmt w:val="decimal"/>
      <w:lvlText w:val="%1."/>
      <w:lvlJc w:val="left"/>
      <w:pPr>
        <w:tabs>
          <w:tab w:val="num" w:pos="360"/>
        </w:tabs>
        <w:ind w:left="360" w:hanging="360"/>
      </w:pPr>
      <w:rPr>
        <w:rFonts w:cs="Times New Roman"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1AEB51FF"/>
    <w:multiLevelType w:val="hybridMultilevel"/>
    <w:tmpl w:val="FFFFFFFF"/>
    <w:lvl w:ilvl="0" w:tplc="2C507114">
      <w:start w:val="1"/>
      <w:numFmt w:val="decimal"/>
      <w:pStyle w:val="Numberedlistpara"/>
      <w:lvlText w:val="%1."/>
      <w:lvlJc w:val="left"/>
      <w:pPr>
        <w:ind w:left="720" w:hanging="360"/>
      </w:pPr>
      <w:rPr>
        <w:rFonts w:cs="Times New Roman"/>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16" w15:restartNumberingAfterBreak="0">
    <w:nsid w:val="20192081"/>
    <w:multiLevelType w:val="hybridMultilevel"/>
    <w:tmpl w:val="FFFFFFFF"/>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0EC2A72"/>
    <w:multiLevelType w:val="hybridMultilevel"/>
    <w:tmpl w:val="0E1A4B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2217EF9"/>
    <w:multiLevelType w:val="hybridMultilevel"/>
    <w:tmpl w:val="FFFFFFFF"/>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852127B"/>
    <w:multiLevelType w:val="hybridMultilevel"/>
    <w:tmpl w:val="D0D03A7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0" w15:restartNumberingAfterBreak="0">
    <w:nsid w:val="2A28786E"/>
    <w:multiLevelType w:val="hybridMultilevel"/>
    <w:tmpl w:val="FFFFFFFF"/>
    <w:lvl w:ilvl="0" w:tplc="14090001">
      <w:start w:val="1"/>
      <w:numFmt w:val="bullet"/>
      <w:lvlText w:val=""/>
      <w:lvlJc w:val="left"/>
      <w:pPr>
        <w:ind w:left="644"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D8912E0"/>
    <w:multiLevelType w:val="hybridMultilevel"/>
    <w:tmpl w:val="FFFFFFFF"/>
    <w:name w:val="List 5"/>
    <w:lvl w:ilvl="0" w:tplc="BC2A4E12">
      <w:start w:val="1"/>
      <w:numFmt w:val="decimal"/>
      <w:lvlText w:val="%1."/>
      <w:lvlJc w:val="left"/>
      <w:pPr>
        <w:ind w:left="1152" w:hanging="360"/>
      </w:pPr>
      <w:rPr>
        <w:rFonts w:cs="Times New Roman"/>
      </w:rPr>
    </w:lvl>
    <w:lvl w:ilvl="1" w:tplc="6F34BD48">
      <w:numFmt w:val="decimal"/>
      <w:lvlText w:val=""/>
      <w:lvlJc w:val="left"/>
      <w:rPr>
        <w:rFonts w:cs="Times New Roman"/>
      </w:rPr>
    </w:lvl>
    <w:lvl w:ilvl="2" w:tplc="05E2183E">
      <w:numFmt w:val="decimal"/>
      <w:lvlText w:val=""/>
      <w:lvlJc w:val="left"/>
      <w:rPr>
        <w:rFonts w:cs="Times New Roman"/>
      </w:rPr>
    </w:lvl>
    <w:lvl w:ilvl="3" w:tplc="63E83194">
      <w:numFmt w:val="decimal"/>
      <w:lvlText w:val=""/>
      <w:lvlJc w:val="left"/>
      <w:rPr>
        <w:rFonts w:cs="Times New Roman"/>
      </w:rPr>
    </w:lvl>
    <w:lvl w:ilvl="4" w:tplc="56CE715C">
      <w:numFmt w:val="decimal"/>
      <w:lvlText w:val=""/>
      <w:lvlJc w:val="left"/>
      <w:rPr>
        <w:rFonts w:cs="Times New Roman"/>
      </w:rPr>
    </w:lvl>
    <w:lvl w:ilvl="5" w:tplc="374E32EC">
      <w:numFmt w:val="decimal"/>
      <w:lvlText w:val=""/>
      <w:lvlJc w:val="left"/>
      <w:rPr>
        <w:rFonts w:cs="Times New Roman"/>
      </w:rPr>
    </w:lvl>
    <w:lvl w:ilvl="6" w:tplc="E76A83D2">
      <w:numFmt w:val="decimal"/>
      <w:lvlText w:val=""/>
      <w:lvlJc w:val="left"/>
      <w:rPr>
        <w:rFonts w:cs="Times New Roman"/>
      </w:rPr>
    </w:lvl>
    <w:lvl w:ilvl="7" w:tplc="A3DE0290">
      <w:numFmt w:val="decimal"/>
      <w:lvlText w:val=""/>
      <w:lvlJc w:val="left"/>
      <w:rPr>
        <w:rFonts w:cs="Times New Roman"/>
      </w:rPr>
    </w:lvl>
    <w:lvl w:ilvl="8" w:tplc="9E00E642">
      <w:numFmt w:val="decimal"/>
      <w:lvlText w:val=""/>
      <w:lvlJc w:val="left"/>
      <w:rPr>
        <w:rFonts w:cs="Times New Roman"/>
      </w:rPr>
    </w:lvl>
  </w:abstractNum>
  <w:abstractNum w:abstractNumId="22" w15:restartNumberingAfterBreak="0">
    <w:nsid w:val="2EC87189"/>
    <w:multiLevelType w:val="hybridMultilevel"/>
    <w:tmpl w:val="FFFFFFFF"/>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FD4148D"/>
    <w:multiLevelType w:val="hybridMultilevel"/>
    <w:tmpl w:val="FFFFFFFF"/>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25765BE"/>
    <w:multiLevelType w:val="hybridMultilevel"/>
    <w:tmpl w:val="CFFEE5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354732C4"/>
    <w:multiLevelType w:val="hybridMultilevel"/>
    <w:tmpl w:val="FFFFFFFF"/>
    <w:lvl w:ilvl="0" w:tplc="FD1603A8">
      <w:start w:val="1"/>
      <w:numFmt w:val="bullet"/>
      <w:pStyle w:val="opentablebullett"/>
      <w:lvlText w:val="o"/>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7451C2F"/>
    <w:multiLevelType w:val="hybridMultilevel"/>
    <w:tmpl w:val="FFFFFFFF"/>
    <w:lvl w:ilvl="0" w:tplc="14090001">
      <w:start w:val="1"/>
      <w:numFmt w:val="bullet"/>
      <w:pStyle w:val="ListNumber3"/>
      <w:lvlText w:val=""/>
      <w:lvlJc w:val="left"/>
      <w:pPr>
        <w:ind w:left="644"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7FB49CD"/>
    <w:multiLevelType w:val="hybridMultilevel"/>
    <w:tmpl w:val="FFFFFFFF"/>
    <w:lvl w:ilvl="0" w:tplc="14090001">
      <w:start w:val="1"/>
      <w:numFmt w:val="bullet"/>
      <w:pStyle w:val="ListNumber5"/>
      <w:lvlText w:val=""/>
      <w:lvlJc w:val="left"/>
      <w:pPr>
        <w:ind w:left="644"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9B22990"/>
    <w:multiLevelType w:val="hybridMultilevel"/>
    <w:tmpl w:val="633ECF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3DFA6E98"/>
    <w:multiLevelType w:val="hybridMultilevel"/>
    <w:tmpl w:val="8B5AA6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3E337DBA"/>
    <w:multiLevelType w:val="hybridMultilevel"/>
    <w:tmpl w:val="FFFFFFFF"/>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3FF55FA4"/>
    <w:multiLevelType w:val="hybridMultilevel"/>
    <w:tmpl w:val="FFFFFFFF"/>
    <w:lvl w:ilvl="0" w:tplc="C84A6A48">
      <w:start w:val="1"/>
      <w:numFmt w:val="bullet"/>
      <w:pStyle w:val="ANZBulletLevel1"/>
      <w:lvlText w:val=""/>
      <w:lvlJc w:val="left"/>
      <w:pPr>
        <w:ind w:left="851" w:hanging="851"/>
      </w:pPr>
      <w:rPr>
        <w:rFonts w:ascii="Symbol" w:hAnsi="Symbol" w:hint="default"/>
        <w:sz w:val="22"/>
      </w:rPr>
    </w:lvl>
    <w:lvl w:ilvl="1" w:tplc="D278BC1C">
      <w:start w:val="1"/>
      <w:numFmt w:val="bullet"/>
      <w:pStyle w:val="ANZBulletLevel2"/>
      <w:lvlText w:val=""/>
      <w:lvlJc w:val="left"/>
      <w:pPr>
        <w:ind w:left="1701" w:hanging="850"/>
      </w:pPr>
      <w:rPr>
        <w:rFonts w:ascii="Wingdings" w:hAnsi="Wingdings" w:hint="default"/>
        <w:sz w:val="12"/>
      </w:rPr>
    </w:lvl>
    <w:lvl w:ilvl="2" w:tplc="308A9648">
      <w:start w:val="1"/>
      <w:numFmt w:val="bullet"/>
      <w:pStyle w:val="ANZBulletLevel3"/>
      <w:lvlText w:val=""/>
      <w:lvlJc w:val="left"/>
      <w:pPr>
        <w:tabs>
          <w:tab w:val="num" w:pos="1701"/>
        </w:tabs>
        <w:ind w:left="2552" w:hanging="851"/>
      </w:pPr>
      <w:rPr>
        <w:rFonts w:ascii="Symbol" w:hAnsi="Symbol" w:hint="default"/>
        <w:sz w:val="10"/>
      </w:rPr>
    </w:lvl>
    <w:lvl w:ilvl="3" w:tplc="ED265B58">
      <w:start w:val="1"/>
      <w:numFmt w:val="decimal"/>
      <w:lvlText w:val="(%4)"/>
      <w:lvlJc w:val="left"/>
      <w:pPr>
        <w:ind w:left="851" w:hanging="851"/>
      </w:pPr>
      <w:rPr>
        <w:rFonts w:cs="Times New Roman" w:hint="default"/>
      </w:rPr>
    </w:lvl>
    <w:lvl w:ilvl="4" w:tplc="9F54D5D6">
      <w:start w:val="1"/>
      <w:numFmt w:val="lowerLetter"/>
      <w:lvlText w:val="(%5)"/>
      <w:lvlJc w:val="left"/>
      <w:pPr>
        <w:ind w:left="851" w:hanging="851"/>
      </w:pPr>
      <w:rPr>
        <w:rFonts w:cs="Times New Roman" w:hint="default"/>
      </w:rPr>
    </w:lvl>
    <w:lvl w:ilvl="5" w:tplc="2578D780">
      <w:start w:val="1"/>
      <w:numFmt w:val="lowerRoman"/>
      <w:lvlText w:val="(%6)"/>
      <w:lvlJc w:val="left"/>
      <w:pPr>
        <w:ind w:left="851" w:hanging="851"/>
      </w:pPr>
      <w:rPr>
        <w:rFonts w:cs="Times New Roman" w:hint="default"/>
      </w:rPr>
    </w:lvl>
    <w:lvl w:ilvl="6" w:tplc="FA2E67C8">
      <w:start w:val="1"/>
      <w:numFmt w:val="decimal"/>
      <w:lvlText w:val="%7."/>
      <w:lvlJc w:val="left"/>
      <w:pPr>
        <w:ind w:left="851" w:hanging="851"/>
      </w:pPr>
      <w:rPr>
        <w:rFonts w:cs="Times New Roman" w:hint="default"/>
      </w:rPr>
    </w:lvl>
    <w:lvl w:ilvl="7" w:tplc="01B607E4">
      <w:start w:val="1"/>
      <w:numFmt w:val="lowerLetter"/>
      <w:lvlText w:val="%8."/>
      <w:lvlJc w:val="left"/>
      <w:pPr>
        <w:ind w:left="851" w:hanging="851"/>
      </w:pPr>
      <w:rPr>
        <w:rFonts w:cs="Times New Roman" w:hint="default"/>
      </w:rPr>
    </w:lvl>
    <w:lvl w:ilvl="8" w:tplc="0FEE6D08">
      <w:start w:val="1"/>
      <w:numFmt w:val="lowerRoman"/>
      <w:lvlText w:val="%9."/>
      <w:lvlJc w:val="left"/>
      <w:pPr>
        <w:ind w:left="851" w:hanging="851"/>
      </w:pPr>
      <w:rPr>
        <w:rFonts w:cs="Times New Roman" w:hint="default"/>
      </w:rPr>
    </w:lvl>
  </w:abstractNum>
  <w:abstractNum w:abstractNumId="32" w15:restartNumberingAfterBreak="0">
    <w:nsid w:val="473753E6"/>
    <w:multiLevelType w:val="hybridMultilevel"/>
    <w:tmpl w:val="DCD0D5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498941D1"/>
    <w:multiLevelType w:val="hybridMultilevel"/>
    <w:tmpl w:val="FFFFFFFF"/>
    <w:lvl w:ilvl="0" w:tplc="3D94D860">
      <w:start w:val="1"/>
      <w:numFmt w:val="bullet"/>
      <w:pStyle w:val="Bulletedlis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4F3859AD"/>
    <w:multiLevelType w:val="hybridMultilevel"/>
    <w:tmpl w:val="FFFFFFFF"/>
    <w:name w:val="List 4"/>
    <w:lvl w:ilvl="0" w:tplc="1B448A8A">
      <w:start w:val="1"/>
      <w:numFmt w:val="decimal"/>
      <w:lvlText w:val="%1."/>
      <w:lvlJc w:val="left"/>
      <w:pPr>
        <w:ind w:left="1152" w:hanging="360"/>
      </w:pPr>
      <w:rPr>
        <w:rFonts w:cs="Times New Roman"/>
      </w:rPr>
    </w:lvl>
    <w:lvl w:ilvl="1" w:tplc="3542AA76">
      <w:numFmt w:val="decimal"/>
      <w:lvlText w:val=""/>
      <w:lvlJc w:val="left"/>
      <w:rPr>
        <w:rFonts w:cs="Times New Roman"/>
      </w:rPr>
    </w:lvl>
    <w:lvl w:ilvl="2" w:tplc="E5326B7C">
      <w:numFmt w:val="decimal"/>
      <w:lvlText w:val=""/>
      <w:lvlJc w:val="left"/>
      <w:rPr>
        <w:rFonts w:cs="Times New Roman"/>
      </w:rPr>
    </w:lvl>
    <w:lvl w:ilvl="3" w:tplc="D3A28070">
      <w:numFmt w:val="decimal"/>
      <w:lvlText w:val=""/>
      <w:lvlJc w:val="left"/>
      <w:rPr>
        <w:rFonts w:cs="Times New Roman"/>
      </w:rPr>
    </w:lvl>
    <w:lvl w:ilvl="4" w:tplc="F1A4BC10">
      <w:numFmt w:val="decimal"/>
      <w:lvlText w:val=""/>
      <w:lvlJc w:val="left"/>
      <w:rPr>
        <w:rFonts w:cs="Times New Roman"/>
      </w:rPr>
    </w:lvl>
    <w:lvl w:ilvl="5" w:tplc="45E4A274">
      <w:numFmt w:val="decimal"/>
      <w:lvlText w:val=""/>
      <w:lvlJc w:val="left"/>
      <w:rPr>
        <w:rFonts w:cs="Times New Roman"/>
      </w:rPr>
    </w:lvl>
    <w:lvl w:ilvl="6" w:tplc="C0C493C8">
      <w:numFmt w:val="decimal"/>
      <w:lvlText w:val=""/>
      <w:lvlJc w:val="left"/>
      <w:rPr>
        <w:rFonts w:cs="Times New Roman"/>
      </w:rPr>
    </w:lvl>
    <w:lvl w:ilvl="7" w:tplc="072EB174">
      <w:numFmt w:val="decimal"/>
      <w:lvlText w:val=""/>
      <w:lvlJc w:val="left"/>
      <w:rPr>
        <w:rFonts w:cs="Times New Roman"/>
      </w:rPr>
    </w:lvl>
    <w:lvl w:ilvl="8" w:tplc="4CE0BD80">
      <w:numFmt w:val="decimal"/>
      <w:lvlText w:val=""/>
      <w:lvlJc w:val="left"/>
      <w:rPr>
        <w:rFonts w:cs="Times New Roman"/>
      </w:rPr>
    </w:lvl>
  </w:abstractNum>
  <w:abstractNum w:abstractNumId="35" w15:restartNumberingAfterBreak="0">
    <w:nsid w:val="4F8E4A40"/>
    <w:multiLevelType w:val="hybridMultilevel"/>
    <w:tmpl w:val="6C00C1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6" w15:restartNumberingAfterBreak="0">
    <w:nsid w:val="508E21EC"/>
    <w:multiLevelType w:val="hybridMultilevel"/>
    <w:tmpl w:val="237A4140"/>
    <w:lvl w:ilvl="0" w:tplc="3854717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50FF1656"/>
    <w:multiLevelType w:val="hybridMultilevel"/>
    <w:tmpl w:val="FFFFFFFF"/>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53F472C8"/>
    <w:multiLevelType w:val="hybridMultilevel"/>
    <w:tmpl w:val="FFFFFFFF"/>
    <w:lvl w:ilvl="0" w:tplc="1409000F">
      <w:start w:val="1"/>
      <w:numFmt w:val="decimal"/>
      <w:lvlText w:val="%1."/>
      <w:lvlJc w:val="left"/>
      <w:pPr>
        <w:ind w:left="720" w:hanging="360"/>
      </w:pPr>
      <w:rPr>
        <w:rFonts w:cs="Times New Roman" w:hint="default"/>
        <w:sz w:val="20"/>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39" w15:restartNumberingAfterBreak="0">
    <w:nsid w:val="54FC7E65"/>
    <w:multiLevelType w:val="hybridMultilevel"/>
    <w:tmpl w:val="FFFFFFFF"/>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83F3E4D"/>
    <w:multiLevelType w:val="multilevel"/>
    <w:tmpl w:val="A628E80E"/>
    <w:lvl w:ilvl="0">
      <w:start w:val="5"/>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1" w15:restartNumberingAfterBreak="0">
    <w:nsid w:val="597223EC"/>
    <w:multiLevelType w:val="hybridMultilevel"/>
    <w:tmpl w:val="9308FF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5A5F4057"/>
    <w:multiLevelType w:val="hybridMultilevel"/>
    <w:tmpl w:val="FFFFFFFF"/>
    <w:lvl w:ilvl="0" w:tplc="47167B5E">
      <w:start w:val="1"/>
      <w:numFmt w:val="decimal"/>
      <w:pStyle w:val="Append2numlist"/>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5B410E2B"/>
    <w:multiLevelType w:val="hybridMultilevel"/>
    <w:tmpl w:val="760C24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5E1C126E"/>
    <w:multiLevelType w:val="hybridMultilevel"/>
    <w:tmpl w:val="83D4C4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5E553F70"/>
    <w:multiLevelType w:val="hybridMultilevel"/>
    <w:tmpl w:val="FFFFFFFF"/>
    <w:lvl w:ilvl="0" w:tplc="14090001">
      <w:start w:val="1"/>
      <w:numFmt w:val="bullet"/>
      <w:pStyle w:val="ListBullet2"/>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5F89445C"/>
    <w:multiLevelType w:val="hybridMultilevel"/>
    <w:tmpl w:val="FFFFFFFF"/>
    <w:lvl w:ilvl="0" w:tplc="8356E1B0">
      <w:start w:val="1"/>
      <w:numFmt w:val="bullet"/>
      <w:pStyle w:val="Para010"/>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63284584"/>
    <w:multiLevelType w:val="hybridMultilevel"/>
    <w:tmpl w:val="FFFFFFFF"/>
    <w:lvl w:ilvl="0" w:tplc="0809000F">
      <w:start w:val="1"/>
      <w:numFmt w:val="decimal"/>
      <w:lvlText w:val="%1."/>
      <w:lvlJc w:val="left"/>
      <w:pPr>
        <w:tabs>
          <w:tab w:val="num" w:pos="360"/>
        </w:tabs>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48" w15:restartNumberingAfterBreak="0">
    <w:nsid w:val="65AA7E53"/>
    <w:multiLevelType w:val="hybridMultilevel"/>
    <w:tmpl w:val="FFFFFFFF"/>
    <w:lvl w:ilvl="0" w:tplc="0D9A5262">
      <w:start w:val="1"/>
      <w:numFmt w:val="bullet"/>
      <w:pStyle w:val="Bullets"/>
      <w:lvlText w:val=""/>
      <w:lvlJc w:val="left"/>
      <w:pPr>
        <w:ind w:left="3600" w:hanging="360"/>
      </w:pPr>
      <w:rPr>
        <w:rFonts w:ascii="Symbol" w:hAnsi="Symbol" w:hint="default"/>
      </w:rPr>
    </w:lvl>
    <w:lvl w:ilvl="1" w:tplc="14090003">
      <w:start w:val="1"/>
      <w:numFmt w:val="bullet"/>
      <w:lvlText w:val="o"/>
      <w:lvlJc w:val="left"/>
      <w:pPr>
        <w:ind w:left="4320" w:hanging="360"/>
      </w:pPr>
      <w:rPr>
        <w:rFonts w:ascii="Courier New" w:hAnsi="Courier New" w:hint="default"/>
      </w:rPr>
    </w:lvl>
    <w:lvl w:ilvl="2" w:tplc="14090005">
      <w:start w:val="1"/>
      <w:numFmt w:val="bullet"/>
      <w:lvlText w:val=""/>
      <w:lvlJc w:val="left"/>
      <w:pPr>
        <w:ind w:left="5040" w:hanging="360"/>
      </w:pPr>
      <w:rPr>
        <w:rFonts w:ascii="Wingdings" w:hAnsi="Wingdings" w:hint="default"/>
      </w:rPr>
    </w:lvl>
    <w:lvl w:ilvl="3" w:tplc="14090001">
      <w:start w:val="1"/>
      <w:numFmt w:val="bullet"/>
      <w:lvlText w:val=""/>
      <w:lvlJc w:val="left"/>
      <w:pPr>
        <w:ind w:left="5760" w:hanging="360"/>
      </w:pPr>
      <w:rPr>
        <w:rFonts w:ascii="Symbol" w:hAnsi="Symbol" w:hint="default"/>
      </w:rPr>
    </w:lvl>
    <w:lvl w:ilvl="4" w:tplc="14090003">
      <w:start w:val="1"/>
      <w:numFmt w:val="bullet"/>
      <w:lvlText w:val="o"/>
      <w:lvlJc w:val="left"/>
      <w:pPr>
        <w:ind w:left="6480" w:hanging="360"/>
      </w:pPr>
      <w:rPr>
        <w:rFonts w:ascii="Courier New" w:hAnsi="Courier New" w:hint="default"/>
      </w:rPr>
    </w:lvl>
    <w:lvl w:ilvl="5" w:tplc="14090005">
      <w:start w:val="1"/>
      <w:numFmt w:val="bullet"/>
      <w:lvlText w:val=""/>
      <w:lvlJc w:val="left"/>
      <w:pPr>
        <w:ind w:left="7200" w:hanging="360"/>
      </w:pPr>
      <w:rPr>
        <w:rFonts w:ascii="Wingdings" w:hAnsi="Wingdings" w:hint="default"/>
      </w:rPr>
    </w:lvl>
    <w:lvl w:ilvl="6" w:tplc="14090001">
      <w:start w:val="1"/>
      <w:numFmt w:val="bullet"/>
      <w:lvlText w:val=""/>
      <w:lvlJc w:val="left"/>
      <w:pPr>
        <w:ind w:left="7920" w:hanging="360"/>
      </w:pPr>
      <w:rPr>
        <w:rFonts w:ascii="Symbol" w:hAnsi="Symbol" w:hint="default"/>
      </w:rPr>
    </w:lvl>
    <w:lvl w:ilvl="7" w:tplc="14090003">
      <w:start w:val="1"/>
      <w:numFmt w:val="bullet"/>
      <w:lvlText w:val="o"/>
      <w:lvlJc w:val="left"/>
      <w:pPr>
        <w:ind w:left="8640" w:hanging="360"/>
      </w:pPr>
      <w:rPr>
        <w:rFonts w:ascii="Courier New" w:hAnsi="Courier New" w:hint="default"/>
      </w:rPr>
    </w:lvl>
    <w:lvl w:ilvl="8" w:tplc="14090005">
      <w:start w:val="1"/>
      <w:numFmt w:val="bullet"/>
      <w:lvlText w:val=""/>
      <w:lvlJc w:val="left"/>
      <w:pPr>
        <w:ind w:left="9360" w:hanging="360"/>
      </w:pPr>
      <w:rPr>
        <w:rFonts w:ascii="Wingdings" w:hAnsi="Wingdings" w:hint="default"/>
      </w:rPr>
    </w:lvl>
  </w:abstractNum>
  <w:abstractNum w:abstractNumId="49" w15:restartNumberingAfterBreak="0">
    <w:nsid w:val="68931D86"/>
    <w:multiLevelType w:val="hybridMultilevel"/>
    <w:tmpl w:val="D7F686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69CC73B2"/>
    <w:multiLevelType w:val="hybridMultilevel"/>
    <w:tmpl w:val="FFFFFFFF"/>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6CD747A8"/>
    <w:multiLevelType w:val="hybridMultilevel"/>
    <w:tmpl w:val="FFFFFFFF"/>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70B9388E"/>
    <w:multiLevelType w:val="hybridMultilevel"/>
    <w:tmpl w:val="FFFFFFFF"/>
    <w:lvl w:ilvl="0" w:tplc="14090001">
      <w:start w:val="1"/>
      <w:numFmt w:val="bullet"/>
      <w:pStyle w:val="List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hint="default"/>
      </w:rPr>
    </w:lvl>
    <w:lvl w:ilvl="8" w:tplc="14090005">
      <w:start w:val="1"/>
      <w:numFmt w:val="bullet"/>
      <w:lvlText w:val=""/>
      <w:lvlJc w:val="left"/>
      <w:pPr>
        <w:ind w:left="6480" w:hanging="360"/>
      </w:pPr>
      <w:rPr>
        <w:rFonts w:ascii="Wingdings" w:hAnsi="Wingdings" w:hint="default"/>
      </w:rPr>
    </w:lvl>
  </w:abstractNum>
  <w:abstractNum w:abstractNumId="53" w15:restartNumberingAfterBreak="0">
    <w:nsid w:val="74F52C1C"/>
    <w:multiLevelType w:val="hybridMultilevel"/>
    <w:tmpl w:val="BFC2F04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4" w15:restartNumberingAfterBreak="0">
    <w:nsid w:val="758F4626"/>
    <w:multiLevelType w:val="hybridMultilevel"/>
    <w:tmpl w:val="D4484F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764210E9"/>
    <w:multiLevelType w:val="hybridMultilevel"/>
    <w:tmpl w:val="FFFFFFFF"/>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773C09EE"/>
    <w:multiLevelType w:val="hybridMultilevel"/>
    <w:tmpl w:val="477498D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7" w15:restartNumberingAfterBreak="0">
    <w:nsid w:val="77EF583D"/>
    <w:multiLevelType w:val="hybridMultilevel"/>
    <w:tmpl w:val="FFFFFFFF"/>
    <w:lvl w:ilvl="0" w:tplc="14090001">
      <w:start w:val="1"/>
      <w:numFmt w:val="bullet"/>
      <w:pStyle w:val="ListNumber2"/>
      <w:lvlText w:val=""/>
      <w:lvlJc w:val="left"/>
      <w:pPr>
        <w:ind w:left="644"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798535F0"/>
    <w:multiLevelType w:val="hybridMultilevel"/>
    <w:tmpl w:val="FFFFFFFF"/>
    <w:lvl w:ilvl="0" w:tplc="14090001">
      <w:start w:val="1"/>
      <w:numFmt w:val="bullet"/>
      <w:lvlText w:val=""/>
      <w:lvlJc w:val="left"/>
      <w:pPr>
        <w:ind w:left="644"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7BB34FAE"/>
    <w:multiLevelType w:val="hybridMultilevel"/>
    <w:tmpl w:val="FFFFFFFF"/>
    <w:lvl w:ilvl="0" w:tplc="14090001">
      <w:start w:val="1"/>
      <w:numFmt w:val="bullet"/>
      <w:pStyle w:val="ListBullet3"/>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7E99033C"/>
    <w:multiLevelType w:val="hybridMultilevel"/>
    <w:tmpl w:val="AAB4384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16cid:durableId="1092163667">
    <w:abstractNumId w:val="46"/>
  </w:num>
  <w:num w:numId="2" w16cid:durableId="1882551087">
    <w:abstractNumId w:val="0"/>
  </w:num>
  <w:num w:numId="3" w16cid:durableId="778448622">
    <w:abstractNumId w:val="48"/>
  </w:num>
  <w:num w:numId="4" w16cid:durableId="435951731">
    <w:abstractNumId w:val="15"/>
  </w:num>
  <w:num w:numId="5" w16cid:durableId="950405797">
    <w:abstractNumId w:val="42"/>
  </w:num>
  <w:num w:numId="6" w16cid:durableId="488864778">
    <w:abstractNumId w:val="33"/>
  </w:num>
  <w:num w:numId="7" w16cid:durableId="1457529895">
    <w:abstractNumId w:val="1"/>
  </w:num>
  <w:num w:numId="8" w16cid:durableId="305472538">
    <w:abstractNumId w:val="25"/>
  </w:num>
  <w:num w:numId="9" w16cid:durableId="596326551">
    <w:abstractNumId w:val="38"/>
  </w:num>
  <w:num w:numId="10" w16cid:durableId="747190035">
    <w:abstractNumId w:val="40"/>
  </w:num>
  <w:num w:numId="11" w16cid:durableId="515927409">
    <w:abstractNumId w:val="47"/>
  </w:num>
  <w:num w:numId="12" w16cid:durableId="1145851501">
    <w:abstractNumId w:val="39"/>
  </w:num>
  <w:num w:numId="13" w16cid:durableId="2101019414">
    <w:abstractNumId w:val="50"/>
  </w:num>
  <w:num w:numId="14" w16cid:durableId="207573842">
    <w:abstractNumId w:val="2"/>
  </w:num>
  <w:num w:numId="15" w16cid:durableId="670454331">
    <w:abstractNumId w:val="8"/>
  </w:num>
  <w:num w:numId="16" w16cid:durableId="2032754026">
    <w:abstractNumId w:val="7"/>
  </w:num>
  <w:num w:numId="17" w16cid:durableId="1847749974">
    <w:abstractNumId w:val="55"/>
  </w:num>
  <w:num w:numId="18" w16cid:durableId="1193807066">
    <w:abstractNumId w:val="22"/>
  </w:num>
  <w:num w:numId="19" w16cid:durableId="1012610640">
    <w:abstractNumId w:val="30"/>
  </w:num>
  <w:num w:numId="20" w16cid:durableId="1356032080">
    <w:abstractNumId w:val="51"/>
  </w:num>
  <w:num w:numId="21" w16cid:durableId="272447340">
    <w:abstractNumId w:val="11"/>
  </w:num>
  <w:num w:numId="22" w16cid:durableId="1591235082">
    <w:abstractNumId w:val="18"/>
  </w:num>
  <w:num w:numId="23" w16cid:durableId="202984173">
    <w:abstractNumId w:val="12"/>
  </w:num>
  <w:num w:numId="24" w16cid:durableId="668949780">
    <w:abstractNumId w:val="16"/>
  </w:num>
  <w:num w:numId="25" w16cid:durableId="301273652">
    <w:abstractNumId w:val="31"/>
  </w:num>
  <w:num w:numId="26" w16cid:durableId="1180046271">
    <w:abstractNumId w:val="37"/>
  </w:num>
  <w:num w:numId="27" w16cid:durableId="685134000">
    <w:abstractNumId w:val="52"/>
  </w:num>
  <w:num w:numId="28" w16cid:durableId="794248908">
    <w:abstractNumId w:val="45"/>
  </w:num>
  <w:num w:numId="29" w16cid:durableId="1224175807">
    <w:abstractNumId w:val="59"/>
  </w:num>
  <w:num w:numId="30" w16cid:durableId="815033393">
    <w:abstractNumId w:val="6"/>
  </w:num>
  <w:num w:numId="31" w16cid:durableId="1561134716">
    <w:abstractNumId w:val="5"/>
  </w:num>
  <w:num w:numId="32" w16cid:durableId="2058238609">
    <w:abstractNumId w:val="57"/>
  </w:num>
  <w:num w:numId="33" w16cid:durableId="240724646">
    <w:abstractNumId w:val="26"/>
  </w:num>
  <w:num w:numId="34" w16cid:durableId="1583102249">
    <w:abstractNumId w:val="3"/>
  </w:num>
  <w:num w:numId="35" w16cid:durableId="508179947">
    <w:abstractNumId w:val="27"/>
  </w:num>
  <w:num w:numId="36" w16cid:durableId="399135050">
    <w:abstractNumId w:val="58"/>
  </w:num>
  <w:num w:numId="37" w16cid:durableId="1557429342">
    <w:abstractNumId w:val="20"/>
  </w:num>
  <w:num w:numId="38" w16cid:durableId="1542745981">
    <w:abstractNumId w:val="23"/>
  </w:num>
  <w:num w:numId="39" w16cid:durableId="1857159974">
    <w:abstractNumId w:val="24"/>
  </w:num>
  <w:num w:numId="40" w16cid:durableId="2044555957">
    <w:abstractNumId w:val="44"/>
  </w:num>
  <w:num w:numId="41" w16cid:durableId="972448831">
    <w:abstractNumId w:val="53"/>
  </w:num>
  <w:num w:numId="42" w16cid:durableId="101727377">
    <w:abstractNumId w:val="49"/>
  </w:num>
  <w:num w:numId="43" w16cid:durableId="365913810">
    <w:abstractNumId w:val="32"/>
  </w:num>
  <w:num w:numId="44" w16cid:durableId="251745399">
    <w:abstractNumId w:val="28"/>
  </w:num>
  <w:num w:numId="45" w16cid:durableId="1973247773">
    <w:abstractNumId w:val="54"/>
  </w:num>
  <w:num w:numId="46" w16cid:durableId="936140590">
    <w:abstractNumId w:val="10"/>
  </w:num>
  <w:num w:numId="47" w16cid:durableId="928973215">
    <w:abstractNumId w:val="41"/>
  </w:num>
  <w:num w:numId="48" w16cid:durableId="2113699608">
    <w:abstractNumId w:val="43"/>
  </w:num>
  <w:num w:numId="49" w16cid:durableId="1130900951">
    <w:abstractNumId w:val="17"/>
  </w:num>
  <w:num w:numId="50" w16cid:durableId="2026788782">
    <w:abstractNumId w:val="29"/>
  </w:num>
  <w:num w:numId="51" w16cid:durableId="668682613">
    <w:abstractNumId w:val="60"/>
  </w:num>
  <w:num w:numId="52" w16cid:durableId="757407858">
    <w:abstractNumId w:val="35"/>
  </w:num>
  <w:num w:numId="53" w16cid:durableId="1513950483">
    <w:abstractNumId w:val="19"/>
  </w:num>
  <w:num w:numId="54" w16cid:durableId="1255936166">
    <w:abstractNumId w:val="56"/>
  </w:num>
  <w:num w:numId="55" w16cid:durableId="750931877">
    <w:abstractNumId w:val="56"/>
  </w:num>
  <w:num w:numId="56" w16cid:durableId="1935824415">
    <w:abstractNumId w:val="36"/>
  </w:num>
  <w:num w:numId="57" w16cid:durableId="2076852038">
    <w:abstractNumId w:val="14"/>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an Norton">
    <w15:presenceInfo w15:providerId="AD" w15:userId="S::Dean.Norton@wcc.govt.nz::a8d533c3-d998-4d1b-8ec4-cd963dbfc0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16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C37"/>
    <w:rsid w:val="000000A4"/>
    <w:rsid w:val="000003C2"/>
    <w:rsid w:val="00000935"/>
    <w:rsid w:val="00001002"/>
    <w:rsid w:val="000010D1"/>
    <w:rsid w:val="000012E0"/>
    <w:rsid w:val="00001791"/>
    <w:rsid w:val="00001A45"/>
    <w:rsid w:val="00001B08"/>
    <w:rsid w:val="000022BA"/>
    <w:rsid w:val="00002480"/>
    <w:rsid w:val="00002589"/>
    <w:rsid w:val="00002600"/>
    <w:rsid w:val="0000264F"/>
    <w:rsid w:val="00002741"/>
    <w:rsid w:val="00002769"/>
    <w:rsid w:val="00002AB8"/>
    <w:rsid w:val="00002CB8"/>
    <w:rsid w:val="00002EC0"/>
    <w:rsid w:val="00003073"/>
    <w:rsid w:val="000030D8"/>
    <w:rsid w:val="00003243"/>
    <w:rsid w:val="000032CA"/>
    <w:rsid w:val="00003ED4"/>
    <w:rsid w:val="00003EF6"/>
    <w:rsid w:val="00003F19"/>
    <w:rsid w:val="00004091"/>
    <w:rsid w:val="0000443A"/>
    <w:rsid w:val="00004573"/>
    <w:rsid w:val="000046F5"/>
    <w:rsid w:val="0000478C"/>
    <w:rsid w:val="00004A1C"/>
    <w:rsid w:val="00004D06"/>
    <w:rsid w:val="00004E69"/>
    <w:rsid w:val="000056A0"/>
    <w:rsid w:val="00006113"/>
    <w:rsid w:val="00006279"/>
    <w:rsid w:val="0000690F"/>
    <w:rsid w:val="000069A1"/>
    <w:rsid w:val="0000762A"/>
    <w:rsid w:val="00007681"/>
    <w:rsid w:val="00007764"/>
    <w:rsid w:val="00007A8A"/>
    <w:rsid w:val="00007BF7"/>
    <w:rsid w:val="00007D89"/>
    <w:rsid w:val="00010162"/>
    <w:rsid w:val="000104BF"/>
    <w:rsid w:val="00010C4D"/>
    <w:rsid w:val="00010E40"/>
    <w:rsid w:val="00010EA9"/>
    <w:rsid w:val="000115A5"/>
    <w:rsid w:val="000117C2"/>
    <w:rsid w:val="000119DD"/>
    <w:rsid w:val="00011AA9"/>
    <w:rsid w:val="00012001"/>
    <w:rsid w:val="000120A5"/>
    <w:rsid w:val="0001267C"/>
    <w:rsid w:val="0001296E"/>
    <w:rsid w:val="00012AA7"/>
    <w:rsid w:val="00012AE7"/>
    <w:rsid w:val="0001310C"/>
    <w:rsid w:val="00013181"/>
    <w:rsid w:val="000132A8"/>
    <w:rsid w:val="00013443"/>
    <w:rsid w:val="000135A5"/>
    <w:rsid w:val="00013620"/>
    <w:rsid w:val="00013C1B"/>
    <w:rsid w:val="000142F3"/>
    <w:rsid w:val="00014991"/>
    <w:rsid w:val="00014B2F"/>
    <w:rsid w:val="00014D39"/>
    <w:rsid w:val="00014F43"/>
    <w:rsid w:val="00015113"/>
    <w:rsid w:val="0001518A"/>
    <w:rsid w:val="000153A6"/>
    <w:rsid w:val="000154F0"/>
    <w:rsid w:val="00015949"/>
    <w:rsid w:val="0001599D"/>
    <w:rsid w:val="00015B43"/>
    <w:rsid w:val="00015BDE"/>
    <w:rsid w:val="00015F8D"/>
    <w:rsid w:val="00016120"/>
    <w:rsid w:val="000162B7"/>
    <w:rsid w:val="0001645C"/>
    <w:rsid w:val="00016498"/>
    <w:rsid w:val="00016587"/>
    <w:rsid w:val="0001659C"/>
    <w:rsid w:val="00016685"/>
    <w:rsid w:val="00016881"/>
    <w:rsid w:val="0001699F"/>
    <w:rsid w:val="00016E81"/>
    <w:rsid w:val="00016EEC"/>
    <w:rsid w:val="00016EEE"/>
    <w:rsid w:val="000172B8"/>
    <w:rsid w:val="000176FD"/>
    <w:rsid w:val="00017DDB"/>
    <w:rsid w:val="00017E88"/>
    <w:rsid w:val="000200B4"/>
    <w:rsid w:val="0002031E"/>
    <w:rsid w:val="00020639"/>
    <w:rsid w:val="000207B1"/>
    <w:rsid w:val="00020982"/>
    <w:rsid w:val="00020CB6"/>
    <w:rsid w:val="00020D04"/>
    <w:rsid w:val="00020E7E"/>
    <w:rsid w:val="00020EDC"/>
    <w:rsid w:val="00021067"/>
    <w:rsid w:val="000215D4"/>
    <w:rsid w:val="00021650"/>
    <w:rsid w:val="00021938"/>
    <w:rsid w:val="000219A9"/>
    <w:rsid w:val="00021BA8"/>
    <w:rsid w:val="00021C7D"/>
    <w:rsid w:val="000220A9"/>
    <w:rsid w:val="00022177"/>
    <w:rsid w:val="0002252C"/>
    <w:rsid w:val="0002289A"/>
    <w:rsid w:val="00022991"/>
    <w:rsid w:val="000229B4"/>
    <w:rsid w:val="00022A43"/>
    <w:rsid w:val="00022BF1"/>
    <w:rsid w:val="00022C2B"/>
    <w:rsid w:val="00022E2A"/>
    <w:rsid w:val="000231B4"/>
    <w:rsid w:val="0002330D"/>
    <w:rsid w:val="000237B2"/>
    <w:rsid w:val="0002394E"/>
    <w:rsid w:val="00023D00"/>
    <w:rsid w:val="00023D4C"/>
    <w:rsid w:val="00023DA1"/>
    <w:rsid w:val="00023EDB"/>
    <w:rsid w:val="00023F96"/>
    <w:rsid w:val="000240DB"/>
    <w:rsid w:val="00024133"/>
    <w:rsid w:val="00024264"/>
    <w:rsid w:val="00024450"/>
    <w:rsid w:val="00024AF9"/>
    <w:rsid w:val="000251F9"/>
    <w:rsid w:val="00025298"/>
    <w:rsid w:val="000259EC"/>
    <w:rsid w:val="00025DDB"/>
    <w:rsid w:val="00025FB8"/>
    <w:rsid w:val="000262EE"/>
    <w:rsid w:val="0002633F"/>
    <w:rsid w:val="00026640"/>
    <w:rsid w:val="00026975"/>
    <w:rsid w:val="00026D58"/>
    <w:rsid w:val="00026FC3"/>
    <w:rsid w:val="00027055"/>
    <w:rsid w:val="00027107"/>
    <w:rsid w:val="000271D0"/>
    <w:rsid w:val="0002728A"/>
    <w:rsid w:val="0002742D"/>
    <w:rsid w:val="00027766"/>
    <w:rsid w:val="0002784D"/>
    <w:rsid w:val="00027A10"/>
    <w:rsid w:val="00027D0C"/>
    <w:rsid w:val="00030337"/>
    <w:rsid w:val="000306A8"/>
    <w:rsid w:val="0003070A"/>
    <w:rsid w:val="00030ADB"/>
    <w:rsid w:val="00030C2C"/>
    <w:rsid w:val="00030C47"/>
    <w:rsid w:val="00030EB1"/>
    <w:rsid w:val="000319A5"/>
    <w:rsid w:val="00031C22"/>
    <w:rsid w:val="0003201E"/>
    <w:rsid w:val="00032070"/>
    <w:rsid w:val="00032845"/>
    <w:rsid w:val="00033325"/>
    <w:rsid w:val="000334C5"/>
    <w:rsid w:val="00033596"/>
    <w:rsid w:val="000340B3"/>
    <w:rsid w:val="000340E9"/>
    <w:rsid w:val="00034194"/>
    <w:rsid w:val="00034356"/>
    <w:rsid w:val="000345A8"/>
    <w:rsid w:val="000346AC"/>
    <w:rsid w:val="00034E5F"/>
    <w:rsid w:val="0003564F"/>
    <w:rsid w:val="00035867"/>
    <w:rsid w:val="00035949"/>
    <w:rsid w:val="000359D7"/>
    <w:rsid w:val="00035A1F"/>
    <w:rsid w:val="00035BAB"/>
    <w:rsid w:val="00035DF9"/>
    <w:rsid w:val="00035E7A"/>
    <w:rsid w:val="000361D5"/>
    <w:rsid w:val="000361E6"/>
    <w:rsid w:val="000362BE"/>
    <w:rsid w:val="00036506"/>
    <w:rsid w:val="00036550"/>
    <w:rsid w:val="00036AC3"/>
    <w:rsid w:val="00036CFA"/>
    <w:rsid w:val="00036FEF"/>
    <w:rsid w:val="0003716A"/>
    <w:rsid w:val="00037245"/>
    <w:rsid w:val="0003770E"/>
    <w:rsid w:val="00037B2D"/>
    <w:rsid w:val="00037E94"/>
    <w:rsid w:val="00037F70"/>
    <w:rsid w:val="00040379"/>
    <w:rsid w:val="00040AE8"/>
    <w:rsid w:val="00041031"/>
    <w:rsid w:val="000413FB"/>
    <w:rsid w:val="0004170C"/>
    <w:rsid w:val="00041822"/>
    <w:rsid w:val="0004187E"/>
    <w:rsid w:val="00041ABE"/>
    <w:rsid w:val="00041B08"/>
    <w:rsid w:val="00041DE2"/>
    <w:rsid w:val="00041F3B"/>
    <w:rsid w:val="00041F4D"/>
    <w:rsid w:val="00041F7B"/>
    <w:rsid w:val="00042983"/>
    <w:rsid w:val="00042E0A"/>
    <w:rsid w:val="00042E33"/>
    <w:rsid w:val="00042E9F"/>
    <w:rsid w:val="00042F01"/>
    <w:rsid w:val="000435A3"/>
    <w:rsid w:val="000436BB"/>
    <w:rsid w:val="00043799"/>
    <w:rsid w:val="00043875"/>
    <w:rsid w:val="00043888"/>
    <w:rsid w:val="00043AEA"/>
    <w:rsid w:val="00043BCA"/>
    <w:rsid w:val="00043C9A"/>
    <w:rsid w:val="00043DDE"/>
    <w:rsid w:val="00043E47"/>
    <w:rsid w:val="00044067"/>
    <w:rsid w:val="00044228"/>
    <w:rsid w:val="000445C2"/>
    <w:rsid w:val="000446B9"/>
    <w:rsid w:val="00044DCD"/>
    <w:rsid w:val="00044F1B"/>
    <w:rsid w:val="00045412"/>
    <w:rsid w:val="000457E1"/>
    <w:rsid w:val="00045AF2"/>
    <w:rsid w:val="000461B0"/>
    <w:rsid w:val="000463B4"/>
    <w:rsid w:val="00046604"/>
    <w:rsid w:val="0004687F"/>
    <w:rsid w:val="00046AA8"/>
    <w:rsid w:val="00046B16"/>
    <w:rsid w:val="00046E61"/>
    <w:rsid w:val="00046FCA"/>
    <w:rsid w:val="00047118"/>
    <w:rsid w:val="0004749E"/>
    <w:rsid w:val="00047689"/>
    <w:rsid w:val="00047815"/>
    <w:rsid w:val="0005001E"/>
    <w:rsid w:val="000505C9"/>
    <w:rsid w:val="00050720"/>
    <w:rsid w:val="00050C3C"/>
    <w:rsid w:val="00050E01"/>
    <w:rsid w:val="0005100E"/>
    <w:rsid w:val="0005112D"/>
    <w:rsid w:val="0005143E"/>
    <w:rsid w:val="000517D7"/>
    <w:rsid w:val="000517E9"/>
    <w:rsid w:val="00051B74"/>
    <w:rsid w:val="00051FF3"/>
    <w:rsid w:val="00052010"/>
    <w:rsid w:val="000520E0"/>
    <w:rsid w:val="00052145"/>
    <w:rsid w:val="000521C7"/>
    <w:rsid w:val="00052418"/>
    <w:rsid w:val="00052786"/>
    <w:rsid w:val="00052904"/>
    <w:rsid w:val="00052A6C"/>
    <w:rsid w:val="00052D7D"/>
    <w:rsid w:val="00052F46"/>
    <w:rsid w:val="0005312B"/>
    <w:rsid w:val="000532C0"/>
    <w:rsid w:val="000533A3"/>
    <w:rsid w:val="00053966"/>
    <w:rsid w:val="00053CD0"/>
    <w:rsid w:val="00053CED"/>
    <w:rsid w:val="00053E71"/>
    <w:rsid w:val="0005402F"/>
    <w:rsid w:val="000542F4"/>
    <w:rsid w:val="00054859"/>
    <w:rsid w:val="00054BF8"/>
    <w:rsid w:val="00054EDF"/>
    <w:rsid w:val="00054FDB"/>
    <w:rsid w:val="00055031"/>
    <w:rsid w:val="00055326"/>
    <w:rsid w:val="000555B0"/>
    <w:rsid w:val="00055859"/>
    <w:rsid w:val="00055C93"/>
    <w:rsid w:val="00055F9C"/>
    <w:rsid w:val="00056FFD"/>
    <w:rsid w:val="00057355"/>
    <w:rsid w:val="00057817"/>
    <w:rsid w:val="00057CC8"/>
    <w:rsid w:val="00057DB1"/>
    <w:rsid w:val="00057E47"/>
    <w:rsid w:val="00060BB3"/>
    <w:rsid w:val="00060BDF"/>
    <w:rsid w:val="000611A6"/>
    <w:rsid w:val="0006147B"/>
    <w:rsid w:val="00061AD3"/>
    <w:rsid w:val="00061ADF"/>
    <w:rsid w:val="00061D23"/>
    <w:rsid w:val="00061F4C"/>
    <w:rsid w:val="00061FF2"/>
    <w:rsid w:val="00062091"/>
    <w:rsid w:val="00062385"/>
    <w:rsid w:val="00062564"/>
    <w:rsid w:val="00062C4B"/>
    <w:rsid w:val="00062E96"/>
    <w:rsid w:val="0006339B"/>
    <w:rsid w:val="000638CC"/>
    <w:rsid w:val="00063917"/>
    <w:rsid w:val="00063A58"/>
    <w:rsid w:val="00063B43"/>
    <w:rsid w:val="00063C3A"/>
    <w:rsid w:val="00063D12"/>
    <w:rsid w:val="00063DE0"/>
    <w:rsid w:val="00064160"/>
    <w:rsid w:val="00064260"/>
    <w:rsid w:val="00064365"/>
    <w:rsid w:val="00064D83"/>
    <w:rsid w:val="0006548F"/>
    <w:rsid w:val="00066055"/>
    <w:rsid w:val="000660B0"/>
    <w:rsid w:val="000661B4"/>
    <w:rsid w:val="000661C8"/>
    <w:rsid w:val="000661F8"/>
    <w:rsid w:val="000661FD"/>
    <w:rsid w:val="00066652"/>
    <w:rsid w:val="000667B8"/>
    <w:rsid w:val="00066AC2"/>
    <w:rsid w:val="00066C0D"/>
    <w:rsid w:val="00067153"/>
    <w:rsid w:val="00067486"/>
    <w:rsid w:val="000674DC"/>
    <w:rsid w:val="00067578"/>
    <w:rsid w:val="00067896"/>
    <w:rsid w:val="00067950"/>
    <w:rsid w:val="00067B59"/>
    <w:rsid w:val="00067BA6"/>
    <w:rsid w:val="00067C55"/>
    <w:rsid w:val="00067D1F"/>
    <w:rsid w:val="00067D86"/>
    <w:rsid w:val="00067F68"/>
    <w:rsid w:val="0007007B"/>
    <w:rsid w:val="000700E0"/>
    <w:rsid w:val="0007026A"/>
    <w:rsid w:val="000704F6"/>
    <w:rsid w:val="000704F8"/>
    <w:rsid w:val="00070A8B"/>
    <w:rsid w:val="00070A98"/>
    <w:rsid w:val="00070DC3"/>
    <w:rsid w:val="00070DF8"/>
    <w:rsid w:val="0007128D"/>
    <w:rsid w:val="00071666"/>
    <w:rsid w:val="00071807"/>
    <w:rsid w:val="00071B29"/>
    <w:rsid w:val="00071CCE"/>
    <w:rsid w:val="00071DA1"/>
    <w:rsid w:val="000720EA"/>
    <w:rsid w:val="00072238"/>
    <w:rsid w:val="00072606"/>
    <w:rsid w:val="00072637"/>
    <w:rsid w:val="00072E9B"/>
    <w:rsid w:val="0007329E"/>
    <w:rsid w:val="00073429"/>
    <w:rsid w:val="000735D7"/>
    <w:rsid w:val="000736A7"/>
    <w:rsid w:val="00073CFA"/>
    <w:rsid w:val="00074046"/>
    <w:rsid w:val="0007427F"/>
    <w:rsid w:val="00074397"/>
    <w:rsid w:val="000745D6"/>
    <w:rsid w:val="00074A98"/>
    <w:rsid w:val="00075034"/>
    <w:rsid w:val="00075746"/>
    <w:rsid w:val="00075812"/>
    <w:rsid w:val="00075A4E"/>
    <w:rsid w:val="00075E82"/>
    <w:rsid w:val="00076281"/>
    <w:rsid w:val="00076BD2"/>
    <w:rsid w:val="00077059"/>
    <w:rsid w:val="00077A9D"/>
    <w:rsid w:val="00077BEF"/>
    <w:rsid w:val="0008040E"/>
    <w:rsid w:val="00080626"/>
    <w:rsid w:val="00080831"/>
    <w:rsid w:val="000808FF"/>
    <w:rsid w:val="00080A37"/>
    <w:rsid w:val="00080B48"/>
    <w:rsid w:val="00080BFF"/>
    <w:rsid w:val="00080C76"/>
    <w:rsid w:val="00081123"/>
    <w:rsid w:val="00081141"/>
    <w:rsid w:val="0008159E"/>
    <w:rsid w:val="00081849"/>
    <w:rsid w:val="0008188A"/>
    <w:rsid w:val="00081D6F"/>
    <w:rsid w:val="000822FE"/>
    <w:rsid w:val="0008249A"/>
    <w:rsid w:val="00082D4F"/>
    <w:rsid w:val="0008331E"/>
    <w:rsid w:val="00083B86"/>
    <w:rsid w:val="00083D50"/>
    <w:rsid w:val="00083D71"/>
    <w:rsid w:val="00083FA6"/>
    <w:rsid w:val="00084022"/>
    <w:rsid w:val="000843BF"/>
    <w:rsid w:val="000844DB"/>
    <w:rsid w:val="0008464C"/>
    <w:rsid w:val="0008489A"/>
    <w:rsid w:val="00084F91"/>
    <w:rsid w:val="0008527E"/>
    <w:rsid w:val="000852C4"/>
    <w:rsid w:val="000856F3"/>
    <w:rsid w:val="000856F9"/>
    <w:rsid w:val="0008583A"/>
    <w:rsid w:val="00085BF8"/>
    <w:rsid w:val="00085C4E"/>
    <w:rsid w:val="00085C5A"/>
    <w:rsid w:val="00085D98"/>
    <w:rsid w:val="0008622A"/>
    <w:rsid w:val="00086C8A"/>
    <w:rsid w:val="000873D0"/>
    <w:rsid w:val="000875A9"/>
    <w:rsid w:val="00087888"/>
    <w:rsid w:val="00087AC1"/>
    <w:rsid w:val="00087E65"/>
    <w:rsid w:val="00090036"/>
    <w:rsid w:val="000902D4"/>
    <w:rsid w:val="000903B8"/>
    <w:rsid w:val="000903CD"/>
    <w:rsid w:val="000905CE"/>
    <w:rsid w:val="000909D2"/>
    <w:rsid w:val="00091161"/>
    <w:rsid w:val="000916F5"/>
    <w:rsid w:val="0009174C"/>
    <w:rsid w:val="00091BD0"/>
    <w:rsid w:val="00091C0B"/>
    <w:rsid w:val="00091F68"/>
    <w:rsid w:val="00091FDD"/>
    <w:rsid w:val="00092440"/>
    <w:rsid w:val="0009290F"/>
    <w:rsid w:val="00092C55"/>
    <w:rsid w:val="00093227"/>
    <w:rsid w:val="0009356B"/>
    <w:rsid w:val="00093B9A"/>
    <w:rsid w:val="00093D7E"/>
    <w:rsid w:val="00094394"/>
    <w:rsid w:val="000943A6"/>
    <w:rsid w:val="00094500"/>
    <w:rsid w:val="000947AC"/>
    <w:rsid w:val="000947E4"/>
    <w:rsid w:val="0009480A"/>
    <w:rsid w:val="00094824"/>
    <w:rsid w:val="00094DB8"/>
    <w:rsid w:val="00094E62"/>
    <w:rsid w:val="00094EFD"/>
    <w:rsid w:val="00095009"/>
    <w:rsid w:val="000952B4"/>
    <w:rsid w:val="0009569F"/>
    <w:rsid w:val="00095769"/>
    <w:rsid w:val="0009578E"/>
    <w:rsid w:val="00095865"/>
    <w:rsid w:val="00095AD6"/>
    <w:rsid w:val="00095B6E"/>
    <w:rsid w:val="00096052"/>
    <w:rsid w:val="0009613B"/>
    <w:rsid w:val="00096B2D"/>
    <w:rsid w:val="00096C20"/>
    <w:rsid w:val="00097290"/>
    <w:rsid w:val="000974D5"/>
    <w:rsid w:val="00097515"/>
    <w:rsid w:val="00097627"/>
    <w:rsid w:val="00097CC3"/>
    <w:rsid w:val="000A03DA"/>
    <w:rsid w:val="000A0761"/>
    <w:rsid w:val="000A0B67"/>
    <w:rsid w:val="000A119B"/>
    <w:rsid w:val="000A161C"/>
    <w:rsid w:val="000A1796"/>
    <w:rsid w:val="000A2810"/>
    <w:rsid w:val="000A32B3"/>
    <w:rsid w:val="000A3466"/>
    <w:rsid w:val="000A3672"/>
    <w:rsid w:val="000A3708"/>
    <w:rsid w:val="000A3C44"/>
    <w:rsid w:val="000A40B3"/>
    <w:rsid w:val="000A42E5"/>
    <w:rsid w:val="000A4641"/>
    <w:rsid w:val="000A498B"/>
    <w:rsid w:val="000A49F9"/>
    <w:rsid w:val="000A4A19"/>
    <w:rsid w:val="000A4B22"/>
    <w:rsid w:val="000A4B84"/>
    <w:rsid w:val="000A50FA"/>
    <w:rsid w:val="000A516A"/>
    <w:rsid w:val="000A527F"/>
    <w:rsid w:val="000A56DC"/>
    <w:rsid w:val="000A5A6D"/>
    <w:rsid w:val="000A5F82"/>
    <w:rsid w:val="000A61A8"/>
    <w:rsid w:val="000A61BA"/>
    <w:rsid w:val="000A61BF"/>
    <w:rsid w:val="000A6BEC"/>
    <w:rsid w:val="000A7138"/>
    <w:rsid w:val="000A7388"/>
    <w:rsid w:val="000A79D7"/>
    <w:rsid w:val="000A7BDD"/>
    <w:rsid w:val="000A7DD6"/>
    <w:rsid w:val="000B0001"/>
    <w:rsid w:val="000B00CB"/>
    <w:rsid w:val="000B0277"/>
    <w:rsid w:val="000B03F3"/>
    <w:rsid w:val="000B07D7"/>
    <w:rsid w:val="000B082C"/>
    <w:rsid w:val="000B095E"/>
    <w:rsid w:val="000B0AB5"/>
    <w:rsid w:val="000B0BF0"/>
    <w:rsid w:val="000B0D99"/>
    <w:rsid w:val="000B0DC5"/>
    <w:rsid w:val="000B0E16"/>
    <w:rsid w:val="000B10AF"/>
    <w:rsid w:val="000B133A"/>
    <w:rsid w:val="000B13DA"/>
    <w:rsid w:val="000B1628"/>
    <w:rsid w:val="000B1796"/>
    <w:rsid w:val="000B1BB8"/>
    <w:rsid w:val="000B1CC5"/>
    <w:rsid w:val="000B1EE6"/>
    <w:rsid w:val="000B24CE"/>
    <w:rsid w:val="000B25E5"/>
    <w:rsid w:val="000B2878"/>
    <w:rsid w:val="000B2BD8"/>
    <w:rsid w:val="000B2D12"/>
    <w:rsid w:val="000B2D47"/>
    <w:rsid w:val="000B2FA9"/>
    <w:rsid w:val="000B2FB1"/>
    <w:rsid w:val="000B2FF2"/>
    <w:rsid w:val="000B32AC"/>
    <w:rsid w:val="000B34A3"/>
    <w:rsid w:val="000B3953"/>
    <w:rsid w:val="000B39A8"/>
    <w:rsid w:val="000B39EC"/>
    <w:rsid w:val="000B3B4A"/>
    <w:rsid w:val="000B3C4E"/>
    <w:rsid w:val="000B3DEC"/>
    <w:rsid w:val="000B4008"/>
    <w:rsid w:val="000B46AB"/>
    <w:rsid w:val="000B4756"/>
    <w:rsid w:val="000B4BF4"/>
    <w:rsid w:val="000B4C1D"/>
    <w:rsid w:val="000B4FC7"/>
    <w:rsid w:val="000B546C"/>
    <w:rsid w:val="000B5634"/>
    <w:rsid w:val="000B59D7"/>
    <w:rsid w:val="000B613C"/>
    <w:rsid w:val="000B636C"/>
    <w:rsid w:val="000B6831"/>
    <w:rsid w:val="000B6C43"/>
    <w:rsid w:val="000B6D2A"/>
    <w:rsid w:val="000B71F4"/>
    <w:rsid w:val="000B738C"/>
    <w:rsid w:val="000B73BC"/>
    <w:rsid w:val="000B7439"/>
    <w:rsid w:val="000B78AA"/>
    <w:rsid w:val="000B78B8"/>
    <w:rsid w:val="000B79AF"/>
    <w:rsid w:val="000B7CFB"/>
    <w:rsid w:val="000B7D17"/>
    <w:rsid w:val="000C0009"/>
    <w:rsid w:val="000C0440"/>
    <w:rsid w:val="000C0AEF"/>
    <w:rsid w:val="000C0E47"/>
    <w:rsid w:val="000C0F40"/>
    <w:rsid w:val="000C1162"/>
    <w:rsid w:val="000C1CC3"/>
    <w:rsid w:val="000C1D7B"/>
    <w:rsid w:val="000C20BB"/>
    <w:rsid w:val="000C2483"/>
    <w:rsid w:val="000C2521"/>
    <w:rsid w:val="000C3349"/>
    <w:rsid w:val="000C3577"/>
    <w:rsid w:val="000C47DF"/>
    <w:rsid w:val="000C47EC"/>
    <w:rsid w:val="000C49AD"/>
    <w:rsid w:val="000C49D2"/>
    <w:rsid w:val="000C4A64"/>
    <w:rsid w:val="000C4D0F"/>
    <w:rsid w:val="000C52AB"/>
    <w:rsid w:val="000C55F4"/>
    <w:rsid w:val="000C5963"/>
    <w:rsid w:val="000C5BAF"/>
    <w:rsid w:val="000C5E59"/>
    <w:rsid w:val="000C6030"/>
    <w:rsid w:val="000C6037"/>
    <w:rsid w:val="000C606D"/>
    <w:rsid w:val="000C62D9"/>
    <w:rsid w:val="000C6417"/>
    <w:rsid w:val="000C6504"/>
    <w:rsid w:val="000C6603"/>
    <w:rsid w:val="000C68B3"/>
    <w:rsid w:val="000C6ACF"/>
    <w:rsid w:val="000C6C24"/>
    <w:rsid w:val="000C6E46"/>
    <w:rsid w:val="000C7294"/>
    <w:rsid w:val="000C73AD"/>
    <w:rsid w:val="000C7717"/>
    <w:rsid w:val="000C7988"/>
    <w:rsid w:val="000C7E38"/>
    <w:rsid w:val="000C7EB5"/>
    <w:rsid w:val="000D0685"/>
    <w:rsid w:val="000D0AC5"/>
    <w:rsid w:val="000D0CE5"/>
    <w:rsid w:val="000D11A2"/>
    <w:rsid w:val="000D11E8"/>
    <w:rsid w:val="000D123F"/>
    <w:rsid w:val="000D15B2"/>
    <w:rsid w:val="000D1877"/>
    <w:rsid w:val="000D19C6"/>
    <w:rsid w:val="000D1A28"/>
    <w:rsid w:val="000D1A7A"/>
    <w:rsid w:val="000D1AB5"/>
    <w:rsid w:val="000D1DAB"/>
    <w:rsid w:val="000D21C2"/>
    <w:rsid w:val="000D2234"/>
    <w:rsid w:val="000D27FB"/>
    <w:rsid w:val="000D2D70"/>
    <w:rsid w:val="000D2D9E"/>
    <w:rsid w:val="000D3303"/>
    <w:rsid w:val="000D3412"/>
    <w:rsid w:val="000D3446"/>
    <w:rsid w:val="000D35F1"/>
    <w:rsid w:val="000D3696"/>
    <w:rsid w:val="000D372D"/>
    <w:rsid w:val="000D3A95"/>
    <w:rsid w:val="000D3C5F"/>
    <w:rsid w:val="000D3D19"/>
    <w:rsid w:val="000D4445"/>
    <w:rsid w:val="000D44BF"/>
    <w:rsid w:val="000D4557"/>
    <w:rsid w:val="000D5431"/>
    <w:rsid w:val="000D568B"/>
    <w:rsid w:val="000D5974"/>
    <w:rsid w:val="000D5C7F"/>
    <w:rsid w:val="000D61E6"/>
    <w:rsid w:val="000D630E"/>
    <w:rsid w:val="000D6567"/>
    <w:rsid w:val="000D6B77"/>
    <w:rsid w:val="000D70AA"/>
    <w:rsid w:val="000D741B"/>
    <w:rsid w:val="000D76F0"/>
    <w:rsid w:val="000D7A60"/>
    <w:rsid w:val="000D7F42"/>
    <w:rsid w:val="000E024E"/>
    <w:rsid w:val="000E02ED"/>
    <w:rsid w:val="000E048E"/>
    <w:rsid w:val="000E052E"/>
    <w:rsid w:val="000E05ED"/>
    <w:rsid w:val="000E0949"/>
    <w:rsid w:val="000E0960"/>
    <w:rsid w:val="000E0A6A"/>
    <w:rsid w:val="000E0B1D"/>
    <w:rsid w:val="000E0D50"/>
    <w:rsid w:val="000E1241"/>
    <w:rsid w:val="000E19C3"/>
    <w:rsid w:val="000E1B2B"/>
    <w:rsid w:val="000E1B9E"/>
    <w:rsid w:val="000E1D02"/>
    <w:rsid w:val="000E1DA6"/>
    <w:rsid w:val="000E1E39"/>
    <w:rsid w:val="000E1EF0"/>
    <w:rsid w:val="000E2056"/>
    <w:rsid w:val="000E2796"/>
    <w:rsid w:val="000E2AA7"/>
    <w:rsid w:val="000E2BEC"/>
    <w:rsid w:val="000E2CB7"/>
    <w:rsid w:val="000E305D"/>
    <w:rsid w:val="000E30EA"/>
    <w:rsid w:val="000E3AC2"/>
    <w:rsid w:val="000E3AF6"/>
    <w:rsid w:val="000E3E28"/>
    <w:rsid w:val="000E4590"/>
    <w:rsid w:val="000E49F2"/>
    <w:rsid w:val="000E50B1"/>
    <w:rsid w:val="000E5761"/>
    <w:rsid w:val="000E5821"/>
    <w:rsid w:val="000E58CD"/>
    <w:rsid w:val="000E6179"/>
    <w:rsid w:val="000E6548"/>
    <w:rsid w:val="000E662E"/>
    <w:rsid w:val="000E6833"/>
    <w:rsid w:val="000E6B23"/>
    <w:rsid w:val="000E6FEC"/>
    <w:rsid w:val="000E75AA"/>
    <w:rsid w:val="000E78E3"/>
    <w:rsid w:val="000E7BF0"/>
    <w:rsid w:val="000E7DB6"/>
    <w:rsid w:val="000F0028"/>
    <w:rsid w:val="000F05CD"/>
    <w:rsid w:val="000F0CDC"/>
    <w:rsid w:val="000F15E4"/>
    <w:rsid w:val="000F1A69"/>
    <w:rsid w:val="000F1D3B"/>
    <w:rsid w:val="000F1FBE"/>
    <w:rsid w:val="000F200B"/>
    <w:rsid w:val="000F20D8"/>
    <w:rsid w:val="000F23DF"/>
    <w:rsid w:val="000F27A3"/>
    <w:rsid w:val="000F2A9D"/>
    <w:rsid w:val="000F2D70"/>
    <w:rsid w:val="000F30A5"/>
    <w:rsid w:val="000F3112"/>
    <w:rsid w:val="000F3190"/>
    <w:rsid w:val="000F32E7"/>
    <w:rsid w:val="000F33D0"/>
    <w:rsid w:val="000F388F"/>
    <w:rsid w:val="000F3EAA"/>
    <w:rsid w:val="000F3F07"/>
    <w:rsid w:val="000F4048"/>
    <w:rsid w:val="000F422E"/>
    <w:rsid w:val="000F467E"/>
    <w:rsid w:val="000F49DE"/>
    <w:rsid w:val="000F4B20"/>
    <w:rsid w:val="000F5522"/>
    <w:rsid w:val="000F5630"/>
    <w:rsid w:val="000F5758"/>
    <w:rsid w:val="000F5E38"/>
    <w:rsid w:val="000F5EF5"/>
    <w:rsid w:val="000F64CD"/>
    <w:rsid w:val="000F65D9"/>
    <w:rsid w:val="000F66E6"/>
    <w:rsid w:val="000F6D93"/>
    <w:rsid w:val="000F6FBA"/>
    <w:rsid w:val="000F7497"/>
    <w:rsid w:val="000F7FBF"/>
    <w:rsid w:val="00100287"/>
    <w:rsid w:val="00100327"/>
    <w:rsid w:val="001005DB"/>
    <w:rsid w:val="001007EC"/>
    <w:rsid w:val="0010082D"/>
    <w:rsid w:val="001009B6"/>
    <w:rsid w:val="00100C89"/>
    <w:rsid w:val="00101290"/>
    <w:rsid w:val="001012BA"/>
    <w:rsid w:val="00101391"/>
    <w:rsid w:val="001015C5"/>
    <w:rsid w:val="001018B2"/>
    <w:rsid w:val="00101E02"/>
    <w:rsid w:val="001020F6"/>
    <w:rsid w:val="00102220"/>
    <w:rsid w:val="00102248"/>
    <w:rsid w:val="00102C4B"/>
    <w:rsid w:val="00102DAE"/>
    <w:rsid w:val="00102E98"/>
    <w:rsid w:val="00103099"/>
    <w:rsid w:val="001038E2"/>
    <w:rsid w:val="00103FD3"/>
    <w:rsid w:val="00103FF7"/>
    <w:rsid w:val="0010406F"/>
    <w:rsid w:val="001041F0"/>
    <w:rsid w:val="0010439F"/>
    <w:rsid w:val="001043F8"/>
    <w:rsid w:val="001044A0"/>
    <w:rsid w:val="001045CF"/>
    <w:rsid w:val="001046FB"/>
    <w:rsid w:val="00104991"/>
    <w:rsid w:val="001049BF"/>
    <w:rsid w:val="00104D57"/>
    <w:rsid w:val="001051C6"/>
    <w:rsid w:val="00105332"/>
    <w:rsid w:val="00105401"/>
    <w:rsid w:val="001054C4"/>
    <w:rsid w:val="0010554B"/>
    <w:rsid w:val="0010554F"/>
    <w:rsid w:val="00105808"/>
    <w:rsid w:val="00105936"/>
    <w:rsid w:val="00105A07"/>
    <w:rsid w:val="00105A57"/>
    <w:rsid w:val="00105CAC"/>
    <w:rsid w:val="00106F34"/>
    <w:rsid w:val="00106F75"/>
    <w:rsid w:val="0010703D"/>
    <w:rsid w:val="001070B6"/>
    <w:rsid w:val="00107245"/>
    <w:rsid w:val="001072EB"/>
    <w:rsid w:val="0010743D"/>
    <w:rsid w:val="0010748D"/>
    <w:rsid w:val="001077B1"/>
    <w:rsid w:val="00107A40"/>
    <w:rsid w:val="0011028B"/>
    <w:rsid w:val="001103F6"/>
    <w:rsid w:val="001109BF"/>
    <w:rsid w:val="00111349"/>
    <w:rsid w:val="001113E0"/>
    <w:rsid w:val="001119AA"/>
    <w:rsid w:val="00111AD5"/>
    <w:rsid w:val="00111FD6"/>
    <w:rsid w:val="00111FF7"/>
    <w:rsid w:val="00112099"/>
    <w:rsid w:val="00112129"/>
    <w:rsid w:val="00112145"/>
    <w:rsid w:val="001126C1"/>
    <w:rsid w:val="00112BB5"/>
    <w:rsid w:val="00112C26"/>
    <w:rsid w:val="00112EAB"/>
    <w:rsid w:val="00112F06"/>
    <w:rsid w:val="00112F11"/>
    <w:rsid w:val="001130A8"/>
    <w:rsid w:val="00113175"/>
    <w:rsid w:val="001134AA"/>
    <w:rsid w:val="0011383B"/>
    <w:rsid w:val="00113865"/>
    <w:rsid w:val="00113AB2"/>
    <w:rsid w:val="00113B9B"/>
    <w:rsid w:val="00113D5B"/>
    <w:rsid w:val="00113DD2"/>
    <w:rsid w:val="00113EB1"/>
    <w:rsid w:val="001140B8"/>
    <w:rsid w:val="0011411A"/>
    <w:rsid w:val="001141B0"/>
    <w:rsid w:val="001149E9"/>
    <w:rsid w:val="00114A25"/>
    <w:rsid w:val="00114A87"/>
    <w:rsid w:val="00114AEB"/>
    <w:rsid w:val="00114E09"/>
    <w:rsid w:val="00115245"/>
    <w:rsid w:val="00115811"/>
    <w:rsid w:val="00115AED"/>
    <w:rsid w:val="00115D8D"/>
    <w:rsid w:val="00115E90"/>
    <w:rsid w:val="001162C2"/>
    <w:rsid w:val="00116418"/>
    <w:rsid w:val="001167C3"/>
    <w:rsid w:val="001167FC"/>
    <w:rsid w:val="0011682F"/>
    <w:rsid w:val="00116B31"/>
    <w:rsid w:val="00116F28"/>
    <w:rsid w:val="00117065"/>
    <w:rsid w:val="001170E0"/>
    <w:rsid w:val="0011730C"/>
    <w:rsid w:val="001177AD"/>
    <w:rsid w:val="001179E3"/>
    <w:rsid w:val="00117CC9"/>
    <w:rsid w:val="00117E24"/>
    <w:rsid w:val="001205DD"/>
    <w:rsid w:val="001206E4"/>
    <w:rsid w:val="00120BAC"/>
    <w:rsid w:val="00120C05"/>
    <w:rsid w:val="00120CDF"/>
    <w:rsid w:val="00121365"/>
    <w:rsid w:val="00121592"/>
    <w:rsid w:val="001216B0"/>
    <w:rsid w:val="00121954"/>
    <w:rsid w:val="00121BFF"/>
    <w:rsid w:val="00121E1B"/>
    <w:rsid w:val="00122011"/>
    <w:rsid w:val="00122191"/>
    <w:rsid w:val="00122316"/>
    <w:rsid w:val="0012237F"/>
    <w:rsid w:val="001224A7"/>
    <w:rsid w:val="00122846"/>
    <w:rsid w:val="001233B9"/>
    <w:rsid w:val="001233D6"/>
    <w:rsid w:val="00123743"/>
    <w:rsid w:val="00123A4A"/>
    <w:rsid w:val="00123F73"/>
    <w:rsid w:val="0012424C"/>
    <w:rsid w:val="001244BB"/>
    <w:rsid w:val="0012468A"/>
    <w:rsid w:val="00124E1A"/>
    <w:rsid w:val="001251D9"/>
    <w:rsid w:val="00125239"/>
    <w:rsid w:val="001252CC"/>
    <w:rsid w:val="001254F7"/>
    <w:rsid w:val="00125745"/>
    <w:rsid w:val="00125A88"/>
    <w:rsid w:val="00125B37"/>
    <w:rsid w:val="0012602F"/>
    <w:rsid w:val="00126903"/>
    <w:rsid w:val="00126C3D"/>
    <w:rsid w:val="00126FD0"/>
    <w:rsid w:val="00127026"/>
    <w:rsid w:val="001275AC"/>
    <w:rsid w:val="001275DA"/>
    <w:rsid w:val="001278CA"/>
    <w:rsid w:val="00127A93"/>
    <w:rsid w:val="00130089"/>
    <w:rsid w:val="001308CB"/>
    <w:rsid w:val="0013091E"/>
    <w:rsid w:val="00130C59"/>
    <w:rsid w:val="0013102A"/>
    <w:rsid w:val="001310E3"/>
    <w:rsid w:val="001311AA"/>
    <w:rsid w:val="001312C8"/>
    <w:rsid w:val="00131418"/>
    <w:rsid w:val="001314F2"/>
    <w:rsid w:val="001315B2"/>
    <w:rsid w:val="001317F2"/>
    <w:rsid w:val="00131AA4"/>
    <w:rsid w:val="00131B9E"/>
    <w:rsid w:val="00131BB9"/>
    <w:rsid w:val="00131E3C"/>
    <w:rsid w:val="00131E44"/>
    <w:rsid w:val="00132597"/>
    <w:rsid w:val="00132957"/>
    <w:rsid w:val="00132EFE"/>
    <w:rsid w:val="00133095"/>
    <w:rsid w:val="0013315C"/>
    <w:rsid w:val="00133170"/>
    <w:rsid w:val="00133352"/>
    <w:rsid w:val="0013349E"/>
    <w:rsid w:val="001334D8"/>
    <w:rsid w:val="0013371A"/>
    <w:rsid w:val="00133992"/>
    <w:rsid w:val="00133CD3"/>
    <w:rsid w:val="00133D38"/>
    <w:rsid w:val="001341E6"/>
    <w:rsid w:val="00134400"/>
    <w:rsid w:val="001344C2"/>
    <w:rsid w:val="0013482C"/>
    <w:rsid w:val="00134882"/>
    <w:rsid w:val="00134C8A"/>
    <w:rsid w:val="00134D1B"/>
    <w:rsid w:val="00134DCB"/>
    <w:rsid w:val="00134F37"/>
    <w:rsid w:val="00135426"/>
    <w:rsid w:val="00135461"/>
    <w:rsid w:val="00135A2C"/>
    <w:rsid w:val="00135D82"/>
    <w:rsid w:val="00135F86"/>
    <w:rsid w:val="00135FF7"/>
    <w:rsid w:val="00136423"/>
    <w:rsid w:val="0013662E"/>
    <w:rsid w:val="001369E9"/>
    <w:rsid w:val="00137513"/>
    <w:rsid w:val="00137952"/>
    <w:rsid w:val="0013798B"/>
    <w:rsid w:val="00137A38"/>
    <w:rsid w:val="001405E5"/>
    <w:rsid w:val="00140A73"/>
    <w:rsid w:val="00140BF2"/>
    <w:rsid w:val="00141008"/>
    <w:rsid w:val="00141298"/>
    <w:rsid w:val="001413EA"/>
    <w:rsid w:val="001418EE"/>
    <w:rsid w:val="00141909"/>
    <w:rsid w:val="001420D3"/>
    <w:rsid w:val="0014222B"/>
    <w:rsid w:val="0014248F"/>
    <w:rsid w:val="001424F3"/>
    <w:rsid w:val="001428DB"/>
    <w:rsid w:val="00142951"/>
    <w:rsid w:val="00142BC3"/>
    <w:rsid w:val="00142F50"/>
    <w:rsid w:val="00142FCD"/>
    <w:rsid w:val="001430D1"/>
    <w:rsid w:val="0014327E"/>
    <w:rsid w:val="001432EE"/>
    <w:rsid w:val="001434CD"/>
    <w:rsid w:val="001435B1"/>
    <w:rsid w:val="0014363E"/>
    <w:rsid w:val="0014377A"/>
    <w:rsid w:val="0014383E"/>
    <w:rsid w:val="001439BB"/>
    <w:rsid w:val="00143B0C"/>
    <w:rsid w:val="00144186"/>
    <w:rsid w:val="00144232"/>
    <w:rsid w:val="00144606"/>
    <w:rsid w:val="00144A22"/>
    <w:rsid w:val="00145322"/>
    <w:rsid w:val="00145404"/>
    <w:rsid w:val="00145417"/>
    <w:rsid w:val="00145565"/>
    <w:rsid w:val="00145755"/>
    <w:rsid w:val="001457E0"/>
    <w:rsid w:val="00145BEF"/>
    <w:rsid w:val="00145C05"/>
    <w:rsid w:val="00145C44"/>
    <w:rsid w:val="001460F9"/>
    <w:rsid w:val="001460FE"/>
    <w:rsid w:val="001465CA"/>
    <w:rsid w:val="0014666B"/>
    <w:rsid w:val="00146833"/>
    <w:rsid w:val="00146ACC"/>
    <w:rsid w:val="00146FA8"/>
    <w:rsid w:val="00147250"/>
    <w:rsid w:val="00147789"/>
    <w:rsid w:val="0014784E"/>
    <w:rsid w:val="0015012F"/>
    <w:rsid w:val="0015014C"/>
    <w:rsid w:val="00150150"/>
    <w:rsid w:val="0015040A"/>
    <w:rsid w:val="00150879"/>
    <w:rsid w:val="00150BE1"/>
    <w:rsid w:val="00150C8A"/>
    <w:rsid w:val="00150E2A"/>
    <w:rsid w:val="00150EFE"/>
    <w:rsid w:val="00151368"/>
    <w:rsid w:val="00151897"/>
    <w:rsid w:val="00152335"/>
    <w:rsid w:val="00152A44"/>
    <w:rsid w:val="00152AE4"/>
    <w:rsid w:val="00152F08"/>
    <w:rsid w:val="00152F55"/>
    <w:rsid w:val="001530B8"/>
    <w:rsid w:val="001531FE"/>
    <w:rsid w:val="00153AAD"/>
    <w:rsid w:val="00153E8D"/>
    <w:rsid w:val="00153EF8"/>
    <w:rsid w:val="0015422A"/>
    <w:rsid w:val="001543D5"/>
    <w:rsid w:val="001552FA"/>
    <w:rsid w:val="00155421"/>
    <w:rsid w:val="00155731"/>
    <w:rsid w:val="001557AF"/>
    <w:rsid w:val="001559A4"/>
    <w:rsid w:val="00155B3F"/>
    <w:rsid w:val="001561A0"/>
    <w:rsid w:val="001563E8"/>
    <w:rsid w:val="0015687C"/>
    <w:rsid w:val="00156881"/>
    <w:rsid w:val="001568F6"/>
    <w:rsid w:val="00156CCC"/>
    <w:rsid w:val="001573CD"/>
    <w:rsid w:val="00157A42"/>
    <w:rsid w:val="00157B94"/>
    <w:rsid w:val="00157D31"/>
    <w:rsid w:val="00157ED5"/>
    <w:rsid w:val="00160124"/>
    <w:rsid w:val="00160161"/>
    <w:rsid w:val="001606A0"/>
    <w:rsid w:val="0016080E"/>
    <w:rsid w:val="00160ABF"/>
    <w:rsid w:val="00160BB9"/>
    <w:rsid w:val="00160C76"/>
    <w:rsid w:val="001614CB"/>
    <w:rsid w:val="001615EE"/>
    <w:rsid w:val="00161825"/>
    <w:rsid w:val="0016183E"/>
    <w:rsid w:val="00162484"/>
    <w:rsid w:val="00162B33"/>
    <w:rsid w:val="00162DA0"/>
    <w:rsid w:val="00163042"/>
    <w:rsid w:val="00163443"/>
    <w:rsid w:val="001635F7"/>
    <w:rsid w:val="001638A7"/>
    <w:rsid w:val="00163F77"/>
    <w:rsid w:val="001641F4"/>
    <w:rsid w:val="0016437F"/>
    <w:rsid w:val="001644DB"/>
    <w:rsid w:val="00164896"/>
    <w:rsid w:val="0016494B"/>
    <w:rsid w:val="00164B66"/>
    <w:rsid w:val="001651A1"/>
    <w:rsid w:val="001651A5"/>
    <w:rsid w:val="001655EB"/>
    <w:rsid w:val="001655F2"/>
    <w:rsid w:val="00165657"/>
    <w:rsid w:val="00165684"/>
    <w:rsid w:val="0016597F"/>
    <w:rsid w:val="00165CE5"/>
    <w:rsid w:val="00165EDE"/>
    <w:rsid w:val="00165FA9"/>
    <w:rsid w:val="00165FE2"/>
    <w:rsid w:val="0016617E"/>
    <w:rsid w:val="001662AF"/>
    <w:rsid w:val="001667CB"/>
    <w:rsid w:val="001668AC"/>
    <w:rsid w:val="00166A4C"/>
    <w:rsid w:val="00166ABC"/>
    <w:rsid w:val="00166C41"/>
    <w:rsid w:val="00166F0F"/>
    <w:rsid w:val="00166F84"/>
    <w:rsid w:val="0016700D"/>
    <w:rsid w:val="0016709F"/>
    <w:rsid w:val="00167398"/>
    <w:rsid w:val="001677D0"/>
    <w:rsid w:val="00167835"/>
    <w:rsid w:val="00167BAC"/>
    <w:rsid w:val="00167C72"/>
    <w:rsid w:val="00167DE4"/>
    <w:rsid w:val="00167E90"/>
    <w:rsid w:val="00170214"/>
    <w:rsid w:val="001706AB"/>
    <w:rsid w:val="00170A0A"/>
    <w:rsid w:val="00170FC1"/>
    <w:rsid w:val="00171474"/>
    <w:rsid w:val="001716C5"/>
    <w:rsid w:val="00171C05"/>
    <w:rsid w:val="001721B2"/>
    <w:rsid w:val="00172925"/>
    <w:rsid w:val="00172C3A"/>
    <w:rsid w:val="00172C78"/>
    <w:rsid w:val="00172E50"/>
    <w:rsid w:val="00172EA8"/>
    <w:rsid w:val="00173804"/>
    <w:rsid w:val="00173AD6"/>
    <w:rsid w:val="00174147"/>
    <w:rsid w:val="0017422A"/>
    <w:rsid w:val="001742FB"/>
    <w:rsid w:val="001743A8"/>
    <w:rsid w:val="00174595"/>
    <w:rsid w:val="001746F5"/>
    <w:rsid w:val="001747E5"/>
    <w:rsid w:val="00174867"/>
    <w:rsid w:val="001748E3"/>
    <w:rsid w:val="00174A08"/>
    <w:rsid w:val="00174C19"/>
    <w:rsid w:val="00174D05"/>
    <w:rsid w:val="00174DBD"/>
    <w:rsid w:val="00175194"/>
    <w:rsid w:val="001752C7"/>
    <w:rsid w:val="001753EC"/>
    <w:rsid w:val="001755F2"/>
    <w:rsid w:val="001757D5"/>
    <w:rsid w:val="0017580C"/>
    <w:rsid w:val="00175837"/>
    <w:rsid w:val="00175888"/>
    <w:rsid w:val="0017591B"/>
    <w:rsid w:val="00175C39"/>
    <w:rsid w:val="00175E9D"/>
    <w:rsid w:val="00175EF3"/>
    <w:rsid w:val="001760BE"/>
    <w:rsid w:val="001762C1"/>
    <w:rsid w:val="00176433"/>
    <w:rsid w:val="00176462"/>
    <w:rsid w:val="001764C5"/>
    <w:rsid w:val="00176977"/>
    <w:rsid w:val="00176A37"/>
    <w:rsid w:val="00176A62"/>
    <w:rsid w:val="00176F27"/>
    <w:rsid w:val="001770E8"/>
    <w:rsid w:val="0017735C"/>
    <w:rsid w:val="001774EA"/>
    <w:rsid w:val="001774EE"/>
    <w:rsid w:val="00177531"/>
    <w:rsid w:val="0017755A"/>
    <w:rsid w:val="00177921"/>
    <w:rsid w:val="00177C5E"/>
    <w:rsid w:val="00180A9F"/>
    <w:rsid w:val="00181232"/>
    <w:rsid w:val="00181356"/>
    <w:rsid w:val="00181717"/>
    <w:rsid w:val="0018172A"/>
    <w:rsid w:val="001817FD"/>
    <w:rsid w:val="00181B80"/>
    <w:rsid w:val="00181C68"/>
    <w:rsid w:val="00181E09"/>
    <w:rsid w:val="001823AC"/>
    <w:rsid w:val="00182560"/>
    <w:rsid w:val="001825EB"/>
    <w:rsid w:val="00182AC4"/>
    <w:rsid w:val="00182B05"/>
    <w:rsid w:val="00182FDF"/>
    <w:rsid w:val="00183330"/>
    <w:rsid w:val="00183884"/>
    <w:rsid w:val="00183B66"/>
    <w:rsid w:val="00184104"/>
    <w:rsid w:val="00184460"/>
    <w:rsid w:val="001847B7"/>
    <w:rsid w:val="00184A4A"/>
    <w:rsid w:val="00184D40"/>
    <w:rsid w:val="00184DD5"/>
    <w:rsid w:val="00184F69"/>
    <w:rsid w:val="0018509A"/>
    <w:rsid w:val="0018518D"/>
    <w:rsid w:val="0018523F"/>
    <w:rsid w:val="00185346"/>
    <w:rsid w:val="001855ED"/>
    <w:rsid w:val="0018586F"/>
    <w:rsid w:val="00185B37"/>
    <w:rsid w:val="00185FDF"/>
    <w:rsid w:val="00186F7F"/>
    <w:rsid w:val="00186F98"/>
    <w:rsid w:val="00186FB6"/>
    <w:rsid w:val="0018722E"/>
    <w:rsid w:val="001877CF"/>
    <w:rsid w:val="0018797E"/>
    <w:rsid w:val="0019027A"/>
    <w:rsid w:val="001902D2"/>
    <w:rsid w:val="00190716"/>
    <w:rsid w:val="00190A65"/>
    <w:rsid w:val="00191145"/>
    <w:rsid w:val="001911C8"/>
    <w:rsid w:val="0019121C"/>
    <w:rsid w:val="00191885"/>
    <w:rsid w:val="00191D30"/>
    <w:rsid w:val="00192A9F"/>
    <w:rsid w:val="00192E16"/>
    <w:rsid w:val="00192F5F"/>
    <w:rsid w:val="001937DE"/>
    <w:rsid w:val="00193D20"/>
    <w:rsid w:val="0019440F"/>
    <w:rsid w:val="001946AE"/>
    <w:rsid w:val="001948AC"/>
    <w:rsid w:val="00195088"/>
    <w:rsid w:val="001950A4"/>
    <w:rsid w:val="0019572B"/>
    <w:rsid w:val="001959A3"/>
    <w:rsid w:val="00195A19"/>
    <w:rsid w:val="00195D8E"/>
    <w:rsid w:val="00196253"/>
    <w:rsid w:val="001962CD"/>
    <w:rsid w:val="001964F8"/>
    <w:rsid w:val="00196527"/>
    <w:rsid w:val="001965A9"/>
    <w:rsid w:val="00196734"/>
    <w:rsid w:val="00196932"/>
    <w:rsid w:val="00196B2E"/>
    <w:rsid w:val="00196B49"/>
    <w:rsid w:val="00196C00"/>
    <w:rsid w:val="00196C82"/>
    <w:rsid w:val="00196E16"/>
    <w:rsid w:val="00196E81"/>
    <w:rsid w:val="00196E8A"/>
    <w:rsid w:val="00197C9E"/>
    <w:rsid w:val="00197E49"/>
    <w:rsid w:val="001A07D7"/>
    <w:rsid w:val="001A09BF"/>
    <w:rsid w:val="001A0A83"/>
    <w:rsid w:val="001A0AF4"/>
    <w:rsid w:val="001A0D29"/>
    <w:rsid w:val="001A0F36"/>
    <w:rsid w:val="001A0FBE"/>
    <w:rsid w:val="001A142D"/>
    <w:rsid w:val="001A14ED"/>
    <w:rsid w:val="001A1C3C"/>
    <w:rsid w:val="001A1FA5"/>
    <w:rsid w:val="001A2055"/>
    <w:rsid w:val="001A2230"/>
    <w:rsid w:val="001A2239"/>
    <w:rsid w:val="001A2421"/>
    <w:rsid w:val="001A298B"/>
    <w:rsid w:val="001A3A0A"/>
    <w:rsid w:val="001A3C67"/>
    <w:rsid w:val="001A3CAA"/>
    <w:rsid w:val="001A4312"/>
    <w:rsid w:val="001A4655"/>
    <w:rsid w:val="001A4909"/>
    <w:rsid w:val="001A5194"/>
    <w:rsid w:val="001A51A6"/>
    <w:rsid w:val="001A5773"/>
    <w:rsid w:val="001A59BB"/>
    <w:rsid w:val="001A59EE"/>
    <w:rsid w:val="001A5CE0"/>
    <w:rsid w:val="001A5DC6"/>
    <w:rsid w:val="001A6074"/>
    <w:rsid w:val="001A6286"/>
    <w:rsid w:val="001A6561"/>
    <w:rsid w:val="001A6688"/>
    <w:rsid w:val="001A6C50"/>
    <w:rsid w:val="001A6D54"/>
    <w:rsid w:val="001A6D7E"/>
    <w:rsid w:val="001A6E3A"/>
    <w:rsid w:val="001A7044"/>
    <w:rsid w:val="001A737F"/>
    <w:rsid w:val="001A75B0"/>
    <w:rsid w:val="001A763D"/>
    <w:rsid w:val="001A7668"/>
    <w:rsid w:val="001A7940"/>
    <w:rsid w:val="001A7A72"/>
    <w:rsid w:val="001A7AAF"/>
    <w:rsid w:val="001A7C3A"/>
    <w:rsid w:val="001A7D30"/>
    <w:rsid w:val="001B08A8"/>
    <w:rsid w:val="001B0ABA"/>
    <w:rsid w:val="001B0B68"/>
    <w:rsid w:val="001B0B7F"/>
    <w:rsid w:val="001B12DB"/>
    <w:rsid w:val="001B13CC"/>
    <w:rsid w:val="001B14C6"/>
    <w:rsid w:val="001B1819"/>
    <w:rsid w:val="001B1A70"/>
    <w:rsid w:val="001B1A90"/>
    <w:rsid w:val="001B1B97"/>
    <w:rsid w:val="001B1C03"/>
    <w:rsid w:val="001B1C8A"/>
    <w:rsid w:val="001B1FD4"/>
    <w:rsid w:val="001B2169"/>
    <w:rsid w:val="001B271F"/>
    <w:rsid w:val="001B27A7"/>
    <w:rsid w:val="001B3118"/>
    <w:rsid w:val="001B31A5"/>
    <w:rsid w:val="001B3594"/>
    <w:rsid w:val="001B363F"/>
    <w:rsid w:val="001B3855"/>
    <w:rsid w:val="001B3B7A"/>
    <w:rsid w:val="001B3F09"/>
    <w:rsid w:val="001B469E"/>
    <w:rsid w:val="001B4839"/>
    <w:rsid w:val="001B4CA9"/>
    <w:rsid w:val="001B4D69"/>
    <w:rsid w:val="001B4EF9"/>
    <w:rsid w:val="001B4F8A"/>
    <w:rsid w:val="001B4F9A"/>
    <w:rsid w:val="001B502A"/>
    <w:rsid w:val="001B50F9"/>
    <w:rsid w:val="001B515E"/>
    <w:rsid w:val="001B5165"/>
    <w:rsid w:val="001B52B5"/>
    <w:rsid w:val="001B53AF"/>
    <w:rsid w:val="001B55EE"/>
    <w:rsid w:val="001B58F7"/>
    <w:rsid w:val="001B5D82"/>
    <w:rsid w:val="001B61B8"/>
    <w:rsid w:val="001B61CF"/>
    <w:rsid w:val="001B64F7"/>
    <w:rsid w:val="001B6EE2"/>
    <w:rsid w:val="001B71AB"/>
    <w:rsid w:val="001B76F7"/>
    <w:rsid w:val="001B7859"/>
    <w:rsid w:val="001B7954"/>
    <w:rsid w:val="001B795E"/>
    <w:rsid w:val="001B7A22"/>
    <w:rsid w:val="001B7DB4"/>
    <w:rsid w:val="001C01B0"/>
    <w:rsid w:val="001C036A"/>
    <w:rsid w:val="001C0809"/>
    <w:rsid w:val="001C0A52"/>
    <w:rsid w:val="001C0B4E"/>
    <w:rsid w:val="001C11A5"/>
    <w:rsid w:val="001C14D7"/>
    <w:rsid w:val="001C17DC"/>
    <w:rsid w:val="001C1840"/>
    <w:rsid w:val="001C18E3"/>
    <w:rsid w:val="001C199B"/>
    <w:rsid w:val="001C1F1B"/>
    <w:rsid w:val="001C257F"/>
    <w:rsid w:val="001C2683"/>
    <w:rsid w:val="001C27ED"/>
    <w:rsid w:val="001C2814"/>
    <w:rsid w:val="001C2B6B"/>
    <w:rsid w:val="001C2C22"/>
    <w:rsid w:val="001C2DCE"/>
    <w:rsid w:val="001C2EE2"/>
    <w:rsid w:val="001C2FFC"/>
    <w:rsid w:val="001C383A"/>
    <w:rsid w:val="001C3840"/>
    <w:rsid w:val="001C3CEB"/>
    <w:rsid w:val="001C3DFE"/>
    <w:rsid w:val="001C4032"/>
    <w:rsid w:val="001C455C"/>
    <w:rsid w:val="001C45C5"/>
    <w:rsid w:val="001C4D7D"/>
    <w:rsid w:val="001C505D"/>
    <w:rsid w:val="001C5A46"/>
    <w:rsid w:val="001C5D19"/>
    <w:rsid w:val="001C63D7"/>
    <w:rsid w:val="001C6756"/>
    <w:rsid w:val="001C67D1"/>
    <w:rsid w:val="001C687D"/>
    <w:rsid w:val="001C6956"/>
    <w:rsid w:val="001C697D"/>
    <w:rsid w:val="001C6C1E"/>
    <w:rsid w:val="001C6CBC"/>
    <w:rsid w:val="001C71FE"/>
    <w:rsid w:val="001C7266"/>
    <w:rsid w:val="001C73D2"/>
    <w:rsid w:val="001C74A2"/>
    <w:rsid w:val="001C7578"/>
    <w:rsid w:val="001C75E0"/>
    <w:rsid w:val="001C76F4"/>
    <w:rsid w:val="001C7792"/>
    <w:rsid w:val="001C782F"/>
    <w:rsid w:val="001C7B40"/>
    <w:rsid w:val="001C7D28"/>
    <w:rsid w:val="001C7F5B"/>
    <w:rsid w:val="001D0396"/>
    <w:rsid w:val="001D0421"/>
    <w:rsid w:val="001D04E7"/>
    <w:rsid w:val="001D06F3"/>
    <w:rsid w:val="001D0755"/>
    <w:rsid w:val="001D083E"/>
    <w:rsid w:val="001D08D8"/>
    <w:rsid w:val="001D0AB8"/>
    <w:rsid w:val="001D0DEC"/>
    <w:rsid w:val="001D0E51"/>
    <w:rsid w:val="001D109F"/>
    <w:rsid w:val="001D1449"/>
    <w:rsid w:val="001D1647"/>
    <w:rsid w:val="001D176B"/>
    <w:rsid w:val="001D17C3"/>
    <w:rsid w:val="001D195E"/>
    <w:rsid w:val="001D1D34"/>
    <w:rsid w:val="001D2157"/>
    <w:rsid w:val="001D23AE"/>
    <w:rsid w:val="001D2497"/>
    <w:rsid w:val="001D24CF"/>
    <w:rsid w:val="001D2C74"/>
    <w:rsid w:val="001D2EAA"/>
    <w:rsid w:val="001D2F8F"/>
    <w:rsid w:val="001D337C"/>
    <w:rsid w:val="001D35B7"/>
    <w:rsid w:val="001D36ED"/>
    <w:rsid w:val="001D3CBD"/>
    <w:rsid w:val="001D3E2B"/>
    <w:rsid w:val="001D41FA"/>
    <w:rsid w:val="001D4259"/>
    <w:rsid w:val="001D45F5"/>
    <w:rsid w:val="001D4649"/>
    <w:rsid w:val="001D47A1"/>
    <w:rsid w:val="001D4EE0"/>
    <w:rsid w:val="001D5160"/>
    <w:rsid w:val="001D521B"/>
    <w:rsid w:val="001D533B"/>
    <w:rsid w:val="001D54FD"/>
    <w:rsid w:val="001D5641"/>
    <w:rsid w:val="001D57F9"/>
    <w:rsid w:val="001D5A00"/>
    <w:rsid w:val="001D5AD5"/>
    <w:rsid w:val="001D5AEA"/>
    <w:rsid w:val="001D5B53"/>
    <w:rsid w:val="001D5BC2"/>
    <w:rsid w:val="001D5BE0"/>
    <w:rsid w:val="001D61D4"/>
    <w:rsid w:val="001D6279"/>
    <w:rsid w:val="001D6418"/>
    <w:rsid w:val="001D6484"/>
    <w:rsid w:val="001D6AE6"/>
    <w:rsid w:val="001D6B32"/>
    <w:rsid w:val="001D6D16"/>
    <w:rsid w:val="001D6D38"/>
    <w:rsid w:val="001D6EDF"/>
    <w:rsid w:val="001D71FA"/>
    <w:rsid w:val="001D7232"/>
    <w:rsid w:val="001D72F9"/>
    <w:rsid w:val="001D7314"/>
    <w:rsid w:val="001D7417"/>
    <w:rsid w:val="001D75AF"/>
    <w:rsid w:val="001D796F"/>
    <w:rsid w:val="001D7CB7"/>
    <w:rsid w:val="001D7D63"/>
    <w:rsid w:val="001D7F55"/>
    <w:rsid w:val="001E0048"/>
    <w:rsid w:val="001E0264"/>
    <w:rsid w:val="001E02BE"/>
    <w:rsid w:val="001E03F4"/>
    <w:rsid w:val="001E04AE"/>
    <w:rsid w:val="001E0A72"/>
    <w:rsid w:val="001E0E28"/>
    <w:rsid w:val="001E1177"/>
    <w:rsid w:val="001E1425"/>
    <w:rsid w:val="001E144B"/>
    <w:rsid w:val="001E16BB"/>
    <w:rsid w:val="001E1843"/>
    <w:rsid w:val="001E18C1"/>
    <w:rsid w:val="001E2726"/>
    <w:rsid w:val="001E2734"/>
    <w:rsid w:val="001E281A"/>
    <w:rsid w:val="001E2869"/>
    <w:rsid w:val="001E2F08"/>
    <w:rsid w:val="001E2F7A"/>
    <w:rsid w:val="001E3068"/>
    <w:rsid w:val="001E340F"/>
    <w:rsid w:val="001E343C"/>
    <w:rsid w:val="001E355F"/>
    <w:rsid w:val="001E35D5"/>
    <w:rsid w:val="001E371D"/>
    <w:rsid w:val="001E37A5"/>
    <w:rsid w:val="001E39A9"/>
    <w:rsid w:val="001E3AF0"/>
    <w:rsid w:val="001E3E3C"/>
    <w:rsid w:val="001E3EF2"/>
    <w:rsid w:val="001E3FE2"/>
    <w:rsid w:val="001E401B"/>
    <w:rsid w:val="001E4102"/>
    <w:rsid w:val="001E462A"/>
    <w:rsid w:val="001E4682"/>
    <w:rsid w:val="001E4907"/>
    <w:rsid w:val="001E4CCB"/>
    <w:rsid w:val="001E4F4B"/>
    <w:rsid w:val="001E5036"/>
    <w:rsid w:val="001E5103"/>
    <w:rsid w:val="001E517B"/>
    <w:rsid w:val="001E5182"/>
    <w:rsid w:val="001E51C3"/>
    <w:rsid w:val="001E51F5"/>
    <w:rsid w:val="001E5673"/>
    <w:rsid w:val="001E59A3"/>
    <w:rsid w:val="001E5AE1"/>
    <w:rsid w:val="001E5C11"/>
    <w:rsid w:val="001E5D82"/>
    <w:rsid w:val="001E6076"/>
    <w:rsid w:val="001E6294"/>
    <w:rsid w:val="001E6DF7"/>
    <w:rsid w:val="001E6EDD"/>
    <w:rsid w:val="001E6F66"/>
    <w:rsid w:val="001E72F7"/>
    <w:rsid w:val="001E73C7"/>
    <w:rsid w:val="001E756B"/>
    <w:rsid w:val="001E767A"/>
    <w:rsid w:val="001E7926"/>
    <w:rsid w:val="001E7A3A"/>
    <w:rsid w:val="001E7B6E"/>
    <w:rsid w:val="001E7D06"/>
    <w:rsid w:val="001E7F57"/>
    <w:rsid w:val="001F0D63"/>
    <w:rsid w:val="001F1A27"/>
    <w:rsid w:val="001F1EAF"/>
    <w:rsid w:val="001F2220"/>
    <w:rsid w:val="001F2654"/>
    <w:rsid w:val="001F276C"/>
    <w:rsid w:val="001F2E76"/>
    <w:rsid w:val="001F31EA"/>
    <w:rsid w:val="001F321C"/>
    <w:rsid w:val="001F36F1"/>
    <w:rsid w:val="001F3FD3"/>
    <w:rsid w:val="001F4173"/>
    <w:rsid w:val="001F42E2"/>
    <w:rsid w:val="001F4396"/>
    <w:rsid w:val="001F446C"/>
    <w:rsid w:val="001F4DF9"/>
    <w:rsid w:val="001F4E5A"/>
    <w:rsid w:val="001F4E60"/>
    <w:rsid w:val="001F523E"/>
    <w:rsid w:val="001F53F5"/>
    <w:rsid w:val="001F551B"/>
    <w:rsid w:val="001F55BD"/>
    <w:rsid w:val="001F58D4"/>
    <w:rsid w:val="001F5C8E"/>
    <w:rsid w:val="001F631D"/>
    <w:rsid w:val="001F6451"/>
    <w:rsid w:val="001F6538"/>
    <w:rsid w:val="001F6821"/>
    <w:rsid w:val="001F6866"/>
    <w:rsid w:val="001F7238"/>
    <w:rsid w:val="001F74A5"/>
    <w:rsid w:val="001F7816"/>
    <w:rsid w:val="001F7B92"/>
    <w:rsid w:val="00200559"/>
    <w:rsid w:val="002007B9"/>
    <w:rsid w:val="002009C0"/>
    <w:rsid w:val="00200A93"/>
    <w:rsid w:val="00200B4C"/>
    <w:rsid w:val="00200E77"/>
    <w:rsid w:val="00200F6C"/>
    <w:rsid w:val="002010C2"/>
    <w:rsid w:val="002011AF"/>
    <w:rsid w:val="002014E7"/>
    <w:rsid w:val="00201582"/>
    <w:rsid w:val="00201F90"/>
    <w:rsid w:val="002021C5"/>
    <w:rsid w:val="00202AED"/>
    <w:rsid w:val="00202B68"/>
    <w:rsid w:val="00202F3B"/>
    <w:rsid w:val="00202FC0"/>
    <w:rsid w:val="00203025"/>
    <w:rsid w:val="0020303D"/>
    <w:rsid w:val="0020336E"/>
    <w:rsid w:val="00203727"/>
    <w:rsid w:val="00203B12"/>
    <w:rsid w:val="00203C70"/>
    <w:rsid w:val="00203CC5"/>
    <w:rsid w:val="00203EAB"/>
    <w:rsid w:val="00203EAF"/>
    <w:rsid w:val="00203F30"/>
    <w:rsid w:val="00204483"/>
    <w:rsid w:val="00205070"/>
    <w:rsid w:val="00205825"/>
    <w:rsid w:val="00205982"/>
    <w:rsid w:val="00205AF6"/>
    <w:rsid w:val="00205C6B"/>
    <w:rsid w:val="002064EA"/>
    <w:rsid w:val="00206E37"/>
    <w:rsid w:val="00207937"/>
    <w:rsid w:val="002079E5"/>
    <w:rsid w:val="00210020"/>
    <w:rsid w:val="00210057"/>
    <w:rsid w:val="0021013C"/>
    <w:rsid w:val="00210477"/>
    <w:rsid w:val="0021057D"/>
    <w:rsid w:val="002106AC"/>
    <w:rsid w:val="002106CE"/>
    <w:rsid w:val="00210968"/>
    <w:rsid w:val="00211060"/>
    <w:rsid w:val="002116F5"/>
    <w:rsid w:val="002120AB"/>
    <w:rsid w:val="00212259"/>
    <w:rsid w:val="00212444"/>
    <w:rsid w:val="0021268C"/>
    <w:rsid w:val="00212B71"/>
    <w:rsid w:val="00212DE5"/>
    <w:rsid w:val="00212EA8"/>
    <w:rsid w:val="0021319B"/>
    <w:rsid w:val="00213388"/>
    <w:rsid w:val="002134F0"/>
    <w:rsid w:val="002135A8"/>
    <w:rsid w:val="0021364D"/>
    <w:rsid w:val="00213764"/>
    <w:rsid w:val="0021377F"/>
    <w:rsid w:val="002139D1"/>
    <w:rsid w:val="00213CD7"/>
    <w:rsid w:val="002140CB"/>
    <w:rsid w:val="002142EE"/>
    <w:rsid w:val="002145D9"/>
    <w:rsid w:val="0021477B"/>
    <w:rsid w:val="002148AA"/>
    <w:rsid w:val="00214AE9"/>
    <w:rsid w:val="00214AF1"/>
    <w:rsid w:val="00214D1D"/>
    <w:rsid w:val="00214D42"/>
    <w:rsid w:val="00214EC8"/>
    <w:rsid w:val="00214EDD"/>
    <w:rsid w:val="00215733"/>
    <w:rsid w:val="00215AA6"/>
    <w:rsid w:val="00215C31"/>
    <w:rsid w:val="00215C95"/>
    <w:rsid w:val="00215D43"/>
    <w:rsid w:val="00215DF4"/>
    <w:rsid w:val="00215F6B"/>
    <w:rsid w:val="002160CF"/>
    <w:rsid w:val="00216331"/>
    <w:rsid w:val="002165A5"/>
    <w:rsid w:val="0021662F"/>
    <w:rsid w:val="002169F8"/>
    <w:rsid w:val="00216B5F"/>
    <w:rsid w:val="00216BC6"/>
    <w:rsid w:val="00216E13"/>
    <w:rsid w:val="00217024"/>
    <w:rsid w:val="00217494"/>
    <w:rsid w:val="002177A6"/>
    <w:rsid w:val="0021787C"/>
    <w:rsid w:val="002178FE"/>
    <w:rsid w:val="00217BA0"/>
    <w:rsid w:val="00217DEE"/>
    <w:rsid w:val="00217F05"/>
    <w:rsid w:val="00217FB7"/>
    <w:rsid w:val="00220166"/>
    <w:rsid w:val="002201B1"/>
    <w:rsid w:val="00220269"/>
    <w:rsid w:val="002203BE"/>
    <w:rsid w:val="002205DA"/>
    <w:rsid w:val="002207C9"/>
    <w:rsid w:val="00220A27"/>
    <w:rsid w:val="0022119B"/>
    <w:rsid w:val="00221978"/>
    <w:rsid w:val="00221FD1"/>
    <w:rsid w:val="00222057"/>
    <w:rsid w:val="0022228E"/>
    <w:rsid w:val="00222376"/>
    <w:rsid w:val="00222389"/>
    <w:rsid w:val="0022254D"/>
    <w:rsid w:val="00222A10"/>
    <w:rsid w:val="00222E38"/>
    <w:rsid w:val="00223180"/>
    <w:rsid w:val="00223918"/>
    <w:rsid w:val="002239BC"/>
    <w:rsid w:val="00223B6D"/>
    <w:rsid w:val="00223BF8"/>
    <w:rsid w:val="002240EA"/>
    <w:rsid w:val="002244F4"/>
    <w:rsid w:val="0022456C"/>
    <w:rsid w:val="00224586"/>
    <w:rsid w:val="002248D3"/>
    <w:rsid w:val="00224CE1"/>
    <w:rsid w:val="00224E9D"/>
    <w:rsid w:val="00224FCA"/>
    <w:rsid w:val="002250AF"/>
    <w:rsid w:val="002251FF"/>
    <w:rsid w:val="00225439"/>
    <w:rsid w:val="002256D0"/>
    <w:rsid w:val="00225788"/>
    <w:rsid w:val="00225E66"/>
    <w:rsid w:val="00225F0B"/>
    <w:rsid w:val="00226300"/>
    <w:rsid w:val="002264D7"/>
    <w:rsid w:val="00226615"/>
    <w:rsid w:val="00226733"/>
    <w:rsid w:val="00226914"/>
    <w:rsid w:val="00226ACA"/>
    <w:rsid w:val="00226BB2"/>
    <w:rsid w:val="00226EAB"/>
    <w:rsid w:val="0022705E"/>
    <w:rsid w:val="00227216"/>
    <w:rsid w:val="0022725F"/>
    <w:rsid w:val="0022734A"/>
    <w:rsid w:val="002274A4"/>
    <w:rsid w:val="002274DE"/>
    <w:rsid w:val="00227615"/>
    <w:rsid w:val="00227DF1"/>
    <w:rsid w:val="00230895"/>
    <w:rsid w:val="00230E89"/>
    <w:rsid w:val="00230E9A"/>
    <w:rsid w:val="00231021"/>
    <w:rsid w:val="0023110C"/>
    <w:rsid w:val="0023111D"/>
    <w:rsid w:val="002315B1"/>
    <w:rsid w:val="00231666"/>
    <w:rsid w:val="00231B45"/>
    <w:rsid w:val="00231CC3"/>
    <w:rsid w:val="00231D3E"/>
    <w:rsid w:val="00231F7C"/>
    <w:rsid w:val="00231F9E"/>
    <w:rsid w:val="002326D2"/>
    <w:rsid w:val="00232724"/>
    <w:rsid w:val="0023287B"/>
    <w:rsid w:val="002329EF"/>
    <w:rsid w:val="00232AAC"/>
    <w:rsid w:val="00232B60"/>
    <w:rsid w:val="00233172"/>
    <w:rsid w:val="00233370"/>
    <w:rsid w:val="002334DF"/>
    <w:rsid w:val="002338E1"/>
    <w:rsid w:val="00233C39"/>
    <w:rsid w:val="00233DE9"/>
    <w:rsid w:val="00233FAB"/>
    <w:rsid w:val="00233FB9"/>
    <w:rsid w:val="00234004"/>
    <w:rsid w:val="00234654"/>
    <w:rsid w:val="00234A4E"/>
    <w:rsid w:val="00234D53"/>
    <w:rsid w:val="00234D95"/>
    <w:rsid w:val="00234DFE"/>
    <w:rsid w:val="00234EEE"/>
    <w:rsid w:val="0023523E"/>
    <w:rsid w:val="0023587A"/>
    <w:rsid w:val="00235C07"/>
    <w:rsid w:val="00235C19"/>
    <w:rsid w:val="0023601B"/>
    <w:rsid w:val="0023621E"/>
    <w:rsid w:val="00236404"/>
    <w:rsid w:val="002365CE"/>
    <w:rsid w:val="00236C8E"/>
    <w:rsid w:val="002371BB"/>
    <w:rsid w:val="00237878"/>
    <w:rsid w:val="00237B4D"/>
    <w:rsid w:val="00237BEC"/>
    <w:rsid w:val="00237C2E"/>
    <w:rsid w:val="00237E17"/>
    <w:rsid w:val="002401D4"/>
    <w:rsid w:val="002404F7"/>
    <w:rsid w:val="002406B9"/>
    <w:rsid w:val="002407EA"/>
    <w:rsid w:val="0024098A"/>
    <w:rsid w:val="00240BB3"/>
    <w:rsid w:val="00240EAE"/>
    <w:rsid w:val="00241045"/>
    <w:rsid w:val="00241152"/>
    <w:rsid w:val="00241437"/>
    <w:rsid w:val="00241490"/>
    <w:rsid w:val="002414D3"/>
    <w:rsid w:val="0024163E"/>
    <w:rsid w:val="002416E1"/>
    <w:rsid w:val="002417C8"/>
    <w:rsid w:val="002417DF"/>
    <w:rsid w:val="00241BBD"/>
    <w:rsid w:val="00241DD1"/>
    <w:rsid w:val="00241DEA"/>
    <w:rsid w:val="002423F3"/>
    <w:rsid w:val="00242549"/>
    <w:rsid w:val="00242654"/>
    <w:rsid w:val="002426B6"/>
    <w:rsid w:val="0024288E"/>
    <w:rsid w:val="00242D52"/>
    <w:rsid w:val="00242F5E"/>
    <w:rsid w:val="00242FF0"/>
    <w:rsid w:val="002431BD"/>
    <w:rsid w:val="00243222"/>
    <w:rsid w:val="002432F4"/>
    <w:rsid w:val="00243682"/>
    <w:rsid w:val="00243771"/>
    <w:rsid w:val="0024396A"/>
    <w:rsid w:val="00243BEF"/>
    <w:rsid w:val="002441FF"/>
    <w:rsid w:val="00244332"/>
    <w:rsid w:val="00244671"/>
    <w:rsid w:val="00244694"/>
    <w:rsid w:val="0024472D"/>
    <w:rsid w:val="00244A09"/>
    <w:rsid w:val="00244AE2"/>
    <w:rsid w:val="00244EFC"/>
    <w:rsid w:val="00245413"/>
    <w:rsid w:val="002455A8"/>
    <w:rsid w:val="00245792"/>
    <w:rsid w:val="00245F03"/>
    <w:rsid w:val="002466CF"/>
    <w:rsid w:val="00246AEB"/>
    <w:rsid w:val="00246B44"/>
    <w:rsid w:val="00246DBF"/>
    <w:rsid w:val="0024726F"/>
    <w:rsid w:val="00247842"/>
    <w:rsid w:val="002479DA"/>
    <w:rsid w:val="00247C9B"/>
    <w:rsid w:val="00247CA6"/>
    <w:rsid w:val="00247F7E"/>
    <w:rsid w:val="00250102"/>
    <w:rsid w:val="00250117"/>
    <w:rsid w:val="00250616"/>
    <w:rsid w:val="00250E31"/>
    <w:rsid w:val="0025112A"/>
    <w:rsid w:val="00251263"/>
    <w:rsid w:val="002512B4"/>
    <w:rsid w:val="002512ED"/>
    <w:rsid w:val="0025153E"/>
    <w:rsid w:val="002516A1"/>
    <w:rsid w:val="00251826"/>
    <w:rsid w:val="00251CDF"/>
    <w:rsid w:val="00251E14"/>
    <w:rsid w:val="00251F4F"/>
    <w:rsid w:val="0025203D"/>
    <w:rsid w:val="0025209F"/>
    <w:rsid w:val="0025226F"/>
    <w:rsid w:val="0025274D"/>
    <w:rsid w:val="00252877"/>
    <w:rsid w:val="00252B90"/>
    <w:rsid w:val="00252D82"/>
    <w:rsid w:val="00252E20"/>
    <w:rsid w:val="002532CC"/>
    <w:rsid w:val="00253358"/>
    <w:rsid w:val="0025355A"/>
    <w:rsid w:val="00253AE1"/>
    <w:rsid w:val="00253C17"/>
    <w:rsid w:val="00253F86"/>
    <w:rsid w:val="002546F8"/>
    <w:rsid w:val="00254784"/>
    <w:rsid w:val="00254F65"/>
    <w:rsid w:val="00254F82"/>
    <w:rsid w:val="00255302"/>
    <w:rsid w:val="002558CB"/>
    <w:rsid w:val="00255FB4"/>
    <w:rsid w:val="00255FF4"/>
    <w:rsid w:val="00256067"/>
    <w:rsid w:val="002560E6"/>
    <w:rsid w:val="002561DF"/>
    <w:rsid w:val="002565D4"/>
    <w:rsid w:val="00256EAD"/>
    <w:rsid w:val="0025711C"/>
    <w:rsid w:val="002578E0"/>
    <w:rsid w:val="00257A05"/>
    <w:rsid w:val="00257AFC"/>
    <w:rsid w:val="00260073"/>
    <w:rsid w:val="0026019C"/>
    <w:rsid w:val="0026098C"/>
    <w:rsid w:val="00260FD2"/>
    <w:rsid w:val="0026155A"/>
    <w:rsid w:val="002619FA"/>
    <w:rsid w:val="00261BD0"/>
    <w:rsid w:val="00261CDA"/>
    <w:rsid w:val="00261F4A"/>
    <w:rsid w:val="00262177"/>
    <w:rsid w:val="00262302"/>
    <w:rsid w:val="00262412"/>
    <w:rsid w:val="00262612"/>
    <w:rsid w:val="0026268B"/>
    <w:rsid w:val="00262793"/>
    <w:rsid w:val="002627DD"/>
    <w:rsid w:val="0026283E"/>
    <w:rsid w:val="00262AD8"/>
    <w:rsid w:val="00262FAB"/>
    <w:rsid w:val="00263102"/>
    <w:rsid w:val="002631A0"/>
    <w:rsid w:val="002632C8"/>
    <w:rsid w:val="00263438"/>
    <w:rsid w:val="00263481"/>
    <w:rsid w:val="0026360E"/>
    <w:rsid w:val="002636C2"/>
    <w:rsid w:val="00263A2E"/>
    <w:rsid w:val="00263A43"/>
    <w:rsid w:val="00263ABF"/>
    <w:rsid w:val="00263CF2"/>
    <w:rsid w:val="00263D33"/>
    <w:rsid w:val="00264174"/>
    <w:rsid w:val="00264293"/>
    <w:rsid w:val="002644E3"/>
    <w:rsid w:val="0026461F"/>
    <w:rsid w:val="00264A1E"/>
    <w:rsid w:val="00264A47"/>
    <w:rsid w:val="00264F9A"/>
    <w:rsid w:val="00265454"/>
    <w:rsid w:val="002655F0"/>
    <w:rsid w:val="00265666"/>
    <w:rsid w:val="00265864"/>
    <w:rsid w:val="0026593B"/>
    <w:rsid w:val="00265DE4"/>
    <w:rsid w:val="00265E7E"/>
    <w:rsid w:val="00265F64"/>
    <w:rsid w:val="002662BA"/>
    <w:rsid w:val="00266761"/>
    <w:rsid w:val="00266778"/>
    <w:rsid w:val="00266927"/>
    <w:rsid w:val="00266A3C"/>
    <w:rsid w:val="00266ABE"/>
    <w:rsid w:val="00267073"/>
    <w:rsid w:val="0026707E"/>
    <w:rsid w:val="00267826"/>
    <w:rsid w:val="00267941"/>
    <w:rsid w:val="00267AE7"/>
    <w:rsid w:val="00267C1D"/>
    <w:rsid w:val="002702A9"/>
    <w:rsid w:val="002704A6"/>
    <w:rsid w:val="002705EE"/>
    <w:rsid w:val="00270E35"/>
    <w:rsid w:val="0027132A"/>
    <w:rsid w:val="00271477"/>
    <w:rsid w:val="00271481"/>
    <w:rsid w:val="0027150C"/>
    <w:rsid w:val="0027157E"/>
    <w:rsid w:val="002715EE"/>
    <w:rsid w:val="002718C7"/>
    <w:rsid w:val="002718E7"/>
    <w:rsid w:val="00271B49"/>
    <w:rsid w:val="002725B1"/>
    <w:rsid w:val="00272676"/>
    <w:rsid w:val="00272CB5"/>
    <w:rsid w:val="00272D3F"/>
    <w:rsid w:val="00273660"/>
    <w:rsid w:val="00273688"/>
    <w:rsid w:val="0027375E"/>
    <w:rsid w:val="00273907"/>
    <w:rsid w:val="002739C8"/>
    <w:rsid w:val="00273F42"/>
    <w:rsid w:val="00273FBC"/>
    <w:rsid w:val="002740FF"/>
    <w:rsid w:val="00274109"/>
    <w:rsid w:val="00274239"/>
    <w:rsid w:val="0027429C"/>
    <w:rsid w:val="00274A37"/>
    <w:rsid w:val="00274D1B"/>
    <w:rsid w:val="00274DE9"/>
    <w:rsid w:val="002750B1"/>
    <w:rsid w:val="00275463"/>
    <w:rsid w:val="00275E0F"/>
    <w:rsid w:val="00275E62"/>
    <w:rsid w:val="00276633"/>
    <w:rsid w:val="002767DB"/>
    <w:rsid w:val="00276BE5"/>
    <w:rsid w:val="00276FBB"/>
    <w:rsid w:val="002770D4"/>
    <w:rsid w:val="002771D5"/>
    <w:rsid w:val="0027785B"/>
    <w:rsid w:val="00277A12"/>
    <w:rsid w:val="00277C47"/>
    <w:rsid w:val="00280262"/>
    <w:rsid w:val="0028058E"/>
    <w:rsid w:val="0028080F"/>
    <w:rsid w:val="00281175"/>
    <w:rsid w:val="0028121C"/>
    <w:rsid w:val="0028140F"/>
    <w:rsid w:val="00281473"/>
    <w:rsid w:val="002816CF"/>
    <w:rsid w:val="00281921"/>
    <w:rsid w:val="00281A0F"/>
    <w:rsid w:val="00281BDE"/>
    <w:rsid w:val="00281D7D"/>
    <w:rsid w:val="00281E45"/>
    <w:rsid w:val="00281ECE"/>
    <w:rsid w:val="00281FE5"/>
    <w:rsid w:val="00282119"/>
    <w:rsid w:val="0028246D"/>
    <w:rsid w:val="00282944"/>
    <w:rsid w:val="00282AF0"/>
    <w:rsid w:val="00282C17"/>
    <w:rsid w:val="00282FB1"/>
    <w:rsid w:val="00283188"/>
    <w:rsid w:val="002831DA"/>
    <w:rsid w:val="0028336E"/>
    <w:rsid w:val="002837E9"/>
    <w:rsid w:val="0028394E"/>
    <w:rsid w:val="00283A20"/>
    <w:rsid w:val="00283A2C"/>
    <w:rsid w:val="00283E96"/>
    <w:rsid w:val="00284739"/>
    <w:rsid w:val="0028477F"/>
    <w:rsid w:val="002847D7"/>
    <w:rsid w:val="002847DA"/>
    <w:rsid w:val="00284BE0"/>
    <w:rsid w:val="00284F3A"/>
    <w:rsid w:val="00285268"/>
    <w:rsid w:val="00285301"/>
    <w:rsid w:val="002856C6"/>
    <w:rsid w:val="00285924"/>
    <w:rsid w:val="00285CD8"/>
    <w:rsid w:val="00285CFD"/>
    <w:rsid w:val="00285E1A"/>
    <w:rsid w:val="00285EA4"/>
    <w:rsid w:val="00286828"/>
    <w:rsid w:val="00286CF0"/>
    <w:rsid w:val="00286E03"/>
    <w:rsid w:val="0028717D"/>
    <w:rsid w:val="002877BE"/>
    <w:rsid w:val="0028798A"/>
    <w:rsid w:val="00287A40"/>
    <w:rsid w:val="00287DEB"/>
    <w:rsid w:val="00287E3E"/>
    <w:rsid w:val="00290BA7"/>
    <w:rsid w:val="00290C71"/>
    <w:rsid w:val="00290E5F"/>
    <w:rsid w:val="00291300"/>
    <w:rsid w:val="002915F2"/>
    <w:rsid w:val="00291882"/>
    <w:rsid w:val="00291B5C"/>
    <w:rsid w:val="00291CEF"/>
    <w:rsid w:val="00291D61"/>
    <w:rsid w:val="00292110"/>
    <w:rsid w:val="0029214A"/>
    <w:rsid w:val="0029236C"/>
    <w:rsid w:val="002924C9"/>
    <w:rsid w:val="002929C5"/>
    <w:rsid w:val="00292AE0"/>
    <w:rsid w:val="00292DC9"/>
    <w:rsid w:val="00292EC6"/>
    <w:rsid w:val="00293178"/>
    <w:rsid w:val="0029317C"/>
    <w:rsid w:val="00293698"/>
    <w:rsid w:val="0029390D"/>
    <w:rsid w:val="00293A26"/>
    <w:rsid w:val="00293BAA"/>
    <w:rsid w:val="00293CF8"/>
    <w:rsid w:val="002946BE"/>
    <w:rsid w:val="00294CB0"/>
    <w:rsid w:val="00294E31"/>
    <w:rsid w:val="002952AE"/>
    <w:rsid w:val="00295C18"/>
    <w:rsid w:val="00295CAC"/>
    <w:rsid w:val="002960E1"/>
    <w:rsid w:val="00296178"/>
    <w:rsid w:val="002961BA"/>
    <w:rsid w:val="002963E0"/>
    <w:rsid w:val="002968E2"/>
    <w:rsid w:val="00296F23"/>
    <w:rsid w:val="00297197"/>
    <w:rsid w:val="002971A8"/>
    <w:rsid w:val="00297C42"/>
    <w:rsid w:val="00297C6D"/>
    <w:rsid w:val="00297D61"/>
    <w:rsid w:val="002A0352"/>
    <w:rsid w:val="002A05AF"/>
    <w:rsid w:val="002A0841"/>
    <w:rsid w:val="002A0C64"/>
    <w:rsid w:val="002A0DD0"/>
    <w:rsid w:val="002A119D"/>
    <w:rsid w:val="002A150E"/>
    <w:rsid w:val="002A175F"/>
    <w:rsid w:val="002A19AD"/>
    <w:rsid w:val="002A1C02"/>
    <w:rsid w:val="002A1D5F"/>
    <w:rsid w:val="002A1E37"/>
    <w:rsid w:val="002A1E78"/>
    <w:rsid w:val="002A1F12"/>
    <w:rsid w:val="002A1F7A"/>
    <w:rsid w:val="002A2DA9"/>
    <w:rsid w:val="002A309C"/>
    <w:rsid w:val="002A343C"/>
    <w:rsid w:val="002A3885"/>
    <w:rsid w:val="002A398F"/>
    <w:rsid w:val="002A39B6"/>
    <w:rsid w:val="002A3A7C"/>
    <w:rsid w:val="002A3F44"/>
    <w:rsid w:val="002A441C"/>
    <w:rsid w:val="002A4468"/>
    <w:rsid w:val="002A464A"/>
    <w:rsid w:val="002A498D"/>
    <w:rsid w:val="002A4D52"/>
    <w:rsid w:val="002A4E51"/>
    <w:rsid w:val="002A5746"/>
    <w:rsid w:val="002A57EB"/>
    <w:rsid w:val="002A5E0D"/>
    <w:rsid w:val="002A5F0D"/>
    <w:rsid w:val="002A5FB8"/>
    <w:rsid w:val="002A6337"/>
    <w:rsid w:val="002A64E6"/>
    <w:rsid w:val="002A666C"/>
    <w:rsid w:val="002A66F4"/>
    <w:rsid w:val="002A6C7F"/>
    <w:rsid w:val="002A73A4"/>
    <w:rsid w:val="002A76BD"/>
    <w:rsid w:val="002A7793"/>
    <w:rsid w:val="002A7938"/>
    <w:rsid w:val="002A7D0F"/>
    <w:rsid w:val="002A7E0E"/>
    <w:rsid w:val="002B03BC"/>
    <w:rsid w:val="002B05ED"/>
    <w:rsid w:val="002B0DE0"/>
    <w:rsid w:val="002B1316"/>
    <w:rsid w:val="002B13CF"/>
    <w:rsid w:val="002B16AA"/>
    <w:rsid w:val="002B1980"/>
    <w:rsid w:val="002B1D12"/>
    <w:rsid w:val="002B24C0"/>
    <w:rsid w:val="002B2F0C"/>
    <w:rsid w:val="002B2F2E"/>
    <w:rsid w:val="002B329F"/>
    <w:rsid w:val="002B38C1"/>
    <w:rsid w:val="002B3976"/>
    <w:rsid w:val="002B3C56"/>
    <w:rsid w:val="002B3E68"/>
    <w:rsid w:val="002B44B5"/>
    <w:rsid w:val="002B4656"/>
    <w:rsid w:val="002B4A47"/>
    <w:rsid w:val="002B4C7B"/>
    <w:rsid w:val="002B504D"/>
    <w:rsid w:val="002B51D4"/>
    <w:rsid w:val="002B5292"/>
    <w:rsid w:val="002B572E"/>
    <w:rsid w:val="002B5C25"/>
    <w:rsid w:val="002B5D5B"/>
    <w:rsid w:val="002B5DA9"/>
    <w:rsid w:val="002B66A6"/>
    <w:rsid w:val="002B6C68"/>
    <w:rsid w:val="002B6CF7"/>
    <w:rsid w:val="002B7199"/>
    <w:rsid w:val="002B71DE"/>
    <w:rsid w:val="002B76F7"/>
    <w:rsid w:val="002B7709"/>
    <w:rsid w:val="002B797A"/>
    <w:rsid w:val="002B7BAD"/>
    <w:rsid w:val="002B7EEA"/>
    <w:rsid w:val="002C01B5"/>
    <w:rsid w:val="002C03CA"/>
    <w:rsid w:val="002C03EB"/>
    <w:rsid w:val="002C074B"/>
    <w:rsid w:val="002C0889"/>
    <w:rsid w:val="002C0A17"/>
    <w:rsid w:val="002C0CB4"/>
    <w:rsid w:val="002C1A01"/>
    <w:rsid w:val="002C1CC6"/>
    <w:rsid w:val="002C1CCE"/>
    <w:rsid w:val="002C1D1A"/>
    <w:rsid w:val="002C1FFE"/>
    <w:rsid w:val="002C23E8"/>
    <w:rsid w:val="002C27E5"/>
    <w:rsid w:val="002C286A"/>
    <w:rsid w:val="002C2C45"/>
    <w:rsid w:val="002C31D7"/>
    <w:rsid w:val="002C389C"/>
    <w:rsid w:val="002C39F5"/>
    <w:rsid w:val="002C3FF4"/>
    <w:rsid w:val="002C40E3"/>
    <w:rsid w:val="002C4234"/>
    <w:rsid w:val="002C4258"/>
    <w:rsid w:val="002C430F"/>
    <w:rsid w:val="002C43BF"/>
    <w:rsid w:val="002C476F"/>
    <w:rsid w:val="002C4B44"/>
    <w:rsid w:val="002C4F8E"/>
    <w:rsid w:val="002C4FDF"/>
    <w:rsid w:val="002C5806"/>
    <w:rsid w:val="002C5C04"/>
    <w:rsid w:val="002C5F54"/>
    <w:rsid w:val="002C5F90"/>
    <w:rsid w:val="002C5FAC"/>
    <w:rsid w:val="002C601A"/>
    <w:rsid w:val="002C60EE"/>
    <w:rsid w:val="002C6593"/>
    <w:rsid w:val="002C65D9"/>
    <w:rsid w:val="002C6664"/>
    <w:rsid w:val="002C6705"/>
    <w:rsid w:val="002C6A8A"/>
    <w:rsid w:val="002C6DF6"/>
    <w:rsid w:val="002C7428"/>
    <w:rsid w:val="002C7512"/>
    <w:rsid w:val="002C76C6"/>
    <w:rsid w:val="002C7763"/>
    <w:rsid w:val="002C77FF"/>
    <w:rsid w:val="002C7BF8"/>
    <w:rsid w:val="002C7E8B"/>
    <w:rsid w:val="002D01CE"/>
    <w:rsid w:val="002D029C"/>
    <w:rsid w:val="002D06F6"/>
    <w:rsid w:val="002D0740"/>
    <w:rsid w:val="002D0BD6"/>
    <w:rsid w:val="002D0F15"/>
    <w:rsid w:val="002D10F7"/>
    <w:rsid w:val="002D11BA"/>
    <w:rsid w:val="002D1CA3"/>
    <w:rsid w:val="002D1D40"/>
    <w:rsid w:val="002D1D4D"/>
    <w:rsid w:val="002D1EB7"/>
    <w:rsid w:val="002D1F44"/>
    <w:rsid w:val="002D2362"/>
    <w:rsid w:val="002D2597"/>
    <w:rsid w:val="002D26FE"/>
    <w:rsid w:val="002D2AE0"/>
    <w:rsid w:val="002D309C"/>
    <w:rsid w:val="002D334D"/>
    <w:rsid w:val="002D3384"/>
    <w:rsid w:val="002D34B7"/>
    <w:rsid w:val="002D3678"/>
    <w:rsid w:val="002D3768"/>
    <w:rsid w:val="002D3788"/>
    <w:rsid w:val="002D3870"/>
    <w:rsid w:val="002D38D6"/>
    <w:rsid w:val="002D3962"/>
    <w:rsid w:val="002D3E86"/>
    <w:rsid w:val="002D4007"/>
    <w:rsid w:val="002D40AE"/>
    <w:rsid w:val="002D4177"/>
    <w:rsid w:val="002D419D"/>
    <w:rsid w:val="002D43A0"/>
    <w:rsid w:val="002D452C"/>
    <w:rsid w:val="002D4551"/>
    <w:rsid w:val="002D490B"/>
    <w:rsid w:val="002D4949"/>
    <w:rsid w:val="002D4995"/>
    <w:rsid w:val="002D4B8C"/>
    <w:rsid w:val="002D51FF"/>
    <w:rsid w:val="002D584B"/>
    <w:rsid w:val="002D5B18"/>
    <w:rsid w:val="002D5B74"/>
    <w:rsid w:val="002D5F25"/>
    <w:rsid w:val="002D6017"/>
    <w:rsid w:val="002D6323"/>
    <w:rsid w:val="002D6494"/>
    <w:rsid w:val="002D6753"/>
    <w:rsid w:val="002D6766"/>
    <w:rsid w:val="002D698D"/>
    <w:rsid w:val="002D6C80"/>
    <w:rsid w:val="002D6EB4"/>
    <w:rsid w:val="002D734C"/>
    <w:rsid w:val="002D775C"/>
    <w:rsid w:val="002D7788"/>
    <w:rsid w:val="002D7A52"/>
    <w:rsid w:val="002E03D4"/>
    <w:rsid w:val="002E04B0"/>
    <w:rsid w:val="002E0687"/>
    <w:rsid w:val="002E0968"/>
    <w:rsid w:val="002E0D5F"/>
    <w:rsid w:val="002E10E4"/>
    <w:rsid w:val="002E1312"/>
    <w:rsid w:val="002E187E"/>
    <w:rsid w:val="002E1D14"/>
    <w:rsid w:val="002E2031"/>
    <w:rsid w:val="002E209C"/>
    <w:rsid w:val="002E2131"/>
    <w:rsid w:val="002E28F2"/>
    <w:rsid w:val="002E2DBD"/>
    <w:rsid w:val="002E2E19"/>
    <w:rsid w:val="002E3202"/>
    <w:rsid w:val="002E3365"/>
    <w:rsid w:val="002E38A7"/>
    <w:rsid w:val="002E3A83"/>
    <w:rsid w:val="002E3E4F"/>
    <w:rsid w:val="002E3EF1"/>
    <w:rsid w:val="002E3F1F"/>
    <w:rsid w:val="002E438F"/>
    <w:rsid w:val="002E4452"/>
    <w:rsid w:val="002E49E0"/>
    <w:rsid w:val="002E4A40"/>
    <w:rsid w:val="002E4D21"/>
    <w:rsid w:val="002E52A2"/>
    <w:rsid w:val="002E559B"/>
    <w:rsid w:val="002E55D4"/>
    <w:rsid w:val="002E563B"/>
    <w:rsid w:val="002E5686"/>
    <w:rsid w:val="002E56A9"/>
    <w:rsid w:val="002E579A"/>
    <w:rsid w:val="002E58C3"/>
    <w:rsid w:val="002E5C7E"/>
    <w:rsid w:val="002E60B5"/>
    <w:rsid w:val="002E6382"/>
    <w:rsid w:val="002E68BD"/>
    <w:rsid w:val="002E6915"/>
    <w:rsid w:val="002E69EA"/>
    <w:rsid w:val="002E7100"/>
    <w:rsid w:val="002E770B"/>
    <w:rsid w:val="002E79C4"/>
    <w:rsid w:val="002E7E50"/>
    <w:rsid w:val="002F00A5"/>
    <w:rsid w:val="002F024D"/>
    <w:rsid w:val="002F052A"/>
    <w:rsid w:val="002F08EC"/>
    <w:rsid w:val="002F1045"/>
    <w:rsid w:val="002F108A"/>
    <w:rsid w:val="002F13A3"/>
    <w:rsid w:val="002F172C"/>
    <w:rsid w:val="002F17B5"/>
    <w:rsid w:val="002F1AAB"/>
    <w:rsid w:val="002F1E2A"/>
    <w:rsid w:val="002F1F17"/>
    <w:rsid w:val="002F214E"/>
    <w:rsid w:val="002F2B1C"/>
    <w:rsid w:val="002F2F92"/>
    <w:rsid w:val="002F3015"/>
    <w:rsid w:val="002F357E"/>
    <w:rsid w:val="002F3AEF"/>
    <w:rsid w:val="002F3C52"/>
    <w:rsid w:val="002F4459"/>
    <w:rsid w:val="002F4B9D"/>
    <w:rsid w:val="002F51D8"/>
    <w:rsid w:val="002F5404"/>
    <w:rsid w:val="002F582C"/>
    <w:rsid w:val="002F5A2A"/>
    <w:rsid w:val="002F5BE6"/>
    <w:rsid w:val="002F60F8"/>
    <w:rsid w:val="002F61C6"/>
    <w:rsid w:val="002F61FA"/>
    <w:rsid w:val="002F6AE2"/>
    <w:rsid w:val="002F6B65"/>
    <w:rsid w:val="002F6FC9"/>
    <w:rsid w:val="002F73DF"/>
    <w:rsid w:val="002F771B"/>
    <w:rsid w:val="002F78EF"/>
    <w:rsid w:val="002F791E"/>
    <w:rsid w:val="002F7E5E"/>
    <w:rsid w:val="00300520"/>
    <w:rsid w:val="00300849"/>
    <w:rsid w:val="0030098A"/>
    <w:rsid w:val="0030108D"/>
    <w:rsid w:val="003010EA"/>
    <w:rsid w:val="003010F0"/>
    <w:rsid w:val="00301274"/>
    <w:rsid w:val="003016AD"/>
    <w:rsid w:val="003019C7"/>
    <w:rsid w:val="00301AE3"/>
    <w:rsid w:val="00301D1C"/>
    <w:rsid w:val="00301D63"/>
    <w:rsid w:val="00301E93"/>
    <w:rsid w:val="00301FA4"/>
    <w:rsid w:val="00302084"/>
    <w:rsid w:val="003021EF"/>
    <w:rsid w:val="003021FB"/>
    <w:rsid w:val="003025B4"/>
    <w:rsid w:val="003025F0"/>
    <w:rsid w:val="00302E3D"/>
    <w:rsid w:val="0030365B"/>
    <w:rsid w:val="0030399C"/>
    <w:rsid w:val="003039ED"/>
    <w:rsid w:val="00303F43"/>
    <w:rsid w:val="00303F61"/>
    <w:rsid w:val="00304015"/>
    <w:rsid w:val="0030421A"/>
    <w:rsid w:val="0030421B"/>
    <w:rsid w:val="0030451C"/>
    <w:rsid w:val="003046A3"/>
    <w:rsid w:val="003046FA"/>
    <w:rsid w:val="003047C9"/>
    <w:rsid w:val="00304CAE"/>
    <w:rsid w:val="00304D14"/>
    <w:rsid w:val="00304D4B"/>
    <w:rsid w:val="003050DE"/>
    <w:rsid w:val="00305125"/>
    <w:rsid w:val="003054F8"/>
    <w:rsid w:val="00305650"/>
    <w:rsid w:val="00305A48"/>
    <w:rsid w:val="00305A62"/>
    <w:rsid w:val="00305CB2"/>
    <w:rsid w:val="00305E6E"/>
    <w:rsid w:val="003063AF"/>
    <w:rsid w:val="0030672A"/>
    <w:rsid w:val="00306746"/>
    <w:rsid w:val="003068C1"/>
    <w:rsid w:val="0030699A"/>
    <w:rsid w:val="00306D07"/>
    <w:rsid w:val="00306D19"/>
    <w:rsid w:val="003075BB"/>
    <w:rsid w:val="00307707"/>
    <w:rsid w:val="0030772E"/>
    <w:rsid w:val="00307911"/>
    <w:rsid w:val="00307A4C"/>
    <w:rsid w:val="00307B61"/>
    <w:rsid w:val="00310300"/>
    <w:rsid w:val="00310758"/>
    <w:rsid w:val="00310A56"/>
    <w:rsid w:val="00310C68"/>
    <w:rsid w:val="00311205"/>
    <w:rsid w:val="003113EB"/>
    <w:rsid w:val="00311529"/>
    <w:rsid w:val="00311668"/>
    <w:rsid w:val="00311BA4"/>
    <w:rsid w:val="00311C02"/>
    <w:rsid w:val="00311E58"/>
    <w:rsid w:val="00311E77"/>
    <w:rsid w:val="00312106"/>
    <w:rsid w:val="00312480"/>
    <w:rsid w:val="0031256F"/>
    <w:rsid w:val="00312A47"/>
    <w:rsid w:val="00312A49"/>
    <w:rsid w:val="00312AA1"/>
    <w:rsid w:val="00313368"/>
    <w:rsid w:val="00313605"/>
    <w:rsid w:val="0031376A"/>
    <w:rsid w:val="0031379F"/>
    <w:rsid w:val="00313B1C"/>
    <w:rsid w:val="00313D04"/>
    <w:rsid w:val="00313E89"/>
    <w:rsid w:val="00314274"/>
    <w:rsid w:val="00314642"/>
    <w:rsid w:val="00314927"/>
    <w:rsid w:val="00314E8C"/>
    <w:rsid w:val="00314FB1"/>
    <w:rsid w:val="00315598"/>
    <w:rsid w:val="00315620"/>
    <w:rsid w:val="0031591A"/>
    <w:rsid w:val="00316136"/>
    <w:rsid w:val="00316141"/>
    <w:rsid w:val="003162BA"/>
    <w:rsid w:val="00316ACC"/>
    <w:rsid w:val="00316B75"/>
    <w:rsid w:val="00316F09"/>
    <w:rsid w:val="0031711C"/>
    <w:rsid w:val="0031728B"/>
    <w:rsid w:val="0031764A"/>
    <w:rsid w:val="00317981"/>
    <w:rsid w:val="00317A85"/>
    <w:rsid w:val="00317BFF"/>
    <w:rsid w:val="00317D33"/>
    <w:rsid w:val="0032019E"/>
    <w:rsid w:val="00320350"/>
    <w:rsid w:val="00320364"/>
    <w:rsid w:val="00320465"/>
    <w:rsid w:val="00320592"/>
    <w:rsid w:val="003206A7"/>
    <w:rsid w:val="00320A6C"/>
    <w:rsid w:val="00320CC1"/>
    <w:rsid w:val="00320D90"/>
    <w:rsid w:val="00320F2F"/>
    <w:rsid w:val="00321051"/>
    <w:rsid w:val="0032137D"/>
    <w:rsid w:val="003215C7"/>
    <w:rsid w:val="00321609"/>
    <w:rsid w:val="0032176D"/>
    <w:rsid w:val="003217DE"/>
    <w:rsid w:val="00321A34"/>
    <w:rsid w:val="00321BB7"/>
    <w:rsid w:val="00321CD6"/>
    <w:rsid w:val="00322058"/>
    <w:rsid w:val="003224CF"/>
    <w:rsid w:val="00322500"/>
    <w:rsid w:val="00322BC2"/>
    <w:rsid w:val="00322F72"/>
    <w:rsid w:val="003230D8"/>
    <w:rsid w:val="0032362C"/>
    <w:rsid w:val="003237D1"/>
    <w:rsid w:val="00323853"/>
    <w:rsid w:val="003241A8"/>
    <w:rsid w:val="00324356"/>
    <w:rsid w:val="003243A5"/>
    <w:rsid w:val="00324DF7"/>
    <w:rsid w:val="00325140"/>
    <w:rsid w:val="0032555E"/>
    <w:rsid w:val="00325A45"/>
    <w:rsid w:val="003260A8"/>
    <w:rsid w:val="003261CE"/>
    <w:rsid w:val="00326206"/>
    <w:rsid w:val="0032625F"/>
    <w:rsid w:val="00326794"/>
    <w:rsid w:val="00326D20"/>
    <w:rsid w:val="00326EEC"/>
    <w:rsid w:val="003272D8"/>
    <w:rsid w:val="003279C5"/>
    <w:rsid w:val="00330294"/>
    <w:rsid w:val="00330D1C"/>
    <w:rsid w:val="00330E2B"/>
    <w:rsid w:val="00331065"/>
    <w:rsid w:val="003312A5"/>
    <w:rsid w:val="0033166E"/>
    <w:rsid w:val="00331B07"/>
    <w:rsid w:val="0033230C"/>
    <w:rsid w:val="00332360"/>
    <w:rsid w:val="003323B1"/>
    <w:rsid w:val="0033274B"/>
    <w:rsid w:val="003329BE"/>
    <w:rsid w:val="00332A07"/>
    <w:rsid w:val="00332D88"/>
    <w:rsid w:val="00333129"/>
    <w:rsid w:val="00333257"/>
    <w:rsid w:val="0033377F"/>
    <w:rsid w:val="00333BA6"/>
    <w:rsid w:val="00333BC5"/>
    <w:rsid w:val="00333D43"/>
    <w:rsid w:val="00333D63"/>
    <w:rsid w:val="00333FB0"/>
    <w:rsid w:val="0033414E"/>
    <w:rsid w:val="0033429F"/>
    <w:rsid w:val="0033476E"/>
    <w:rsid w:val="0033478D"/>
    <w:rsid w:val="00334F5E"/>
    <w:rsid w:val="003354C9"/>
    <w:rsid w:val="0033574F"/>
    <w:rsid w:val="003357E3"/>
    <w:rsid w:val="0033580B"/>
    <w:rsid w:val="0033585D"/>
    <w:rsid w:val="00335DD7"/>
    <w:rsid w:val="00335FA5"/>
    <w:rsid w:val="0033604B"/>
    <w:rsid w:val="003364EE"/>
    <w:rsid w:val="003365BF"/>
    <w:rsid w:val="00336CEC"/>
    <w:rsid w:val="00336E25"/>
    <w:rsid w:val="003377D8"/>
    <w:rsid w:val="003379E1"/>
    <w:rsid w:val="00337B19"/>
    <w:rsid w:val="00337EB3"/>
    <w:rsid w:val="003402C4"/>
    <w:rsid w:val="003403AC"/>
    <w:rsid w:val="003405E6"/>
    <w:rsid w:val="00340645"/>
    <w:rsid w:val="003406A6"/>
    <w:rsid w:val="003406CD"/>
    <w:rsid w:val="00340807"/>
    <w:rsid w:val="0034082D"/>
    <w:rsid w:val="00340B33"/>
    <w:rsid w:val="003410E8"/>
    <w:rsid w:val="003411B6"/>
    <w:rsid w:val="0034148E"/>
    <w:rsid w:val="0034155F"/>
    <w:rsid w:val="00341701"/>
    <w:rsid w:val="00341816"/>
    <w:rsid w:val="003418AA"/>
    <w:rsid w:val="003419CA"/>
    <w:rsid w:val="00342E38"/>
    <w:rsid w:val="00343226"/>
    <w:rsid w:val="00343291"/>
    <w:rsid w:val="00343507"/>
    <w:rsid w:val="00343874"/>
    <w:rsid w:val="003445BE"/>
    <w:rsid w:val="00344669"/>
    <w:rsid w:val="003446F1"/>
    <w:rsid w:val="0034498E"/>
    <w:rsid w:val="00344BE5"/>
    <w:rsid w:val="003451B7"/>
    <w:rsid w:val="00345294"/>
    <w:rsid w:val="00345797"/>
    <w:rsid w:val="00345BDD"/>
    <w:rsid w:val="0034602C"/>
    <w:rsid w:val="00346149"/>
    <w:rsid w:val="00346203"/>
    <w:rsid w:val="0034625F"/>
    <w:rsid w:val="003467DE"/>
    <w:rsid w:val="003468EA"/>
    <w:rsid w:val="0034691A"/>
    <w:rsid w:val="00346934"/>
    <w:rsid w:val="00346BB9"/>
    <w:rsid w:val="003474C3"/>
    <w:rsid w:val="00347917"/>
    <w:rsid w:val="00347A79"/>
    <w:rsid w:val="00347B1D"/>
    <w:rsid w:val="00347B75"/>
    <w:rsid w:val="00347EBB"/>
    <w:rsid w:val="0035019C"/>
    <w:rsid w:val="0035071E"/>
    <w:rsid w:val="00351416"/>
    <w:rsid w:val="003514FD"/>
    <w:rsid w:val="0035172C"/>
    <w:rsid w:val="00351863"/>
    <w:rsid w:val="00351C3C"/>
    <w:rsid w:val="003521D8"/>
    <w:rsid w:val="00352209"/>
    <w:rsid w:val="0035223E"/>
    <w:rsid w:val="00352318"/>
    <w:rsid w:val="00352A8D"/>
    <w:rsid w:val="00352F07"/>
    <w:rsid w:val="0035318B"/>
    <w:rsid w:val="003534FA"/>
    <w:rsid w:val="003539DB"/>
    <w:rsid w:val="00353C1C"/>
    <w:rsid w:val="00353C6F"/>
    <w:rsid w:val="00353CE4"/>
    <w:rsid w:val="00353EFD"/>
    <w:rsid w:val="003541DB"/>
    <w:rsid w:val="00354449"/>
    <w:rsid w:val="003546A2"/>
    <w:rsid w:val="00354724"/>
    <w:rsid w:val="003548FF"/>
    <w:rsid w:val="00354D49"/>
    <w:rsid w:val="00354EDF"/>
    <w:rsid w:val="00354F19"/>
    <w:rsid w:val="0035572D"/>
    <w:rsid w:val="00355BCD"/>
    <w:rsid w:val="00355C8F"/>
    <w:rsid w:val="003560D0"/>
    <w:rsid w:val="003565E5"/>
    <w:rsid w:val="0035697D"/>
    <w:rsid w:val="00356C92"/>
    <w:rsid w:val="00356CB4"/>
    <w:rsid w:val="00356E8E"/>
    <w:rsid w:val="003573EC"/>
    <w:rsid w:val="00357880"/>
    <w:rsid w:val="00357BF0"/>
    <w:rsid w:val="00357C8E"/>
    <w:rsid w:val="00357EFD"/>
    <w:rsid w:val="003608E8"/>
    <w:rsid w:val="003609DD"/>
    <w:rsid w:val="00360A63"/>
    <w:rsid w:val="003613F1"/>
    <w:rsid w:val="00361631"/>
    <w:rsid w:val="00361985"/>
    <w:rsid w:val="0036199F"/>
    <w:rsid w:val="00361B73"/>
    <w:rsid w:val="00361CA1"/>
    <w:rsid w:val="00362459"/>
    <w:rsid w:val="003625A2"/>
    <w:rsid w:val="0036263F"/>
    <w:rsid w:val="0036264B"/>
    <w:rsid w:val="003628BF"/>
    <w:rsid w:val="00362C4A"/>
    <w:rsid w:val="00362CD8"/>
    <w:rsid w:val="00362D73"/>
    <w:rsid w:val="00362DE2"/>
    <w:rsid w:val="0036301C"/>
    <w:rsid w:val="00363074"/>
    <w:rsid w:val="003631E3"/>
    <w:rsid w:val="0036355B"/>
    <w:rsid w:val="00363729"/>
    <w:rsid w:val="003637BE"/>
    <w:rsid w:val="0036396C"/>
    <w:rsid w:val="00363BB1"/>
    <w:rsid w:val="00363F4B"/>
    <w:rsid w:val="0036449C"/>
    <w:rsid w:val="003647F6"/>
    <w:rsid w:val="0036482C"/>
    <w:rsid w:val="003648C6"/>
    <w:rsid w:val="00364F50"/>
    <w:rsid w:val="00364FC7"/>
    <w:rsid w:val="00365128"/>
    <w:rsid w:val="003654B7"/>
    <w:rsid w:val="003658C3"/>
    <w:rsid w:val="00365C99"/>
    <w:rsid w:val="0036674D"/>
    <w:rsid w:val="00366983"/>
    <w:rsid w:val="00366FF7"/>
    <w:rsid w:val="00367043"/>
    <w:rsid w:val="003670BA"/>
    <w:rsid w:val="00367184"/>
    <w:rsid w:val="00367251"/>
    <w:rsid w:val="00367869"/>
    <w:rsid w:val="00367A27"/>
    <w:rsid w:val="00367CD8"/>
    <w:rsid w:val="0037005B"/>
    <w:rsid w:val="00370162"/>
    <w:rsid w:val="00370242"/>
    <w:rsid w:val="003707A9"/>
    <w:rsid w:val="00370987"/>
    <w:rsid w:val="00370AB3"/>
    <w:rsid w:val="00370C68"/>
    <w:rsid w:val="00370E40"/>
    <w:rsid w:val="00371312"/>
    <w:rsid w:val="0037134C"/>
    <w:rsid w:val="0037160A"/>
    <w:rsid w:val="003718E3"/>
    <w:rsid w:val="00371A62"/>
    <w:rsid w:val="0037203A"/>
    <w:rsid w:val="003720B0"/>
    <w:rsid w:val="003720D3"/>
    <w:rsid w:val="00372244"/>
    <w:rsid w:val="003722A5"/>
    <w:rsid w:val="0037261D"/>
    <w:rsid w:val="0037275E"/>
    <w:rsid w:val="003729D0"/>
    <w:rsid w:val="003729DD"/>
    <w:rsid w:val="00372A73"/>
    <w:rsid w:val="00372AA7"/>
    <w:rsid w:val="00372CB3"/>
    <w:rsid w:val="00372CD3"/>
    <w:rsid w:val="00372FCF"/>
    <w:rsid w:val="0037312E"/>
    <w:rsid w:val="0037314C"/>
    <w:rsid w:val="0037330C"/>
    <w:rsid w:val="00373322"/>
    <w:rsid w:val="003734B2"/>
    <w:rsid w:val="00373894"/>
    <w:rsid w:val="00373A5C"/>
    <w:rsid w:val="00373AEE"/>
    <w:rsid w:val="00373B21"/>
    <w:rsid w:val="00374C03"/>
    <w:rsid w:val="00375072"/>
    <w:rsid w:val="0037512D"/>
    <w:rsid w:val="003753B8"/>
    <w:rsid w:val="00375CE1"/>
    <w:rsid w:val="00375D0F"/>
    <w:rsid w:val="00375D1F"/>
    <w:rsid w:val="00375D8C"/>
    <w:rsid w:val="00375EB5"/>
    <w:rsid w:val="00375FE0"/>
    <w:rsid w:val="00376079"/>
    <w:rsid w:val="00376339"/>
    <w:rsid w:val="00376518"/>
    <w:rsid w:val="003766D6"/>
    <w:rsid w:val="00376E6B"/>
    <w:rsid w:val="00376F7B"/>
    <w:rsid w:val="003770C8"/>
    <w:rsid w:val="0037722C"/>
    <w:rsid w:val="003777F1"/>
    <w:rsid w:val="00377AA6"/>
    <w:rsid w:val="00377E9D"/>
    <w:rsid w:val="003805D0"/>
    <w:rsid w:val="003809F6"/>
    <w:rsid w:val="00380A11"/>
    <w:rsid w:val="00380C04"/>
    <w:rsid w:val="00380D5B"/>
    <w:rsid w:val="00381724"/>
    <w:rsid w:val="003819E8"/>
    <w:rsid w:val="00381F45"/>
    <w:rsid w:val="00382180"/>
    <w:rsid w:val="0038235F"/>
    <w:rsid w:val="00382437"/>
    <w:rsid w:val="00382496"/>
    <w:rsid w:val="003824D3"/>
    <w:rsid w:val="003828EB"/>
    <w:rsid w:val="0038320D"/>
    <w:rsid w:val="003832D7"/>
    <w:rsid w:val="0038337C"/>
    <w:rsid w:val="0038351A"/>
    <w:rsid w:val="00384005"/>
    <w:rsid w:val="00384445"/>
    <w:rsid w:val="00384446"/>
    <w:rsid w:val="00384486"/>
    <w:rsid w:val="00384BC9"/>
    <w:rsid w:val="00384C60"/>
    <w:rsid w:val="00384CFC"/>
    <w:rsid w:val="00384F94"/>
    <w:rsid w:val="003855CB"/>
    <w:rsid w:val="003856A0"/>
    <w:rsid w:val="00385703"/>
    <w:rsid w:val="00385ACC"/>
    <w:rsid w:val="00385D6A"/>
    <w:rsid w:val="00385EFD"/>
    <w:rsid w:val="00385F22"/>
    <w:rsid w:val="00385F44"/>
    <w:rsid w:val="00386A84"/>
    <w:rsid w:val="00386C5F"/>
    <w:rsid w:val="00386C67"/>
    <w:rsid w:val="00386CCB"/>
    <w:rsid w:val="0038728C"/>
    <w:rsid w:val="00387302"/>
    <w:rsid w:val="0038778B"/>
    <w:rsid w:val="003877F1"/>
    <w:rsid w:val="00387C65"/>
    <w:rsid w:val="00387D8C"/>
    <w:rsid w:val="00387E96"/>
    <w:rsid w:val="00387F3D"/>
    <w:rsid w:val="00390077"/>
    <w:rsid w:val="003900C3"/>
    <w:rsid w:val="003900D6"/>
    <w:rsid w:val="00390110"/>
    <w:rsid w:val="003908BA"/>
    <w:rsid w:val="00390960"/>
    <w:rsid w:val="00390F61"/>
    <w:rsid w:val="00390F85"/>
    <w:rsid w:val="00391002"/>
    <w:rsid w:val="003910B4"/>
    <w:rsid w:val="003910EB"/>
    <w:rsid w:val="00391551"/>
    <w:rsid w:val="0039193C"/>
    <w:rsid w:val="00391B17"/>
    <w:rsid w:val="00391BA5"/>
    <w:rsid w:val="00391BA8"/>
    <w:rsid w:val="00391BD1"/>
    <w:rsid w:val="00391F11"/>
    <w:rsid w:val="003920F7"/>
    <w:rsid w:val="0039225B"/>
    <w:rsid w:val="00392313"/>
    <w:rsid w:val="003923FA"/>
    <w:rsid w:val="003924B6"/>
    <w:rsid w:val="00392533"/>
    <w:rsid w:val="0039276B"/>
    <w:rsid w:val="00392C20"/>
    <w:rsid w:val="003932AF"/>
    <w:rsid w:val="00393B4B"/>
    <w:rsid w:val="00393C70"/>
    <w:rsid w:val="0039408D"/>
    <w:rsid w:val="003940B7"/>
    <w:rsid w:val="00394663"/>
    <w:rsid w:val="00394AE4"/>
    <w:rsid w:val="003951A1"/>
    <w:rsid w:val="0039520C"/>
    <w:rsid w:val="0039556C"/>
    <w:rsid w:val="00395A86"/>
    <w:rsid w:val="00395DBB"/>
    <w:rsid w:val="00395E3F"/>
    <w:rsid w:val="0039639B"/>
    <w:rsid w:val="00396562"/>
    <w:rsid w:val="00396A2E"/>
    <w:rsid w:val="003973F8"/>
    <w:rsid w:val="00397573"/>
    <w:rsid w:val="00397E5E"/>
    <w:rsid w:val="003A0798"/>
    <w:rsid w:val="003A083B"/>
    <w:rsid w:val="003A0C9D"/>
    <w:rsid w:val="003A0E5D"/>
    <w:rsid w:val="003A1468"/>
    <w:rsid w:val="003A1D19"/>
    <w:rsid w:val="003A1E61"/>
    <w:rsid w:val="003A1FF3"/>
    <w:rsid w:val="003A2050"/>
    <w:rsid w:val="003A22E7"/>
    <w:rsid w:val="003A281E"/>
    <w:rsid w:val="003A2F4A"/>
    <w:rsid w:val="003A2F5D"/>
    <w:rsid w:val="003A2FBC"/>
    <w:rsid w:val="003A3180"/>
    <w:rsid w:val="003A324B"/>
    <w:rsid w:val="003A39B5"/>
    <w:rsid w:val="003A3AD6"/>
    <w:rsid w:val="003A3C79"/>
    <w:rsid w:val="003A3EE5"/>
    <w:rsid w:val="003A4297"/>
    <w:rsid w:val="003A455F"/>
    <w:rsid w:val="003A4868"/>
    <w:rsid w:val="003A49EE"/>
    <w:rsid w:val="003A4B26"/>
    <w:rsid w:val="003A4D2A"/>
    <w:rsid w:val="003A4F70"/>
    <w:rsid w:val="003A5286"/>
    <w:rsid w:val="003A5420"/>
    <w:rsid w:val="003A5C80"/>
    <w:rsid w:val="003A5D81"/>
    <w:rsid w:val="003A6079"/>
    <w:rsid w:val="003A6B03"/>
    <w:rsid w:val="003A6B6F"/>
    <w:rsid w:val="003A6C45"/>
    <w:rsid w:val="003A6D87"/>
    <w:rsid w:val="003A73F8"/>
    <w:rsid w:val="003A75FA"/>
    <w:rsid w:val="003A7975"/>
    <w:rsid w:val="003A7B06"/>
    <w:rsid w:val="003A7EAE"/>
    <w:rsid w:val="003B00E4"/>
    <w:rsid w:val="003B03C5"/>
    <w:rsid w:val="003B0548"/>
    <w:rsid w:val="003B071C"/>
    <w:rsid w:val="003B08F4"/>
    <w:rsid w:val="003B0DB4"/>
    <w:rsid w:val="003B0FCE"/>
    <w:rsid w:val="003B107F"/>
    <w:rsid w:val="003B10A5"/>
    <w:rsid w:val="003B13E6"/>
    <w:rsid w:val="003B14D8"/>
    <w:rsid w:val="003B161B"/>
    <w:rsid w:val="003B16C4"/>
    <w:rsid w:val="003B1755"/>
    <w:rsid w:val="003B1867"/>
    <w:rsid w:val="003B206A"/>
    <w:rsid w:val="003B2AAD"/>
    <w:rsid w:val="003B2D6F"/>
    <w:rsid w:val="003B30AC"/>
    <w:rsid w:val="003B33DA"/>
    <w:rsid w:val="003B3677"/>
    <w:rsid w:val="003B3900"/>
    <w:rsid w:val="003B39B8"/>
    <w:rsid w:val="003B3A72"/>
    <w:rsid w:val="003B3AF9"/>
    <w:rsid w:val="003B3FE7"/>
    <w:rsid w:val="003B46B8"/>
    <w:rsid w:val="003B49A0"/>
    <w:rsid w:val="003B4CEF"/>
    <w:rsid w:val="003B5493"/>
    <w:rsid w:val="003B5494"/>
    <w:rsid w:val="003B58A4"/>
    <w:rsid w:val="003B5D04"/>
    <w:rsid w:val="003B6198"/>
    <w:rsid w:val="003B62AD"/>
    <w:rsid w:val="003B63F7"/>
    <w:rsid w:val="003B65E6"/>
    <w:rsid w:val="003B664B"/>
    <w:rsid w:val="003B69C6"/>
    <w:rsid w:val="003B69C7"/>
    <w:rsid w:val="003B7532"/>
    <w:rsid w:val="003B76F1"/>
    <w:rsid w:val="003B776F"/>
    <w:rsid w:val="003B7A49"/>
    <w:rsid w:val="003B7CEF"/>
    <w:rsid w:val="003B7DB8"/>
    <w:rsid w:val="003C0259"/>
    <w:rsid w:val="003C036C"/>
    <w:rsid w:val="003C04A2"/>
    <w:rsid w:val="003C04E3"/>
    <w:rsid w:val="003C0693"/>
    <w:rsid w:val="003C07B0"/>
    <w:rsid w:val="003C0900"/>
    <w:rsid w:val="003C0931"/>
    <w:rsid w:val="003C0D8D"/>
    <w:rsid w:val="003C14A8"/>
    <w:rsid w:val="003C1900"/>
    <w:rsid w:val="003C1B95"/>
    <w:rsid w:val="003C1DA3"/>
    <w:rsid w:val="003C239E"/>
    <w:rsid w:val="003C24A8"/>
    <w:rsid w:val="003C260B"/>
    <w:rsid w:val="003C278C"/>
    <w:rsid w:val="003C2ED2"/>
    <w:rsid w:val="003C30E7"/>
    <w:rsid w:val="003C32D4"/>
    <w:rsid w:val="003C3332"/>
    <w:rsid w:val="003C34FB"/>
    <w:rsid w:val="003C3CEF"/>
    <w:rsid w:val="003C40E4"/>
    <w:rsid w:val="003C43FD"/>
    <w:rsid w:val="003C4455"/>
    <w:rsid w:val="003C5080"/>
    <w:rsid w:val="003C510C"/>
    <w:rsid w:val="003C527B"/>
    <w:rsid w:val="003C5C79"/>
    <w:rsid w:val="003C606D"/>
    <w:rsid w:val="003C6207"/>
    <w:rsid w:val="003C64C6"/>
    <w:rsid w:val="003C6798"/>
    <w:rsid w:val="003C6C15"/>
    <w:rsid w:val="003C7134"/>
    <w:rsid w:val="003C74DE"/>
    <w:rsid w:val="003C7A11"/>
    <w:rsid w:val="003C7D3D"/>
    <w:rsid w:val="003D0614"/>
    <w:rsid w:val="003D073D"/>
    <w:rsid w:val="003D09A5"/>
    <w:rsid w:val="003D0E81"/>
    <w:rsid w:val="003D0FBA"/>
    <w:rsid w:val="003D0FF7"/>
    <w:rsid w:val="003D1335"/>
    <w:rsid w:val="003D1447"/>
    <w:rsid w:val="003D1456"/>
    <w:rsid w:val="003D170B"/>
    <w:rsid w:val="003D1A77"/>
    <w:rsid w:val="003D1C83"/>
    <w:rsid w:val="003D2045"/>
    <w:rsid w:val="003D204C"/>
    <w:rsid w:val="003D2068"/>
    <w:rsid w:val="003D2319"/>
    <w:rsid w:val="003D231F"/>
    <w:rsid w:val="003D2902"/>
    <w:rsid w:val="003D2CF4"/>
    <w:rsid w:val="003D2D46"/>
    <w:rsid w:val="003D2D53"/>
    <w:rsid w:val="003D33DE"/>
    <w:rsid w:val="003D34EC"/>
    <w:rsid w:val="003D3503"/>
    <w:rsid w:val="003D3811"/>
    <w:rsid w:val="003D3A6A"/>
    <w:rsid w:val="003D3A73"/>
    <w:rsid w:val="003D4388"/>
    <w:rsid w:val="003D440C"/>
    <w:rsid w:val="003D4588"/>
    <w:rsid w:val="003D45AB"/>
    <w:rsid w:val="003D481F"/>
    <w:rsid w:val="003D4AF8"/>
    <w:rsid w:val="003D4B28"/>
    <w:rsid w:val="003D4FA1"/>
    <w:rsid w:val="003D509F"/>
    <w:rsid w:val="003D555C"/>
    <w:rsid w:val="003D5656"/>
    <w:rsid w:val="003D58C0"/>
    <w:rsid w:val="003D6096"/>
    <w:rsid w:val="003D610E"/>
    <w:rsid w:val="003D618D"/>
    <w:rsid w:val="003D661E"/>
    <w:rsid w:val="003D6D28"/>
    <w:rsid w:val="003D70B6"/>
    <w:rsid w:val="003D722B"/>
    <w:rsid w:val="003D7634"/>
    <w:rsid w:val="003D7788"/>
    <w:rsid w:val="003D792C"/>
    <w:rsid w:val="003D7A8D"/>
    <w:rsid w:val="003D7C76"/>
    <w:rsid w:val="003D7D78"/>
    <w:rsid w:val="003D7E7F"/>
    <w:rsid w:val="003D7FE1"/>
    <w:rsid w:val="003E000B"/>
    <w:rsid w:val="003E07BB"/>
    <w:rsid w:val="003E0A6D"/>
    <w:rsid w:val="003E0B2A"/>
    <w:rsid w:val="003E0DA6"/>
    <w:rsid w:val="003E12F5"/>
    <w:rsid w:val="003E13D5"/>
    <w:rsid w:val="003E147C"/>
    <w:rsid w:val="003E1601"/>
    <w:rsid w:val="003E179B"/>
    <w:rsid w:val="003E17FA"/>
    <w:rsid w:val="003E1A45"/>
    <w:rsid w:val="003E1B38"/>
    <w:rsid w:val="003E1E2E"/>
    <w:rsid w:val="003E2037"/>
    <w:rsid w:val="003E252F"/>
    <w:rsid w:val="003E269F"/>
    <w:rsid w:val="003E2781"/>
    <w:rsid w:val="003E2B7A"/>
    <w:rsid w:val="003E2BF3"/>
    <w:rsid w:val="003E3087"/>
    <w:rsid w:val="003E3119"/>
    <w:rsid w:val="003E320E"/>
    <w:rsid w:val="003E3342"/>
    <w:rsid w:val="003E337E"/>
    <w:rsid w:val="003E3725"/>
    <w:rsid w:val="003E3E03"/>
    <w:rsid w:val="003E3E68"/>
    <w:rsid w:val="003E4022"/>
    <w:rsid w:val="003E4215"/>
    <w:rsid w:val="003E45A4"/>
    <w:rsid w:val="003E4704"/>
    <w:rsid w:val="003E4884"/>
    <w:rsid w:val="003E49CD"/>
    <w:rsid w:val="003E50B5"/>
    <w:rsid w:val="003E52F6"/>
    <w:rsid w:val="003E5441"/>
    <w:rsid w:val="003E5503"/>
    <w:rsid w:val="003E56B3"/>
    <w:rsid w:val="003E57C2"/>
    <w:rsid w:val="003E58D2"/>
    <w:rsid w:val="003E6340"/>
    <w:rsid w:val="003E643C"/>
    <w:rsid w:val="003E6684"/>
    <w:rsid w:val="003E6954"/>
    <w:rsid w:val="003E6970"/>
    <w:rsid w:val="003E6C07"/>
    <w:rsid w:val="003E77BF"/>
    <w:rsid w:val="003E7B0D"/>
    <w:rsid w:val="003E7DA9"/>
    <w:rsid w:val="003F08D2"/>
    <w:rsid w:val="003F090C"/>
    <w:rsid w:val="003F0A44"/>
    <w:rsid w:val="003F0B3F"/>
    <w:rsid w:val="003F1108"/>
    <w:rsid w:val="003F12D6"/>
    <w:rsid w:val="003F1474"/>
    <w:rsid w:val="003F17EB"/>
    <w:rsid w:val="003F1903"/>
    <w:rsid w:val="003F19DB"/>
    <w:rsid w:val="003F20D9"/>
    <w:rsid w:val="003F2303"/>
    <w:rsid w:val="003F24BE"/>
    <w:rsid w:val="003F26AD"/>
    <w:rsid w:val="003F276A"/>
    <w:rsid w:val="003F2A6A"/>
    <w:rsid w:val="003F3008"/>
    <w:rsid w:val="003F33F2"/>
    <w:rsid w:val="003F39BE"/>
    <w:rsid w:val="003F3AC4"/>
    <w:rsid w:val="003F3ADA"/>
    <w:rsid w:val="003F3B1D"/>
    <w:rsid w:val="003F3B22"/>
    <w:rsid w:val="003F3B39"/>
    <w:rsid w:val="003F3B54"/>
    <w:rsid w:val="003F3C07"/>
    <w:rsid w:val="003F3CF8"/>
    <w:rsid w:val="003F42D9"/>
    <w:rsid w:val="003F482E"/>
    <w:rsid w:val="003F4F9B"/>
    <w:rsid w:val="003F5266"/>
    <w:rsid w:val="003F541F"/>
    <w:rsid w:val="003F548F"/>
    <w:rsid w:val="003F577B"/>
    <w:rsid w:val="003F58FD"/>
    <w:rsid w:val="003F5903"/>
    <w:rsid w:val="003F5D69"/>
    <w:rsid w:val="003F64AC"/>
    <w:rsid w:val="003F67A3"/>
    <w:rsid w:val="003F6D99"/>
    <w:rsid w:val="003F74F3"/>
    <w:rsid w:val="003F7639"/>
    <w:rsid w:val="003F7767"/>
    <w:rsid w:val="003F7941"/>
    <w:rsid w:val="003F7984"/>
    <w:rsid w:val="003F7F60"/>
    <w:rsid w:val="004002BC"/>
    <w:rsid w:val="00400428"/>
    <w:rsid w:val="004005E8"/>
    <w:rsid w:val="00400886"/>
    <w:rsid w:val="00400A0C"/>
    <w:rsid w:val="00400A3B"/>
    <w:rsid w:val="0040179C"/>
    <w:rsid w:val="00401930"/>
    <w:rsid w:val="00401B18"/>
    <w:rsid w:val="00401B5A"/>
    <w:rsid w:val="00401D18"/>
    <w:rsid w:val="00401F83"/>
    <w:rsid w:val="004020E0"/>
    <w:rsid w:val="004021E1"/>
    <w:rsid w:val="004025A2"/>
    <w:rsid w:val="0040261F"/>
    <w:rsid w:val="004027F1"/>
    <w:rsid w:val="00402AD6"/>
    <w:rsid w:val="00402D55"/>
    <w:rsid w:val="00403037"/>
    <w:rsid w:val="00403064"/>
    <w:rsid w:val="00403162"/>
    <w:rsid w:val="004033F4"/>
    <w:rsid w:val="004034F1"/>
    <w:rsid w:val="00403501"/>
    <w:rsid w:val="004039F9"/>
    <w:rsid w:val="00403AFD"/>
    <w:rsid w:val="00403B72"/>
    <w:rsid w:val="00403E95"/>
    <w:rsid w:val="00403EE0"/>
    <w:rsid w:val="00404156"/>
    <w:rsid w:val="004041CC"/>
    <w:rsid w:val="0040420A"/>
    <w:rsid w:val="004042D4"/>
    <w:rsid w:val="004045A3"/>
    <w:rsid w:val="00404DED"/>
    <w:rsid w:val="00405248"/>
    <w:rsid w:val="0040534B"/>
    <w:rsid w:val="0040536E"/>
    <w:rsid w:val="00405683"/>
    <w:rsid w:val="00405E1D"/>
    <w:rsid w:val="00406CDE"/>
    <w:rsid w:val="00406D54"/>
    <w:rsid w:val="00406EBE"/>
    <w:rsid w:val="00406EF4"/>
    <w:rsid w:val="00407395"/>
    <w:rsid w:val="00407717"/>
    <w:rsid w:val="004078A6"/>
    <w:rsid w:val="004079D3"/>
    <w:rsid w:val="00407C18"/>
    <w:rsid w:val="00407C40"/>
    <w:rsid w:val="00410150"/>
    <w:rsid w:val="00410180"/>
    <w:rsid w:val="00410220"/>
    <w:rsid w:val="00410231"/>
    <w:rsid w:val="0041040D"/>
    <w:rsid w:val="004105EC"/>
    <w:rsid w:val="004106CD"/>
    <w:rsid w:val="00410939"/>
    <w:rsid w:val="00410C0E"/>
    <w:rsid w:val="00410D70"/>
    <w:rsid w:val="004110E4"/>
    <w:rsid w:val="00411368"/>
    <w:rsid w:val="00411BB6"/>
    <w:rsid w:val="00411E1E"/>
    <w:rsid w:val="004121C8"/>
    <w:rsid w:val="00412561"/>
    <w:rsid w:val="0041268D"/>
    <w:rsid w:val="004129BE"/>
    <w:rsid w:val="004129E9"/>
    <w:rsid w:val="004132E9"/>
    <w:rsid w:val="004132F6"/>
    <w:rsid w:val="004134DB"/>
    <w:rsid w:val="0041355B"/>
    <w:rsid w:val="00413B58"/>
    <w:rsid w:val="00413D43"/>
    <w:rsid w:val="0041406E"/>
    <w:rsid w:val="00414285"/>
    <w:rsid w:val="0041443D"/>
    <w:rsid w:val="004146BD"/>
    <w:rsid w:val="00414724"/>
    <w:rsid w:val="0041498D"/>
    <w:rsid w:val="00414B2B"/>
    <w:rsid w:val="00414C37"/>
    <w:rsid w:val="00414F50"/>
    <w:rsid w:val="0041525C"/>
    <w:rsid w:val="00415BBF"/>
    <w:rsid w:val="00415E25"/>
    <w:rsid w:val="00415F26"/>
    <w:rsid w:val="0041627A"/>
    <w:rsid w:val="00416365"/>
    <w:rsid w:val="00416575"/>
    <w:rsid w:val="00416AB5"/>
    <w:rsid w:val="00417036"/>
    <w:rsid w:val="004172B8"/>
    <w:rsid w:val="0041736B"/>
    <w:rsid w:val="00417730"/>
    <w:rsid w:val="004177D9"/>
    <w:rsid w:val="00417848"/>
    <w:rsid w:val="004179F5"/>
    <w:rsid w:val="00417B71"/>
    <w:rsid w:val="00417CD2"/>
    <w:rsid w:val="00417CFC"/>
    <w:rsid w:val="00417E37"/>
    <w:rsid w:val="00417F91"/>
    <w:rsid w:val="00417FF1"/>
    <w:rsid w:val="004206FA"/>
    <w:rsid w:val="00420764"/>
    <w:rsid w:val="0042087C"/>
    <w:rsid w:val="00420DDB"/>
    <w:rsid w:val="00421509"/>
    <w:rsid w:val="00421A40"/>
    <w:rsid w:val="00422051"/>
    <w:rsid w:val="004221C2"/>
    <w:rsid w:val="00422422"/>
    <w:rsid w:val="004228BC"/>
    <w:rsid w:val="004229C9"/>
    <w:rsid w:val="0042303D"/>
    <w:rsid w:val="00423095"/>
    <w:rsid w:val="0042349E"/>
    <w:rsid w:val="00423AA7"/>
    <w:rsid w:val="00423AC7"/>
    <w:rsid w:val="00423B0D"/>
    <w:rsid w:val="00423D2B"/>
    <w:rsid w:val="0042447A"/>
    <w:rsid w:val="00424913"/>
    <w:rsid w:val="00424AFD"/>
    <w:rsid w:val="00424C1F"/>
    <w:rsid w:val="00424E87"/>
    <w:rsid w:val="00424F2E"/>
    <w:rsid w:val="0042503E"/>
    <w:rsid w:val="0042546B"/>
    <w:rsid w:val="00425586"/>
    <w:rsid w:val="00425752"/>
    <w:rsid w:val="0042576E"/>
    <w:rsid w:val="004257A2"/>
    <w:rsid w:val="004257B2"/>
    <w:rsid w:val="004258CF"/>
    <w:rsid w:val="00425A04"/>
    <w:rsid w:val="00425F24"/>
    <w:rsid w:val="00426362"/>
    <w:rsid w:val="00426765"/>
    <w:rsid w:val="00426AE8"/>
    <w:rsid w:val="00426D8D"/>
    <w:rsid w:val="0042753B"/>
    <w:rsid w:val="004276B5"/>
    <w:rsid w:val="00427DB1"/>
    <w:rsid w:val="00427F20"/>
    <w:rsid w:val="00430650"/>
    <w:rsid w:val="00430900"/>
    <w:rsid w:val="00430C34"/>
    <w:rsid w:val="00430CAC"/>
    <w:rsid w:val="00430DA1"/>
    <w:rsid w:val="00430E59"/>
    <w:rsid w:val="004317EC"/>
    <w:rsid w:val="00431B26"/>
    <w:rsid w:val="00431D76"/>
    <w:rsid w:val="004324B3"/>
    <w:rsid w:val="0043269B"/>
    <w:rsid w:val="00432B3C"/>
    <w:rsid w:val="00432BE8"/>
    <w:rsid w:val="00432C7D"/>
    <w:rsid w:val="00432DEE"/>
    <w:rsid w:val="0043359C"/>
    <w:rsid w:val="004336F4"/>
    <w:rsid w:val="004338B9"/>
    <w:rsid w:val="00433A23"/>
    <w:rsid w:val="00433A4B"/>
    <w:rsid w:val="00433A5D"/>
    <w:rsid w:val="00434169"/>
    <w:rsid w:val="0043433A"/>
    <w:rsid w:val="00434471"/>
    <w:rsid w:val="004345BB"/>
    <w:rsid w:val="00434825"/>
    <w:rsid w:val="00434C6B"/>
    <w:rsid w:val="00434CAE"/>
    <w:rsid w:val="00434DDA"/>
    <w:rsid w:val="00435044"/>
    <w:rsid w:val="004354DB"/>
    <w:rsid w:val="00435AB2"/>
    <w:rsid w:val="00435CF4"/>
    <w:rsid w:val="00435D64"/>
    <w:rsid w:val="0043608A"/>
    <w:rsid w:val="004360B4"/>
    <w:rsid w:val="004362C2"/>
    <w:rsid w:val="00436654"/>
    <w:rsid w:val="00436D3D"/>
    <w:rsid w:val="00436EF8"/>
    <w:rsid w:val="00436FA1"/>
    <w:rsid w:val="004371C5"/>
    <w:rsid w:val="0043747D"/>
    <w:rsid w:val="00437972"/>
    <w:rsid w:val="00437AC6"/>
    <w:rsid w:val="00437C61"/>
    <w:rsid w:val="0044025D"/>
    <w:rsid w:val="00440644"/>
    <w:rsid w:val="004406D4"/>
    <w:rsid w:val="00440A66"/>
    <w:rsid w:val="00440B69"/>
    <w:rsid w:val="00440D55"/>
    <w:rsid w:val="00440F01"/>
    <w:rsid w:val="00440F79"/>
    <w:rsid w:val="004415DE"/>
    <w:rsid w:val="00441DF7"/>
    <w:rsid w:val="00441E45"/>
    <w:rsid w:val="0044251C"/>
    <w:rsid w:val="00442639"/>
    <w:rsid w:val="00442689"/>
    <w:rsid w:val="004426CE"/>
    <w:rsid w:val="00442762"/>
    <w:rsid w:val="0044280E"/>
    <w:rsid w:val="00442943"/>
    <w:rsid w:val="00442A09"/>
    <w:rsid w:val="00442D6F"/>
    <w:rsid w:val="00442E73"/>
    <w:rsid w:val="00442E83"/>
    <w:rsid w:val="00442F4C"/>
    <w:rsid w:val="0044367A"/>
    <w:rsid w:val="0044380B"/>
    <w:rsid w:val="00443A2C"/>
    <w:rsid w:val="00443DBC"/>
    <w:rsid w:val="00443E57"/>
    <w:rsid w:val="004440AD"/>
    <w:rsid w:val="00444224"/>
    <w:rsid w:val="00444524"/>
    <w:rsid w:val="004445C5"/>
    <w:rsid w:val="00444780"/>
    <w:rsid w:val="00444B32"/>
    <w:rsid w:val="004455A9"/>
    <w:rsid w:val="004458CD"/>
    <w:rsid w:val="00445CAE"/>
    <w:rsid w:val="00445E17"/>
    <w:rsid w:val="00445ED9"/>
    <w:rsid w:val="00446091"/>
    <w:rsid w:val="004461F3"/>
    <w:rsid w:val="00446596"/>
    <w:rsid w:val="00446851"/>
    <w:rsid w:val="004468AA"/>
    <w:rsid w:val="00446BCF"/>
    <w:rsid w:val="00446BE6"/>
    <w:rsid w:val="00446CDD"/>
    <w:rsid w:val="00446DA8"/>
    <w:rsid w:val="00446F24"/>
    <w:rsid w:val="00447FEF"/>
    <w:rsid w:val="004502C3"/>
    <w:rsid w:val="004504F0"/>
    <w:rsid w:val="0045068E"/>
    <w:rsid w:val="00450B20"/>
    <w:rsid w:val="00450E59"/>
    <w:rsid w:val="004513AD"/>
    <w:rsid w:val="0045177A"/>
    <w:rsid w:val="004517B1"/>
    <w:rsid w:val="00451A21"/>
    <w:rsid w:val="0045221E"/>
    <w:rsid w:val="004527F3"/>
    <w:rsid w:val="00452C45"/>
    <w:rsid w:val="00452E49"/>
    <w:rsid w:val="00453160"/>
    <w:rsid w:val="00453170"/>
    <w:rsid w:val="004533DA"/>
    <w:rsid w:val="004533EA"/>
    <w:rsid w:val="0045391F"/>
    <w:rsid w:val="0045397A"/>
    <w:rsid w:val="00453B66"/>
    <w:rsid w:val="00453CB1"/>
    <w:rsid w:val="00453D3A"/>
    <w:rsid w:val="00453F1D"/>
    <w:rsid w:val="004540A9"/>
    <w:rsid w:val="00454320"/>
    <w:rsid w:val="00454349"/>
    <w:rsid w:val="0045440D"/>
    <w:rsid w:val="0045488E"/>
    <w:rsid w:val="00454890"/>
    <w:rsid w:val="00454DDC"/>
    <w:rsid w:val="00454E3E"/>
    <w:rsid w:val="00455156"/>
    <w:rsid w:val="00455324"/>
    <w:rsid w:val="004554BC"/>
    <w:rsid w:val="0045632F"/>
    <w:rsid w:val="0045633E"/>
    <w:rsid w:val="0045660E"/>
    <w:rsid w:val="00456DEA"/>
    <w:rsid w:val="00456DF2"/>
    <w:rsid w:val="00456E92"/>
    <w:rsid w:val="00456F66"/>
    <w:rsid w:val="00457133"/>
    <w:rsid w:val="004572D9"/>
    <w:rsid w:val="00457727"/>
    <w:rsid w:val="00457948"/>
    <w:rsid w:val="00457EF7"/>
    <w:rsid w:val="00460692"/>
    <w:rsid w:val="00460729"/>
    <w:rsid w:val="0046088F"/>
    <w:rsid w:val="00460DE4"/>
    <w:rsid w:val="00460F2C"/>
    <w:rsid w:val="004610A6"/>
    <w:rsid w:val="00461854"/>
    <w:rsid w:val="00461C4A"/>
    <w:rsid w:val="00461D94"/>
    <w:rsid w:val="004622BE"/>
    <w:rsid w:val="0046298C"/>
    <w:rsid w:val="00462C24"/>
    <w:rsid w:val="004631A9"/>
    <w:rsid w:val="004631DE"/>
    <w:rsid w:val="004634B9"/>
    <w:rsid w:val="00463520"/>
    <w:rsid w:val="00463A33"/>
    <w:rsid w:val="00463B05"/>
    <w:rsid w:val="00463B7B"/>
    <w:rsid w:val="00463D7F"/>
    <w:rsid w:val="00464139"/>
    <w:rsid w:val="0046465C"/>
    <w:rsid w:val="00464A18"/>
    <w:rsid w:val="00464C66"/>
    <w:rsid w:val="004653A7"/>
    <w:rsid w:val="004654EF"/>
    <w:rsid w:val="004655AC"/>
    <w:rsid w:val="00465660"/>
    <w:rsid w:val="004657A9"/>
    <w:rsid w:val="0046591F"/>
    <w:rsid w:val="00465E12"/>
    <w:rsid w:val="00465EBC"/>
    <w:rsid w:val="00465F3A"/>
    <w:rsid w:val="0046608E"/>
    <w:rsid w:val="00466465"/>
    <w:rsid w:val="0046651A"/>
    <w:rsid w:val="00466D96"/>
    <w:rsid w:val="004670FF"/>
    <w:rsid w:val="004678DD"/>
    <w:rsid w:val="00467B7D"/>
    <w:rsid w:val="00467C54"/>
    <w:rsid w:val="00467ECB"/>
    <w:rsid w:val="00467FE5"/>
    <w:rsid w:val="00470328"/>
    <w:rsid w:val="00470930"/>
    <w:rsid w:val="00470A94"/>
    <w:rsid w:val="00470D68"/>
    <w:rsid w:val="00470E47"/>
    <w:rsid w:val="004712CF"/>
    <w:rsid w:val="0047193A"/>
    <w:rsid w:val="00471E5C"/>
    <w:rsid w:val="00471F00"/>
    <w:rsid w:val="0047252C"/>
    <w:rsid w:val="004727BF"/>
    <w:rsid w:val="00472B5B"/>
    <w:rsid w:val="00472BD4"/>
    <w:rsid w:val="00472BFC"/>
    <w:rsid w:val="00472F18"/>
    <w:rsid w:val="004732EA"/>
    <w:rsid w:val="004737B2"/>
    <w:rsid w:val="00473B82"/>
    <w:rsid w:val="00473C78"/>
    <w:rsid w:val="0047400A"/>
    <w:rsid w:val="00474019"/>
    <w:rsid w:val="0047425C"/>
    <w:rsid w:val="00474513"/>
    <w:rsid w:val="00474801"/>
    <w:rsid w:val="00474803"/>
    <w:rsid w:val="00474B30"/>
    <w:rsid w:val="00474F20"/>
    <w:rsid w:val="00475131"/>
    <w:rsid w:val="00475150"/>
    <w:rsid w:val="00475318"/>
    <w:rsid w:val="004754F1"/>
    <w:rsid w:val="00475541"/>
    <w:rsid w:val="0047606E"/>
    <w:rsid w:val="0047620C"/>
    <w:rsid w:val="004765EA"/>
    <w:rsid w:val="00476AE8"/>
    <w:rsid w:val="00476E4F"/>
    <w:rsid w:val="0047732C"/>
    <w:rsid w:val="00477649"/>
    <w:rsid w:val="0047769C"/>
    <w:rsid w:val="004777A0"/>
    <w:rsid w:val="004777BA"/>
    <w:rsid w:val="00477902"/>
    <w:rsid w:val="00477961"/>
    <w:rsid w:val="00477A12"/>
    <w:rsid w:val="00477C40"/>
    <w:rsid w:val="0048038D"/>
    <w:rsid w:val="00480B08"/>
    <w:rsid w:val="00480C11"/>
    <w:rsid w:val="00480C60"/>
    <w:rsid w:val="00480CE6"/>
    <w:rsid w:val="0048124A"/>
    <w:rsid w:val="00481DF6"/>
    <w:rsid w:val="0048289F"/>
    <w:rsid w:val="00482982"/>
    <w:rsid w:val="00482F01"/>
    <w:rsid w:val="00483030"/>
    <w:rsid w:val="00483170"/>
    <w:rsid w:val="004831B4"/>
    <w:rsid w:val="00483273"/>
    <w:rsid w:val="00483556"/>
    <w:rsid w:val="00483683"/>
    <w:rsid w:val="00483ADF"/>
    <w:rsid w:val="00483B6E"/>
    <w:rsid w:val="00483DAF"/>
    <w:rsid w:val="0048429C"/>
    <w:rsid w:val="004845D0"/>
    <w:rsid w:val="00484A09"/>
    <w:rsid w:val="0048519F"/>
    <w:rsid w:val="00485818"/>
    <w:rsid w:val="0048588E"/>
    <w:rsid w:val="00485F67"/>
    <w:rsid w:val="00486058"/>
    <w:rsid w:val="00486154"/>
    <w:rsid w:val="00486689"/>
    <w:rsid w:val="004866D0"/>
    <w:rsid w:val="00486DA4"/>
    <w:rsid w:val="004875A4"/>
    <w:rsid w:val="004877DE"/>
    <w:rsid w:val="00487EDE"/>
    <w:rsid w:val="00490037"/>
    <w:rsid w:val="004900FD"/>
    <w:rsid w:val="004905E6"/>
    <w:rsid w:val="00490727"/>
    <w:rsid w:val="004919E1"/>
    <w:rsid w:val="00491FBB"/>
    <w:rsid w:val="00492083"/>
    <w:rsid w:val="0049225E"/>
    <w:rsid w:val="00492964"/>
    <w:rsid w:val="00492B47"/>
    <w:rsid w:val="00492FC7"/>
    <w:rsid w:val="00493225"/>
    <w:rsid w:val="0049346E"/>
    <w:rsid w:val="00493484"/>
    <w:rsid w:val="00493933"/>
    <w:rsid w:val="00493BB2"/>
    <w:rsid w:val="00493F16"/>
    <w:rsid w:val="0049458D"/>
    <w:rsid w:val="00494756"/>
    <w:rsid w:val="00495819"/>
    <w:rsid w:val="00495989"/>
    <w:rsid w:val="00495FDB"/>
    <w:rsid w:val="00496707"/>
    <w:rsid w:val="00496844"/>
    <w:rsid w:val="00496A70"/>
    <w:rsid w:val="00496B99"/>
    <w:rsid w:val="00496C1E"/>
    <w:rsid w:val="00496E64"/>
    <w:rsid w:val="00496ECF"/>
    <w:rsid w:val="0049705C"/>
    <w:rsid w:val="004972A6"/>
    <w:rsid w:val="0049739A"/>
    <w:rsid w:val="004975AA"/>
    <w:rsid w:val="00497B2F"/>
    <w:rsid w:val="004A02F7"/>
    <w:rsid w:val="004A0425"/>
    <w:rsid w:val="004A0583"/>
    <w:rsid w:val="004A0797"/>
    <w:rsid w:val="004A0F38"/>
    <w:rsid w:val="004A13E1"/>
    <w:rsid w:val="004A1CDF"/>
    <w:rsid w:val="004A2491"/>
    <w:rsid w:val="004A28AE"/>
    <w:rsid w:val="004A2ADD"/>
    <w:rsid w:val="004A2BFE"/>
    <w:rsid w:val="004A2F47"/>
    <w:rsid w:val="004A3E60"/>
    <w:rsid w:val="004A4454"/>
    <w:rsid w:val="004A48CD"/>
    <w:rsid w:val="004A503A"/>
    <w:rsid w:val="004A5047"/>
    <w:rsid w:val="004A5459"/>
    <w:rsid w:val="004A54A5"/>
    <w:rsid w:val="004A585C"/>
    <w:rsid w:val="004A5A6D"/>
    <w:rsid w:val="004A5C7E"/>
    <w:rsid w:val="004A5E2A"/>
    <w:rsid w:val="004A5ECC"/>
    <w:rsid w:val="004A5EEA"/>
    <w:rsid w:val="004A5F78"/>
    <w:rsid w:val="004A60D2"/>
    <w:rsid w:val="004A61EF"/>
    <w:rsid w:val="004A66F1"/>
    <w:rsid w:val="004A6F7F"/>
    <w:rsid w:val="004A6FC0"/>
    <w:rsid w:val="004A7231"/>
    <w:rsid w:val="004A7AE4"/>
    <w:rsid w:val="004B010A"/>
    <w:rsid w:val="004B026B"/>
    <w:rsid w:val="004B035D"/>
    <w:rsid w:val="004B04DC"/>
    <w:rsid w:val="004B06DF"/>
    <w:rsid w:val="004B0E15"/>
    <w:rsid w:val="004B0E85"/>
    <w:rsid w:val="004B1062"/>
    <w:rsid w:val="004B158B"/>
    <w:rsid w:val="004B1601"/>
    <w:rsid w:val="004B191F"/>
    <w:rsid w:val="004B1B23"/>
    <w:rsid w:val="004B1C6A"/>
    <w:rsid w:val="004B1EAF"/>
    <w:rsid w:val="004B2003"/>
    <w:rsid w:val="004B2062"/>
    <w:rsid w:val="004B215B"/>
    <w:rsid w:val="004B2860"/>
    <w:rsid w:val="004B2C21"/>
    <w:rsid w:val="004B2DC8"/>
    <w:rsid w:val="004B31A7"/>
    <w:rsid w:val="004B322F"/>
    <w:rsid w:val="004B3A46"/>
    <w:rsid w:val="004B3A7F"/>
    <w:rsid w:val="004B3DB9"/>
    <w:rsid w:val="004B3EDB"/>
    <w:rsid w:val="004B3EF6"/>
    <w:rsid w:val="004B4126"/>
    <w:rsid w:val="004B423C"/>
    <w:rsid w:val="004B4616"/>
    <w:rsid w:val="004B48BA"/>
    <w:rsid w:val="004B4BD3"/>
    <w:rsid w:val="004B4E60"/>
    <w:rsid w:val="004B526E"/>
    <w:rsid w:val="004B564D"/>
    <w:rsid w:val="004B56AB"/>
    <w:rsid w:val="004B5A91"/>
    <w:rsid w:val="004B5D49"/>
    <w:rsid w:val="004B5E5F"/>
    <w:rsid w:val="004B630B"/>
    <w:rsid w:val="004B639D"/>
    <w:rsid w:val="004B639E"/>
    <w:rsid w:val="004B6E72"/>
    <w:rsid w:val="004B71D6"/>
    <w:rsid w:val="004B7419"/>
    <w:rsid w:val="004B751A"/>
    <w:rsid w:val="004B7920"/>
    <w:rsid w:val="004B7B13"/>
    <w:rsid w:val="004B7CF1"/>
    <w:rsid w:val="004C02F8"/>
    <w:rsid w:val="004C0392"/>
    <w:rsid w:val="004C0601"/>
    <w:rsid w:val="004C0693"/>
    <w:rsid w:val="004C0A42"/>
    <w:rsid w:val="004C0BA1"/>
    <w:rsid w:val="004C0BBA"/>
    <w:rsid w:val="004C0D63"/>
    <w:rsid w:val="004C0F3F"/>
    <w:rsid w:val="004C138E"/>
    <w:rsid w:val="004C1540"/>
    <w:rsid w:val="004C1708"/>
    <w:rsid w:val="004C187A"/>
    <w:rsid w:val="004C1FEC"/>
    <w:rsid w:val="004C212B"/>
    <w:rsid w:val="004C2765"/>
    <w:rsid w:val="004C2CDB"/>
    <w:rsid w:val="004C2EC2"/>
    <w:rsid w:val="004C3386"/>
    <w:rsid w:val="004C3460"/>
    <w:rsid w:val="004C369A"/>
    <w:rsid w:val="004C399B"/>
    <w:rsid w:val="004C39F2"/>
    <w:rsid w:val="004C3C2A"/>
    <w:rsid w:val="004C3C82"/>
    <w:rsid w:val="004C3F50"/>
    <w:rsid w:val="004C40F3"/>
    <w:rsid w:val="004C4331"/>
    <w:rsid w:val="004C434A"/>
    <w:rsid w:val="004C48BF"/>
    <w:rsid w:val="004C4BF7"/>
    <w:rsid w:val="004C4E3A"/>
    <w:rsid w:val="004C4FEB"/>
    <w:rsid w:val="004C5071"/>
    <w:rsid w:val="004C5257"/>
    <w:rsid w:val="004C5421"/>
    <w:rsid w:val="004C565E"/>
    <w:rsid w:val="004C580E"/>
    <w:rsid w:val="004C64CD"/>
    <w:rsid w:val="004C6658"/>
    <w:rsid w:val="004C699E"/>
    <w:rsid w:val="004C6A9F"/>
    <w:rsid w:val="004C6B50"/>
    <w:rsid w:val="004C6EB9"/>
    <w:rsid w:val="004C6FFF"/>
    <w:rsid w:val="004C783E"/>
    <w:rsid w:val="004C7936"/>
    <w:rsid w:val="004C7B6C"/>
    <w:rsid w:val="004C7F08"/>
    <w:rsid w:val="004D0297"/>
    <w:rsid w:val="004D03AF"/>
    <w:rsid w:val="004D0468"/>
    <w:rsid w:val="004D0568"/>
    <w:rsid w:val="004D0873"/>
    <w:rsid w:val="004D0EB4"/>
    <w:rsid w:val="004D1240"/>
    <w:rsid w:val="004D1355"/>
    <w:rsid w:val="004D165C"/>
    <w:rsid w:val="004D17E6"/>
    <w:rsid w:val="004D199D"/>
    <w:rsid w:val="004D1A61"/>
    <w:rsid w:val="004D1D3D"/>
    <w:rsid w:val="004D1D52"/>
    <w:rsid w:val="004D227F"/>
    <w:rsid w:val="004D2753"/>
    <w:rsid w:val="004D2966"/>
    <w:rsid w:val="004D307D"/>
    <w:rsid w:val="004D31F7"/>
    <w:rsid w:val="004D36B3"/>
    <w:rsid w:val="004D3714"/>
    <w:rsid w:val="004D384A"/>
    <w:rsid w:val="004D3867"/>
    <w:rsid w:val="004D3A91"/>
    <w:rsid w:val="004D3D0C"/>
    <w:rsid w:val="004D3E31"/>
    <w:rsid w:val="004D3F34"/>
    <w:rsid w:val="004D425B"/>
    <w:rsid w:val="004D43A7"/>
    <w:rsid w:val="004D4A70"/>
    <w:rsid w:val="004D517D"/>
    <w:rsid w:val="004D554E"/>
    <w:rsid w:val="004D566F"/>
    <w:rsid w:val="004D5BF4"/>
    <w:rsid w:val="004D607F"/>
    <w:rsid w:val="004D68AE"/>
    <w:rsid w:val="004D6C3B"/>
    <w:rsid w:val="004D6C66"/>
    <w:rsid w:val="004D72EA"/>
    <w:rsid w:val="004D7405"/>
    <w:rsid w:val="004D7717"/>
    <w:rsid w:val="004D7849"/>
    <w:rsid w:val="004D7981"/>
    <w:rsid w:val="004D7990"/>
    <w:rsid w:val="004E0048"/>
    <w:rsid w:val="004E016D"/>
    <w:rsid w:val="004E049C"/>
    <w:rsid w:val="004E06C0"/>
    <w:rsid w:val="004E0736"/>
    <w:rsid w:val="004E0D53"/>
    <w:rsid w:val="004E0E44"/>
    <w:rsid w:val="004E1675"/>
    <w:rsid w:val="004E18D8"/>
    <w:rsid w:val="004E1B32"/>
    <w:rsid w:val="004E1C56"/>
    <w:rsid w:val="004E2354"/>
    <w:rsid w:val="004E23EF"/>
    <w:rsid w:val="004E28CC"/>
    <w:rsid w:val="004E2910"/>
    <w:rsid w:val="004E2982"/>
    <w:rsid w:val="004E2AF3"/>
    <w:rsid w:val="004E2BC2"/>
    <w:rsid w:val="004E2BE3"/>
    <w:rsid w:val="004E2D20"/>
    <w:rsid w:val="004E2D3A"/>
    <w:rsid w:val="004E2D7D"/>
    <w:rsid w:val="004E315A"/>
    <w:rsid w:val="004E317F"/>
    <w:rsid w:val="004E36AC"/>
    <w:rsid w:val="004E3D77"/>
    <w:rsid w:val="004E3DD1"/>
    <w:rsid w:val="004E3E22"/>
    <w:rsid w:val="004E41B0"/>
    <w:rsid w:val="004E4302"/>
    <w:rsid w:val="004E4576"/>
    <w:rsid w:val="004E4845"/>
    <w:rsid w:val="004E4890"/>
    <w:rsid w:val="004E48FD"/>
    <w:rsid w:val="004E4C3F"/>
    <w:rsid w:val="004E5956"/>
    <w:rsid w:val="004E6067"/>
    <w:rsid w:val="004E6246"/>
    <w:rsid w:val="004E633F"/>
    <w:rsid w:val="004E6577"/>
    <w:rsid w:val="004E664A"/>
    <w:rsid w:val="004E692D"/>
    <w:rsid w:val="004E6BB1"/>
    <w:rsid w:val="004E6C4D"/>
    <w:rsid w:val="004E6F9C"/>
    <w:rsid w:val="004E7097"/>
    <w:rsid w:val="004E70EA"/>
    <w:rsid w:val="004E7145"/>
    <w:rsid w:val="004E73BA"/>
    <w:rsid w:val="004E7752"/>
    <w:rsid w:val="004E77F6"/>
    <w:rsid w:val="004E7B48"/>
    <w:rsid w:val="004E7D2A"/>
    <w:rsid w:val="004E7F5C"/>
    <w:rsid w:val="004F0326"/>
    <w:rsid w:val="004F0878"/>
    <w:rsid w:val="004F0E5F"/>
    <w:rsid w:val="004F0F97"/>
    <w:rsid w:val="004F1608"/>
    <w:rsid w:val="004F1655"/>
    <w:rsid w:val="004F1852"/>
    <w:rsid w:val="004F2529"/>
    <w:rsid w:val="004F25EB"/>
    <w:rsid w:val="004F2626"/>
    <w:rsid w:val="004F2D71"/>
    <w:rsid w:val="004F2E8C"/>
    <w:rsid w:val="004F2EC1"/>
    <w:rsid w:val="004F3993"/>
    <w:rsid w:val="004F4114"/>
    <w:rsid w:val="004F411A"/>
    <w:rsid w:val="004F4694"/>
    <w:rsid w:val="004F4845"/>
    <w:rsid w:val="004F490E"/>
    <w:rsid w:val="004F4CEA"/>
    <w:rsid w:val="004F4DE1"/>
    <w:rsid w:val="004F5497"/>
    <w:rsid w:val="004F5937"/>
    <w:rsid w:val="004F5D22"/>
    <w:rsid w:val="004F5D24"/>
    <w:rsid w:val="004F609C"/>
    <w:rsid w:val="004F64CD"/>
    <w:rsid w:val="004F6604"/>
    <w:rsid w:val="004F66A2"/>
    <w:rsid w:val="004F66C7"/>
    <w:rsid w:val="004F69DC"/>
    <w:rsid w:val="004F6BB9"/>
    <w:rsid w:val="004F6C32"/>
    <w:rsid w:val="004F6CAC"/>
    <w:rsid w:val="004F6D2F"/>
    <w:rsid w:val="004F6D44"/>
    <w:rsid w:val="004F6E13"/>
    <w:rsid w:val="004F6E4B"/>
    <w:rsid w:val="004F6E9C"/>
    <w:rsid w:val="004F7000"/>
    <w:rsid w:val="004F74DF"/>
    <w:rsid w:val="004F75D8"/>
    <w:rsid w:val="004F761A"/>
    <w:rsid w:val="004F78AC"/>
    <w:rsid w:val="004F7CEA"/>
    <w:rsid w:val="004F7F59"/>
    <w:rsid w:val="005000AF"/>
    <w:rsid w:val="005000B8"/>
    <w:rsid w:val="00500333"/>
    <w:rsid w:val="0050051D"/>
    <w:rsid w:val="00500AF2"/>
    <w:rsid w:val="00500B80"/>
    <w:rsid w:val="00500D21"/>
    <w:rsid w:val="00500F60"/>
    <w:rsid w:val="00501088"/>
    <w:rsid w:val="0050145C"/>
    <w:rsid w:val="00501746"/>
    <w:rsid w:val="0050196D"/>
    <w:rsid w:val="00501A7C"/>
    <w:rsid w:val="00501B40"/>
    <w:rsid w:val="00501D7F"/>
    <w:rsid w:val="005024C3"/>
    <w:rsid w:val="00502849"/>
    <w:rsid w:val="005028C4"/>
    <w:rsid w:val="00502BE3"/>
    <w:rsid w:val="00502CE9"/>
    <w:rsid w:val="00502E56"/>
    <w:rsid w:val="00502EF4"/>
    <w:rsid w:val="00502F54"/>
    <w:rsid w:val="005031E6"/>
    <w:rsid w:val="00503497"/>
    <w:rsid w:val="005038E6"/>
    <w:rsid w:val="005038F5"/>
    <w:rsid w:val="00503B3D"/>
    <w:rsid w:val="00503DD8"/>
    <w:rsid w:val="00504053"/>
    <w:rsid w:val="005046AC"/>
    <w:rsid w:val="00504A0B"/>
    <w:rsid w:val="00504A7F"/>
    <w:rsid w:val="0050538A"/>
    <w:rsid w:val="005053C8"/>
    <w:rsid w:val="005054F0"/>
    <w:rsid w:val="00505807"/>
    <w:rsid w:val="00505A51"/>
    <w:rsid w:val="00506645"/>
    <w:rsid w:val="00506934"/>
    <w:rsid w:val="00506FE3"/>
    <w:rsid w:val="00507566"/>
    <w:rsid w:val="005079B9"/>
    <w:rsid w:val="00507B5D"/>
    <w:rsid w:val="00507CDF"/>
    <w:rsid w:val="00510114"/>
    <w:rsid w:val="005101ED"/>
    <w:rsid w:val="00510334"/>
    <w:rsid w:val="005103C0"/>
    <w:rsid w:val="00510AC5"/>
    <w:rsid w:val="00510C5E"/>
    <w:rsid w:val="00510EF2"/>
    <w:rsid w:val="005110DE"/>
    <w:rsid w:val="0051110B"/>
    <w:rsid w:val="00511602"/>
    <w:rsid w:val="005116F7"/>
    <w:rsid w:val="00511A14"/>
    <w:rsid w:val="00511D61"/>
    <w:rsid w:val="00512053"/>
    <w:rsid w:val="0051226F"/>
    <w:rsid w:val="005123F2"/>
    <w:rsid w:val="00512670"/>
    <w:rsid w:val="0051297F"/>
    <w:rsid w:val="00512B9D"/>
    <w:rsid w:val="00512DD3"/>
    <w:rsid w:val="00512FF8"/>
    <w:rsid w:val="00513190"/>
    <w:rsid w:val="0051386D"/>
    <w:rsid w:val="005138CB"/>
    <w:rsid w:val="00513986"/>
    <w:rsid w:val="00513FF1"/>
    <w:rsid w:val="00514693"/>
    <w:rsid w:val="00514699"/>
    <w:rsid w:val="005147B9"/>
    <w:rsid w:val="00514D9A"/>
    <w:rsid w:val="00514F19"/>
    <w:rsid w:val="00515452"/>
    <w:rsid w:val="005154B0"/>
    <w:rsid w:val="005157C8"/>
    <w:rsid w:val="00515842"/>
    <w:rsid w:val="0051585F"/>
    <w:rsid w:val="005159C3"/>
    <w:rsid w:val="0051624A"/>
    <w:rsid w:val="0051627A"/>
    <w:rsid w:val="0051630D"/>
    <w:rsid w:val="00516736"/>
    <w:rsid w:val="005167A8"/>
    <w:rsid w:val="00516E58"/>
    <w:rsid w:val="00517326"/>
    <w:rsid w:val="005179A9"/>
    <w:rsid w:val="00517AF9"/>
    <w:rsid w:val="00517BAF"/>
    <w:rsid w:val="00517DC5"/>
    <w:rsid w:val="005200ED"/>
    <w:rsid w:val="0052015D"/>
    <w:rsid w:val="005201C7"/>
    <w:rsid w:val="00520527"/>
    <w:rsid w:val="005207F3"/>
    <w:rsid w:val="00520EE8"/>
    <w:rsid w:val="00520F9E"/>
    <w:rsid w:val="00520FC5"/>
    <w:rsid w:val="0052176E"/>
    <w:rsid w:val="00521AE1"/>
    <w:rsid w:val="00522576"/>
    <w:rsid w:val="005228AC"/>
    <w:rsid w:val="00522AC7"/>
    <w:rsid w:val="00522E7A"/>
    <w:rsid w:val="00523784"/>
    <w:rsid w:val="0052378D"/>
    <w:rsid w:val="00524269"/>
    <w:rsid w:val="0052433F"/>
    <w:rsid w:val="0052443D"/>
    <w:rsid w:val="005244C4"/>
    <w:rsid w:val="00524557"/>
    <w:rsid w:val="0052471F"/>
    <w:rsid w:val="00524EF8"/>
    <w:rsid w:val="0052511E"/>
    <w:rsid w:val="0052547A"/>
    <w:rsid w:val="00525848"/>
    <w:rsid w:val="00525948"/>
    <w:rsid w:val="00525A82"/>
    <w:rsid w:val="00525A83"/>
    <w:rsid w:val="00525BF6"/>
    <w:rsid w:val="00525E94"/>
    <w:rsid w:val="00525F19"/>
    <w:rsid w:val="00525F24"/>
    <w:rsid w:val="0052609C"/>
    <w:rsid w:val="00526100"/>
    <w:rsid w:val="0052614D"/>
    <w:rsid w:val="0052672E"/>
    <w:rsid w:val="00526736"/>
    <w:rsid w:val="0052681D"/>
    <w:rsid w:val="0052682C"/>
    <w:rsid w:val="0052688E"/>
    <w:rsid w:val="0052695C"/>
    <w:rsid w:val="00526EA9"/>
    <w:rsid w:val="00527566"/>
    <w:rsid w:val="00527712"/>
    <w:rsid w:val="00527DC8"/>
    <w:rsid w:val="00527F57"/>
    <w:rsid w:val="00530196"/>
    <w:rsid w:val="00530233"/>
    <w:rsid w:val="0053056E"/>
    <w:rsid w:val="00531390"/>
    <w:rsid w:val="005318D5"/>
    <w:rsid w:val="00531B5F"/>
    <w:rsid w:val="00531CCE"/>
    <w:rsid w:val="00531EA3"/>
    <w:rsid w:val="00531EF0"/>
    <w:rsid w:val="0053220F"/>
    <w:rsid w:val="005324F8"/>
    <w:rsid w:val="0053293D"/>
    <w:rsid w:val="00532DC7"/>
    <w:rsid w:val="00532DF0"/>
    <w:rsid w:val="00532E16"/>
    <w:rsid w:val="0053361A"/>
    <w:rsid w:val="00533AA8"/>
    <w:rsid w:val="00533AB3"/>
    <w:rsid w:val="00533CF8"/>
    <w:rsid w:val="00533D36"/>
    <w:rsid w:val="00534085"/>
    <w:rsid w:val="0053447E"/>
    <w:rsid w:val="00534850"/>
    <w:rsid w:val="00534B04"/>
    <w:rsid w:val="00534FC7"/>
    <w:rsid w:val="00535307"/>
    <w:rsid w:val="00535B13"/>
    <w:rsid w:val="00535EE4"/>
    <w:rsid w:val="00536072"/>
    <w:rsid w:val="0053700C"/>
    <w:rsid w:val="005370F9"/>
    <w:rsid w:val="00537468"/>
    <w:rsid w:val="00537A48"/>
    <w:rsid w:val="00537C44"/>
    <w:rsid w:val="005404D4"/>
    <w:rsid w:val="005405A9"/>
    <w:rsid w:val="005405CF"/>
    <w:rsid w:val="00540667"/>
    <w:rsid w:val="00540743"/>
    <w:rsid w:val="00540ADD"/>
    <w:rsid w:val="00540BFD"/>
    <w:rsid w:val="00540D44"/>
    <w:rsid w:val="00540F70"/>
    <w:rsid w:val="00540FC6"/>
    <w:rsid w:val="005411E5"/>
    <w:rsid w:val="005416B0"/>
    <w:rsid w:val="005418EA"/>
    <w:rsid w:val="00541AAE"/>
    <w:rsid w:val="00541D79"/>
    <w:rsid w:val="00541DFC"/>
    <w:rsid w:val="00542089"/>
    <w:rsid w:val="00542168"/>
    <w:rsid w:val="005421C8"/>
    <w:rsid w:val="00542202"/>
    <w:rsid w:val="00542424"/>
    <w:rsid w:val="005424D3"/>
    <w:rsid w:val="00542969"/>
    <w:rsid w:val="00542D4E"/>
    <w:rsid w:val="00543115"/>
    <w:rsid w:val="00543190"/>
    <w:rsid w:val="005431AA"/>
    <w:rsid w:val="00543224"/>
    <w:rsid w:val="00543233"/>
    <w:rsid w:val="00543389"/>
    <w:rsid w:val="005433FD"/>
    <w:rsid w:val="00543A4C"/>
    <w:rsid w:val="00543B4D"/>
    <w:rsid w:val="00543E21"/>
    <w:rsid w:val="00543F5F"/>
    <w:rsid w:val="00544057"/>
    <w:rsid w:val="005446C7"/>
    <w:rsid w:val="00544865"/>
    <w:rsid w:val="00544A00"/>
    <w:rsid w:val="00544E7A"/>
    <w:rsid w:val="005451CF"/>
    <w:rsid w:val="00545A15"/>
    <w:rsid w:val="00545D1D"/>
    <w:rsid w:val="00545D91"/>
    <w:rsid w:val="005461D1"/>
    <w:rsid w:val="00546221"/>
    <w:rsid w:val="0054629E"/>
    <w:rsid w:val="00546A15"/>
    <w:rsid w:val="00546A26"/>
    <w:rsid w:val="00546C2E"/>
    <w:rsid w:val="00546CDC"/>
    <w:rsid w:val="00546DD1"/>
    <w:rsid w:val="00546E99"/>
    <w:rsid w:val="0054730D"/>
    <w:rsid w:val="0054779F"/>
    <w:rsid w:val="00547916"/>
    <w:rsid w:val="00547B4C"/>
    <w:rsid w:val="00547C4B"/>
    <w:rsid w:val="00547DD4"/>
    <w:rsid w:val="00550111"/>
    <w:rsid w:val="005502DF"/>
    <w:rsid w:val="00550435"/>
    <w:rsid w:val="005508E7"/>
    <w:rsid w:val="00550985"/>
    <w:rsid w:val="00550B1E"/>
    <w:rsid w:val="00550CAC"/>
    <w:rsid w:val="00550DCD"/>
    <w:rsid w:val="00551709"/>
    <w:rsid w:val="00551A11"/>
    <w:rsid w:val="00551A86"/>
    <w:rsid w:val="00551AC0"/>
    <w:rsid w:val="00551F6F"/>
    <w:rsid w:val="0055210B"/>
    <w:rsid w:val="00552125"/>
    <w:rsid w:val="00552337"/>
    <w:rsid w:val="00552BE4"/>
    <w:rsid w:val="00553400"/>
    <w:rsid w:val="0055354B"/>
    <w:rsid w:val="00553AAF"/>
    <w:rsid w:val="0055429C"/>
    <w:rsid w:val="005547DA"/>
    <w:rsid w:val="0055490C"/>
    <w:rsid w:val="005553E3"/>
    <w:rsid w:val="005554DC"/>
    <w:rsid w:val="00555535"/>
    <w:rsid w:val="0055577F"/>
    <w:rsid w:val="00555E7C"/>
    <w:rsid w:val="00555F2E"/>
    <w:rsid w:val="00556359"/>
    <w:rsid w:val="0055647E"/>
    <w:rsid w:val="005564E7"/>
    <w:rsid w:val="005565AD"/>
    <w:rsid w:val="005566F5"/>
    <w:rsid w:val="005567EF"/>
    <w:rsid w:val="0055689E"/>
    <w:rsid w:val="00556D45"/>
    <w:rsid w:val="0055715F"/>
    <w:rsid w:val="0056027A"/>
    <w:rsid w:val="005603E0"/>
    <w:rsid w:val="00560497"/>
    <w:rsid w:val="005606A0"/>
    <w:rsid w:val="005608B1"/>
    <w:rsid w:val="00560A41"/>
    <w:rsid w:val="00560B06"/>
    <w:rsid w:val="00560D9A"/>
    <w:rsid w:val="00560DE3"/>
    <w:rsid w:val="00561010"/>
    <w:rsid w:val="00561014"/>
    <w:rsid w:val="005611D6"/>
    <w:rsid w:val="00561245"/>
    <w:rsid w:val="00561550"/>
    <w:rsid w:val="00561593"/>
    <w:rsid w:val="00561760"/>
    <w:rsid w:val="00561955"/>
    <w:rsid w:val="005619E2"/>
    <w:rsid w:val="00561D37"/>
    <w:rsid w:val="00561E19"/>
    <w:rsid w:val="00561FB5"/>
    <w:rsid w:val="00562155"/>
    <w:rsid w:val="00562244"/>
    <w:rsid w:val="00562788"/>
    <w:rsid w:val="00562AF8"/>
    <w:rsid w:val="00562B0E"/>
    <w:rsid w:val="00562B45"/>
    <w:rsid w:val="00562D3C"/>
    <w:rsid w:val="00562D87"/>
    <w:rsid w:val="00562FE2"/>
    <w:rsid w:val="005631A7"/>
    <w:rsid w:val="00563447"/>
    <w:rsid w:val="00563480"/>
    <w:rsid w:val="00563498"/>
    <w:rsid w:val="00563598"/>
    <w:rsid w:val="005636AE"/>
    <w:rsid w:val="005636D1"/>
    <w:rsid w:val="00563C30"/>
    <w:rsid w:val="00564493"/>
    <w:rsid w:val="0056464E"/>
    <w:rsid w:val="00564691"/>
    <w:rsid w:val="005648ED"/>
    <w:rsid w:val="005648FB"/>
    <w:rsid w:val="00564A6F"/>
    <w:rsid w:val="00564C13"/>
    <w:rsid w:val="00564C90"/>
    <w:rsid w:val="00564FF1"/>
    <w:rsid w:val="005651EE"/>
    <w:rsid w:val="005653D7"/>
    <w:rsid w:val="005654E0"/>
    <w:rsid w:val="005657CF"/>
    <w:rsid w:val="005657E5"/>
    <w:rsid w:val="00565801"/>
    <w:rsid w:val="005658AE"/>
    <w:rsid w:val="00566039"/>
    <w:rsid w:val="005665C6"/>
    <w:rsid w:val="00566A68"/>
    <w:rsid w:val="00566DC8"/>
    <w:rsid w:val="00566E35"/>
    <w:rsid w:val="00566FCD"/>
    <w:rsid w:val="0056707F"/>
    <w:rsid w:val="00567187"/>
    <w:rsid w:val="00567237"/>
    <w:rsid w:val="0056736A"/>
    <w:rsid w:val="00567666"/>
    <w:rsid w:val="00567854"/>
    <w:rsid w:val="005679F4"/>
    <w:rsid w:val="00567B08"/>
    <w:rsid w:val="00567B49"/>
    <w:rsid w:val="00567B75"/>
    <w:rsid w:val="00567B88"/>
    <w:rsid w:val="00567C1F"/>
    <w:rsid w:val="0057020F"/>
    <w:rsid w:val="005702C5"/>
    <w:rsid w:val="00570A9B"/>
    <w:rsid w:val="00570B93"/>
    <w:rsid w:val="00570C2E"/>
    <w:rsid w:val="00570C65"/>
    <w:rsid w:val="00570C6C"/>
    <w:rsid w:val="00570E3E"/>
    <w:rsid w:val="00571442"/>
    <w:rsid w:val="005715F6"/>
    <w:rsid w:val="005716C0"/>
    <w:rsid w:val="005718D1"/>
    <w:rsid w:val="00571D7A"/>
    <w:rsid w:val="005720CD"/>
    <w:rsid w:val="00572701"/>
    <w:rsid w:val="005727A9"/>
    <w:rsid w:val="00572F56"/>
    <w:rsid w:val="0057343F"/>
    <w:rsid w:val="0057349E"/>
    <w:rsid w:val="005735BE"/>
    <w:rsid w:val="005738F4"/>
    <w:rsid w:val="00574293"/>
    <w:rsid w:val="005746A8"/>
    <w:rsid w:val="0057484A"/>
    <w:rsid w:val="0057487E"/>
    <w:rsid w:val="005748EB"/>
    <w:rsid w:val="005748FC"/>
    <w:rsid w:val="00574B83"/>
    <w:rsid w:val="00574DDD"/>
    <w:rsid w:val="00574E04"/>
    <w:rsid w:val="00574E1F"/>
    <w:rsid w:val="0057503A"/>
    <w:rsid w:val="00575116"/>
    <w:rsid w:val="00575213"/>
    <w:rsid w:val="00575590"/>
    <w:rsid w:val="005756CE"/>
    <w:rsid w:val="00575E60"/>
    <w:rsid w:val="00575FD3"/>
    <w:rsid w:val="00575FDE"/>
    <w:rsid w:val="00575FE8"/>
    <w:rsid w:val="00576054"/>
    <w:rsid w:val="00576698"/>
    <w:rsid w:val="005766B5"/>
    <w:rsid w:val="005769AD"/>
    <w:rsid w:val="00576FDD"/>
    <w:rsid w:val="0057722F"/>
    <w:rsid w:val="00577333"/>
    <w:rsid w:val="005773BF"/>
    <w:rsid w:val="00577577"/>
    <w:rsid w:val="00577F66"/>
    <w:rsid w:val="00580F9B"/>
    <w:rsid w:val="0058149D"/>
    <w:rsid w:val="005815A6"/>
    <w:rsid w:val="00581841"/>
    <w:rsid w:val="00581A2D"/>
    <w:rsid w:val="00581C4C"/>
    <w:rsid w:val="0058210F"/>
    <w:rsid w:val="00582213"/>
    <w:rsid w:val="005822EF"/>
    <w:rsid w:val="0058286C"/>
    <w:rsid w:val="00582942"/>
    <w:rsid w:val="00582A55"/>
    <w:rsid w:val="00582C60"/>
    <w:rsid w:val="00582C66"/>
    <w:rsid w:val="005833C1"/>
    <w:rsid w:val="0058373C"/>
    <w:rsid w:val="005838C0"/>
    <w:rsid w:val="00583A80"/>
    <w:rsid w:val="00583B2B"/>
    <w:rsid w:val="00583DF2"/>
    <w:rsid w:val="00583E6B"/>
    <w:rsid w:val="00584060"/>
    <w:rsid w:val="0058434E"/>
    <w:rsid w:val="005846C3"/>
    <w:rsid w:val="0058476B"/>
    <w:rsid w:val="0058496C"/>
    <w:rsid w:val="00584A47"/>
    <w:rsid w:val="00584AD5"/>
    <w:rsid w:val="00584EAB"/>
    <w:rsid w:val="0058599F"/>
    <w:rsid w:val="00585BFA"/>
    <w:rsid w:val="00585C1A"/>
    <w:rsid w:val="005866A0"/>
    <w:rsid w:val="00586C70"/>
    <w:rsid w:val="00586E5D"/>
    <w:rsid w:val="005872F5"/>
    <w:rsid w:val="00587349"/>
    <w:rsid w:val="00587A76"/>
    <w:rsid w:val="00587E68"/>
    <w:rsid w:val="005901E9"/>
    <w:rsid w:val="005906BB"/>
    <w:rsid w:val="00590730"/>
    <w:rsid w:val="005908C4"/>
    <w:rsid w:val="00590960"/>
    <w:rsid w:val="00590B86"/>
    <w:rsid w:val="00590F28"/>
    <w:rsid w:val="0059125C"/>
    <w:rsid w:val="00591286"/>
    <w:rsid w:val="005913FE"/>
    <w:rsid w:val="005914BC"/>
    <w:rsid w:val="005915BA"/>
    <w:rsid w:val="00591A53"/>
    <w:rsid w:val="00591B98"/>
    <w:rsid w:val="00591BA8"/>
    <w:rsid w:val="00591C80"/>
    <w:rsid w:val="00591D76"/>
    <w:rsid w:val="005925C5"/>
    <w:rsid w:val="0059267A"/>
    <w:rsid w:val="00592702"/>
    <w:rsid w:val="00592763"/>
    <w:rsid w:val="00592A57"/>
    <w:rsid w:val="00592CFF"/>
    <w:rsid w:val="00593281"/>
    <w:rsid w:val="0059350B"/>
    <w:rsid w:val="0059353F"/>
    <w:rsid w:val="00593708"/>
    <w:rsid w:val="00593E3D"/>
    <w:rsid w:val="00594426"/>
    <w:rsid w:val="00594447"/>
    <w:rsid w:val="005944D0"/>
    <w:rsid w:val="00594780"/>
    <w:rsid w:val="00594C30"/>
    <w:rsid w:val="00594EA8"/>
    <w:rsid w:val="0059531D"/>
    <w:rsid w:val="00595437"/>
    <w:rsid w:val="0059554E"/>
    <w:rsid w:val="005957D7"/>
    <w:rsid w:val="005958A9"/>
    <w:rsid w:val="00595A8F"/>
    <w:rsid w:val="00595FA0"/>
    <w:rsid w:val="00596316"/>
    <w:rsid w:val="0059659A"/>
    <w:rsid w:val="00596684"/>
    <w:rsid w:val="005966A1"/>
    <w:rsid w:val="00596790"/>
    <w:rsid w:val="00596C2C"/>
    <w:rsid w:val="005970ED"/>
    <w:rsid w:val="00597232"/>
    <w:rsid w:val="005972C2"/>
    <w:rsid w:val="0059730E"/>
    <w:rsid w:val="00597859"/>
    <w:rsid w:val="00597E38"/>
    <w:rsid w:val="005A0081"/>
    <w:rsid w:val="005A02BA"/>
    <w:rsid w:val="005A08DE"/>
    <w:rsid w:val="005A0DCB"/>
    <w:rsid w:val="005A0F7B"/>
    <w:rsid w:val="005A1074"/>
    <w:rsid w:val="005A12FF"/>
    <w:rsid w:val="005A1429"/>
    <w:rsid w:val="005A1E9B"/>
    <w:rsid w:val="005A2155"/>
    <w:rsid w:val="005A2187"/>
    <w:rsid w:val="005A223E"/>
    <w:rsid w:val="005A234A"/>
    <w:rsid w:val="005A243E"/>
    <w:rsid w:val="005A2461"/>
    <w:rsid w:val="005A2597"/>
    <w:rsid w:val="005A264A"/>
    <w:rsid w:val="005A277A"/>
    <w:rsid w:val="005A2C73"/>
    <w:rsid w:val="005A2FF4"/>
    <w:rsid w:val="005A33CD"/>
    <w:rsid w:val="005A35B9"/>
    <w:rsid w:val="005A3650"/>
    <w:rsid w:val="005A3817"/>
    <w:rsid w:val="005A3B01"/>
    <w:rsid w:val="005A3B49"/>
    <w:rsid w:val="005A3F67"/>
    <w:rsid w:val="005A4357"/>
    <w:rsid w:val="005A43E6"/>
    <w:rsid w:val="005A45E2"/>
    <w:rsid w:val="005A46D1"/>
    <w:rsid w:val="005A46ED"/>
    <w:rsid w:val="005A4961"/>
    <w:rsid w:val="005A52DC"/>
    <w:rsid w:val="005A5592"/>
    <w:rsid w:val="005A55C4"/>
    <w:rsid w:val="005A5641"/>
    <w:rsid w:val="005A567F"/>
    <w:rsid w:val="005A5930"/>
    <w:rsid w:val="005A622B"/>
    <w:rsid w:val="005A6281"/>
    <w:rsid w:val="005A6819"/>
    <w:rsid w:val="005A6ADF"/>
    <w:rsid w:val="005A6B83"/>
    <w:rsid w:val="005A6D16"/>
    <w:rsid w:val="005A700C"/>
    <w:rsid w:val="005A7143"/>
    <w:rsid w:val="005A7655"/>
    <w:rsid w:val="005A7671"/>
    <w:rsid w:val="005A7769"/>
    <w:rsid w:val="005A7E23"/>
    <w:rsid w:val="005A7F41"/>
    <w:rsid w:val="005B00A1"/>
    <w:rsid w:val="005B058D"/>
    <w:rsid w:val="005B05BE"/>
    <w:rsid w:val="005B06A1"/>
    <w:rsid w:val="005B1307"/>
    <w:rsid w:val="005B1504"/>
    <w:rsid w:val="005B1509"/>
    <w:rsid w:val="005B159F"/>
    <w:rsid w:val="005B19D3"/>
    <w:rsid w:val="005B1ED4"/>
    <w:rsid w:val="005B2000"/>
    <w:rsid w:val="005B2222"/>
    <w:rsid w:val="005B2460"/>
    <w:rsid w:val="005B2573"/>
    <w:rsid w:val="005B27AA"/>
    <w:rsid w:val="005B27EF"/>
    <w:rsid w:val="005B28DD"/>
    <w:rsid w:val="005B2967"/>
    <w:rsid w:val="005B2A2B"/>
    <w:rsid w:val="005B2A63"/>
    <w:rsid w:val="005B2DCF"/>
    <w:rsid w:val="005B2EB5"/>
    <w:rsid w:val="005B2F34"/>
    <w:rsid w:val="005B3608"/>
    <w:rsid w:val="005B361E"/>
    <w:rsid w:val="005B3A10"/>
    <w:rsid w:val="005B3B88"/>
    <w:rsid w:val="005B3C05"/>
    <w:rsid w:val="005B40DE"/>
    <w:rsid w:val="005B41BF"/>
    <w:rsid w:val="005B4936"/>
    <w:rsid w:val="005B50B3"/>
    <w:rsid w:val="005B51DC"/>
    <w:rsid w:val="005B5302"/>
    <w:rsid w:val="005B5448"/>
    <w:rsid w:val="005B554B"/>
    <w:rsid w:val="005B5556"/>
    <w:rsid w:val="005B5566"/>
    <w:rsid w:val="005B5A9F"/>
    <w:rsid w:val="005B5F71"/>
    <w:rsid w:val="005B6505"/>
    <w:rsid w:val="005B693D"/>
    <w:rsid w:val="005B6A68"/>
    <w:rsid w:val="005B6A9B"/>
    <w:rsid w:val="005B6B6E"/>
    <w:rsid w:val="005B7013"/>
    <w:rsid w:val="005B7070"/>
    <w:rsid w:val="005B71DE"/>
    <w:rsid w:val="005B73A3"/>
    <w:rsid w:val="005B757A"/>
    <w:rsid w:val="005B75B5"/>
    <w:rsid w:val="005B7883"/>
    <w:rsid w:val="005B7B7E"/>
    <w:rsid w:val="005C01B2"/>
    <w:rsid w:val="005C05A1"/>
    <w:rsid w:val="005C0A64"/>
    <w:rsid w:val="005C0AA1"/>
    <w:rsid w:val="005C0BF6"/>
    <w:rsid w:val="005C0F3A"/>
    <w:rsid w:val="005C1856"/>
    <w:rsid w:val="005C1BC1"/>
    <w:rsid w:val="005C1BD2"/>
    <w:rsid w:val="005C1F19"/>
    <w:rsid w:val="005C212F"/>
    <w:rsid w:val="005C216B"/>
    <w:rsid w:val="005C21DB"/>
    <w:rsid w:val="005C231E"/>
    <w:rsid w:val="005C23D9"/>
    <w:rsid w:val="005C269A"/>
    <w:rsid w:val="005C2ABB"/>
    <w:rsid w:val="005C2E56"/>
    <w:rsid w:val="005C2F34"/>
    <w:rsid w:val="005C30AD"/>
    <w:rsid w:val="005C3192"/>
    <w:rsid w:val="005C32E0"/>
    <w:rsid w:val="005C363C"/>
    <w:rsid w:val="005C3AE2"/>
    <w:rsid w:val="005C401A"/>
    <w:rsid w:val="005C4068"/>
    <w:rsid w:val="005C42CB"/>
    <w:rsid w:val="005C44A8"/>
    <w:rsid w:val="005C486D"/>
    <w:rsid w:val="005C4980"/>
    <w:rsid w:val="005C4B50"/>
    <w:rsid w:val="005C4B96"/>
    <w:rsid w:val="005C4BC9"/>
    <w:rsid w:val="005C4EC5"/>
    <w:rsid w:val="005C5283"/>
    <w:rsid w:val="005C5314"/>
    <w:rsid w:val="005C5756"/>
    <w:rsid w:val="005C5938"/>
    <w:rsid w:val="005C59FF"/>
    <w:rsid w:val="005C5B29"/>
    <w:rsid w:val="005C6473"/>
    <w:rsid w:val="005C64AB"/>
    <w:rsid w:val="005C6C9C"/>
    <w:rsid w:val="005C6F2F"/>
    <w:rsid w:val="005C72DF"/>
    <w:rsid w:val="005C7688"/>
    <w:rsid w:val="005C7D0A"/>
    <w:rsid w:val="005D0511"/>
    <w:rsid w:val="005D056A"/>
    <w:rsid w:val="005D05E6"/>
    <w:rsid w:val="005D05FC"/>
    <w:rsid w:val="005D0D8D"/>
    <w:rsid w:val="005D0F9F"/>
    <w:rsid w:val="005D104A"/>
    <w:rsid w:val="005D11AA"/>
    <w:rsid w:val="005D13DC"/>
    <w:rsid w:val="005D16E2"/>
    <w:rsid w:val="005D17AF"/>
    <w:rsid w:val="005D1A4E"/>
    <w:rsid w:val="005D1F49"/>
    <w:rsid w:val="005D2116"/>
    <w:rsid w:val="005D21FF"/>
    <w:rsid w:val="005D250E"/>
    <w:rsid w:val="005D279A"/>
    <w:rsid w:val="005D289D"/>
    <w:rsid w:val="005D2932"/>
    <w:rsid w:val="005D2941"/>
    <w:rsid w:val="005D2B77"/>
    <w:rsid w:val="005D31D3"/>
    <w:rsid w:val="005D3204"/>
    <w:rsid w:val="005D3320"/>
    <w:rsid w:val="005D33B6"/>
    <w:rsid w:val="005D396E"/>
    <w:rsid w:val="005D3B04"/>
    <w:rsid w:val="005D3B14"/>
    <w:rsid w:val="005D3CB6"/>
    <w:rsid w:val="005D4290"/>
    <w:rsid w:val="005D460A"/>
    <w:rsid w:val="005D4904"/>
    <w:rsid w:val="005D495B"/>
    <w:rsid w:val="005D4A29"/>
    <w:rsid w:val="005D4A45"/>
    <w:rsid w:val="005D4A7D"/>
    <w:rsid w:val="005D4BC9"/>
    <w:rsid w:val="005D4D33"/>
    <w:rsid w:val="005D4E38"/>
    <w:rsid w:val="005D4EF5"/>
    <w:rsid w:val="005D4F25"/>
    <w:rsid w:val="005D53EA"/>
    <w:rsid w:val="005D56AC"/>
    <w:rsid w:val="005D58F0"/>
    <w:rsid w:val="005D5C42"/>
    <w:rsid w:val="005D5F51"/>
    <w:rsid w:val="005D5FBB"/>
    <w:rsid w:val="005D6054"/>
    <w:rsid w:val="005D640D"/>
    <w:rsid w:val="005D6425"/>
    <w:rsid w:val="005D65D3"/>
    <w:rsid w:val="005D6801"/>
    <w:rsid w:val="005D6D1F"/>
    <w:rsid w:val="005D6EC2"/>
    <w:rsid w:val="005D7069"/>
    <w:rsid w:val="005D70A3"/>
    <w:rsid w:val="005D7322"/>
    <w:rsid w:val="005D76EA"/>
    <w:rsid w:val="005D7ADE"/>
    <w:rsid w:val="005D7B0D"/>
    <w:rsid w:val="005D7B43"/>
    <w:rsid w:val="005D7D25"/>
    <w:rsid w:val="005D7DF4"/>
    <w:rsid w:val="005E0008"/>
    <w:rsid w:val="005E00A3"/>
    <w:rsid w:val="005E023C"/>
    <w:rsid w:val="005E052F"/>
    <w:rsid w:val="005E059E"/>
    <w:rsid w:val="005E0612"/>
    <w:rsid w:val="005E099E"/>
    <w:rsid w:val="005E09AA"/>
    <w:rsid w:val="005E109C"/>
    <w:rsid w:val="005E123A"/>
    <w:rsid w:val="005E12B9"/>
    <w:rsid w:val="005E1770"/>
    <w:rsid w:val="005E17E0"/>
    <w:rsid w:val="005E192B"/>
    <w:rsid w:val="005E1B29"/>
    <w:rsid w:val="005E2118"/>
    <w:rsid w:val="005E21A3"/>
    <w:rsid w:val="005E28C0"/>
    <w:rsid w:val="005E291B"/>
    <w:rsid w:val="005E294E"/>
    <w:rsid w:val="005E2B74"/>
    <w:rsid w:val="005E2C3D"/>
    <w:rsid w:val="005E2D76"/>
    <w:rsid w:val="005E315E"/>
    <w:rsid w:val="005E34E3"/>
    <w:rsid w:val="005E36EC"/>
    <w:rsid w:val="005E3DD2"/>
    <w:rsid w:val="005E4185"/>
    <w:rsid w:val="005E4223"/>
    <w:rsid w:val="005E4409"/>
    <w:rsid w:val="005E4B4F"/>
    <w:rsid w:val="005E4BA0"/>
    <w:rsid w:val="005E52C3"/>
    <w:rsid w:val="005E5494"/>
    <w:rsid w:val="005E5931"/>
    <w:rsid w:val="005E5B35"/>
    <w:rsid w:val="005E5B39"/>
    <w:rsid w:val="005E5B70"/>
    <w:rsid w:val="005E5E4C"/>
    <w:rsid w:val="005E5EB0"/>
    <w:rsid w:val="005E6217"/>
    <w:rsid w:val="005E65A3"/>
    <w:rsid w:val="005E65B1"/>
    <w:rsid w:val="005E6642"/>
    <w:rsid w:val="005E666A"/>
    <w:rsid w:val="005E66B1"/>
    <w:rsid w:val="005E6706"/>
    <w:rsid w:val="005E6AF5"/>
    <w:rsid w:val="005E6EC7"/>
    <w:rsid w:val="005E7387"/>
    <w:rsid w:val="005E73C3"/>
    <w:rsid w:val="005E79BF"/>
    <w:rsid w:val="005E7ADB"/>
    <w:rsid w:val="005E7DA4"/>
    <w:rsid w:val="005F0014"/>
    <w:rsid w:val="005F00B9"/>
    <w:rsid w:val="005F01AC"/>
    <w:rsid w:val="005F0693"/>
    <w:rsid w:val="005F0F66"/>
    <w:rsid w:val="005F107F"/>
    <w:rsid w:val="005F1472"/>
    <w:rsid w:val="005F1523"/>
    <w:rsid w:val="005F18C2"/>
    <w:rsid w:val="005F18FC"/>
    <w:rsid w:val="005F1909"/>
    <w:rsid w:val="005F1B5F"/>
    <w:rsid w:val="005F1DB8"/>
    <w:rsid w:val="005F207C"/>
    <w:rsid w:val="005F209F"/>
    <w:rsid w:val="005F20F1"/>
    <w:rsid w:val="005F257C"/>
    <w:rsid w:val="005F28E7"/>
    <w:rsid w:val="005F290D"/>
    <w:rsid w:val="005F2D6A"/>
    <w:rsid w:val="005F2DA2"/>
    <w:rsid w:val="005F3159"/>
    <w:rsid w:val="005F3580"/>
    <w:rsid w:val="005F3969"/>
    <w:rsid w:val="005F3BBD"/>
    <w:rsid w:val="005F3C62"/>
    <w:rsid w:val="005F3D9D"/>
    <w:rsid w:val="005F406C"/>
    <w:rsid w:val="005F41E1"/>
    <w:rsid w:val="005F4465"/>
    <w:rsid w:val="005F450D"/>
    <w:rsid w:val="005F47A7"/>
    <w:rsid w:val="005F4878"/>
    <w:rsid w:val="005F49A0"/>
    <w:rsid w:val="005F4D49"/>
    <w:rsid w:val="005F55DF"/>
    <w:rsid w:val="005F572F"/>
    <w:rsid w:val="005F5FA9"/>
    <w:rsid w:val="005F6216"/>
    <w:rsid w:val="005F6389"/>
    <w:rsid w:val="005F6481"/>
    <w:rsid w:val="005F65F4"/>
    <w:rsid w:val="005F6DB1"/>
    <w:rsid w:val="005F720D"/>
    <w:rsid w:val="005F725E"/>
    <w:rsid w:val="005F73C6"/>
    <w:rsid w:val="005F7971"/>
    <w:rsid w:val="005F7A68"/>
    <w:rsid w:val="005F7D5B"/>
    <w:rsid w:val="006001C2"/>
    <w:rsid w:val="00600305"/>
    <w:rsid w:val="00600428"/>
    <w:rsid w:val="00600984"/>
    <w:rsid w:val="00600CE7"/>
    <w:rsid w:val="00601004"/>
    <w:rsid w:val="00601204"/>
    <w:rsid w:val="0060146C"/>
    <w:rsid w:val="00601838"/>
    <w:rsid w:val="006018CA"/>
    <w:rsid w:val="006019E5"/>
    <w:rsid w:val="00601ABE"/>
    <w:rsid w:val="00601BCE"/>
    <w:rsid w:val="00601C69"/>
    <w:rsid w:val="00601DB0"/>
    <w:rsid w:val="006020F7"/>
    <w:rsid w:val="006021FB"/>
    <w:rsid w:val="00602312"/>
    <w:rsid w:val="00602340"/>
    <w:rsid w:val="00602F45"/>
    <w:rsid w:val="00603454"/>
    <w:rsid w:val="0060356B"/>
    <w:rsid w:val="006035BA"/>
    <w:rsid w:val="00603925"/>
    <w:rsid w:val="00603BAB"/>
    <w:rsid w:val="00603BCA"/>
    <w:rsid w:val="00603D04"/>
    <w:rsid w:val="0060442D"/>
    <w:rsid w:val="006045C0"/>
    <w:rsid w:val="00604651"/>
    <w:rsid w:val="006047A0"/>
    <w:rsid w:val="006047E3"/>
    <w:rsid w:val="00604A66"/>
    <w:rsid w:val="00605437"/>
    <w:rsid w:val="00605600"/>
    <w:rsid w:val="00605B2D"/>
    <w:rsid w:val="00605C60"/>
    <w:rsid w:val="006060B2"/>
    <w:rsid w:val="00606244"/>
    <w:rsid w:val="00606B59"/>
    <w:rsid w:val="00606DE6"/>
    <w:rsid w:val="00606E87"/>
    <w:rsid w:val="00606F97"/>
    <w:rsid w:val="006072F6"/>
    <w:rsid w:val="00607627"/>
    <w:rsid w:val="0060770D"/>
    <w:rsid w:val="006077F9"/>
    <w:rsid w:val="006079D9"/>
    <w:rsid w:val="00607A75"/>
    <w:rsid w:val="00607C55"/>
    <w:rsid w:val="00607C98"/>
    <w:rsid w:val="006101CB"/>
    <w:rsid w:val="00610221"/>
    <w:rsid w:val="00610236"/>
    <w:rsid w:val="0061032F"/>
    <w:rsid w:val="0061035F"/>
    <w:rsid w:val="006103A0"/>
    <w:rsid w:val="006104CD"/>
    <w:rsid w:val="0061054F"/>
    <w:rsid w:val="006107EA"/>
    <w:rsid w:val="0061097B"/>
    <w:rsid w:val="0061099D"/>
    <w:rsid w:val="00610DBC"/>
    <w:rsid w:val="006111C8"/>
    <w:rsid w:val="0061135B"/>
    <w:rsid w:val="00611881"/>
    <w:rsid w:val="00611A54"/>
    <w:rsid w:val="00611CC3"/>
    <w:rsid w:val="00611E78"/>
    <w:rsid w:val="0061293E"/>
    <w:rsid w:val="00612A10"/>
    <w:rsid w:val="00612BE4"/>
    <w:rsid w:val="00612BEF"/>
    <w:rsid w:val="00612ED1"/>
    <w:rsid w:val="00612F73"/>
    <w:rsid w:val="006132C3"/>
    <w:rsid w:val="006137B6"/>
    <w:rsid w:val="006138B6"/>
    <w:rsid w:val="00613A7C"/>
    <w:rsid w:val="00613B2B"/>
    <w:rsid w:val="006140C6"/>
    <w:rsid w:val="00614406"/>
    <w:rsid w:val="006148A7"/>
    <w:rsid w:val="006149B2"/>
    <w:rsid w:val="00614AE2"/>
    <w:rsid w:val="00614C35"/>
    <w:rsid w:val="00614ED2"/>
    <w:rsid w:val="00615054"/>
    <w:rsid w:val="00615577"/>
    <w:rsid w:val="006160DC"/>
    <w:rsid w:val="006163A8"/>
    <w:rsid w:val="00616962"/>
    <w:rsid w:val="00616C60"/>
    <w:rsid w:val="00616FC1"/>
    <w:rsid w:val="0061708F"/>
    <w:rsid w:val="0061713F"/>
    <w:rsid w:val="00617245"/>
    <w:rsid w:val="006173AE"/>
    <w:rsid w:val="00617461"/>
    <w:rsid w:val="0061766A"/>
    <w:rsid w:val="00617738"/>
    <w:rsid w:val="00617B02"/>
    <w:rsid w:val="00617B20"/>
    <w:rsid w:val="00617B56"/>
    <w:rsid w:val="006200EE"/>
    <w:rsid w:val="006203A4"/>
    <w:rsid w:val="00620821"/>
    <w:rsid w:val="00620F29"/>
    <w:rsid w:val="0062134A"/>
    <w:rsid w:val="006216EE"/>
    <w:rsid w:val="00621823"/>
    <w:rsid w:val="006218F5"/>
    <w:rsid w:val="00621B20"/>
    <w:rsid w:val="00621CDC"/>
    <w:rsid w:val="00621D38"/>
    <w:rsid w:val="00621F83"/>
    <w:rsid w:val="006220B8"/>
    <w:rsid w:val="006222C9"/>
    <w:rsid w:val="0062296D"/>
    <w:rsid w:val="00622CAC"/>
    <w:rsid w:val="00622EC6"/>
    <w:rsid w:val="00622ED9"/>
    <w:rsid w:val="00622F80"/>
    <w:rsid w:val="00623014"/>
    <w:rsid w:val="00623044"/>
    <w:rsid w:val="00623084"/>
    <w:rsid w:val="0062312D"/>
    <w:rsid w:val="006231FA"/>
    <w:rsid w:val="0062350F"/>
    <w:rsid w:val="006236C2"/>
    <w:rsid w:val="0062370C"/>
    <w:rsid w:val="006239DC"/>
    <w:rsid w:val="00624298"/>
    <w:rsid w:val="00624376"/>
    <w:rsid w:val="0062441B"/>
    <w:rsid w:val="00624B54"/>
    <w:rsid w:val="00625A7F"/>
    <w:rsid w:val="00625E82"/>
    <w:rsid w:val="00626051"/>
    <w:rsid w:val="0062635A"/>
    <w:rsid w:val="00626514"/>
    <w:rsid w:val="006265D7"/>
    <w:rsid w:val="00626877"/>
    <w:rsid w:val="00626E44"/>
    <w:rsid w:val="00627205"/>
    <w:rsid w:val="00627484"/>
    <w:rsid w:val="006278C0"/>
    <w:rsid w:val="00627B25"/>
    <w:rsid w:val="00630075"/>
    <w:rsid w:val="006302B9"/>
    <w:rsid w:val="006309ED"/>
    <w:rsid w:val="00630B31"/>
    <w:rsid w:val="0063115F"/>
    <w:rsid w:val="006315EF"/>
    <w:rsid w:val="00631A7D"/>
    <w:rsid w:val="00631CE8"/>
    <w:rsid w:val="00631F01"/>
    <w:rsid w:val="00631F3A"/>
    <w:rsid w:val="006322A6"/>
    <w:rsid w:val="006322FC"/>
    <w:rsid w:val="0063244E"/>
    <w:rsid w:val="00632459"/>
    <w:rsid w:val="00632537"/>
    <w:rsid w:val="00632568"/>
    <w:rsid w:val="006329D7"/>
    <w:rsid w:val="00633072"/>
    <w:rsid w:val="00633387"/>
    <w:rsid w:val="00633692"/>
    <w:rsid w:val="00633772"/>
    <w:rsid w:val="00633986"/>
    <w:rsid w:val="006342C3"/>
    <w:rsid w:val="006343F8"/>
    <w:rsid w:val="006346C8"/>
    <w:rsid w:val="00634E1E"/>
    <w:rsid w:val="00634F60"/>
    <w:rsid w:val="00635340"/>
    <w:rsid w:val="006353A2"/>
    <w:rsid w:val="0063542C"/>
    <w:rsid w:val="00635601"/>
    <w:rsid w:val="0063620D"/>
    <w:rsid w:val="00636321"/>
    <w:rsid w:val="00636977"/>
    <w:rsid w:val="00636CA9"/>
    <w:rsid w:val="0063730B"/>
    <w:rsid w:val="00637386"/>
    <w:rsid w:val="006374D8"/>
    <w:rsid w:val="006374E5"/>
    <w:rsid w:val="0063751A"/>
    <w:rsid w:val="00637708"/>
    <w:rsid w:val="006378B7"/>
    <w:rsid w:val="00637926"/>
    <w:rsid w:val="00637A45"/>
    <w:rsid w:val="00637F2B"/>
    <w:rsid w:val="006401F8"/>
    <w:rsid w:val="00640902"/>
    <w:rsid w:val="00640A6F"/>
    <w:rsid w:val="00640C63"/>
    <w:rsid w:val="00640E41"/>
    <w:rsid w:val="00640EB1"/>
    <w:rsid w:val="00640F00"/>
    <w:rsid w:val="00640F03"/>
    <w:rsid w:val="00640F8F"/>
    <w:rsid w:val="00640FA0"/>
    <w:rsid w:val="006414B5"/>
    <w:rsid w:val="00641D68"/>
    <w:rsid w:val="00641E3A"/>
    <w:rsid w:val="0064256F"/>
    <w:rsid w:val="006425D1"/>
    <w:rsid w:val="0064295D"/>
    <w:rsid w:val="00642A42"/>
    <w:rsid w:val="006431B0"/>
    <w:rsid w:val="0064393C"/>
    <w:rsid w:val="006443CC"/>
    <w:rsid w:val="00644C07"/>
    <w:rsid w:val="00644C26"/>
    <w:rsid w:val="00644D00"/>
    <w:rsid w:val="00644D47"/>
    <w:rsid w:val="00645007"/>
    <w:rsid w:val="006451AC"/>
    <w:rsid w:val="006452D7"/>
    <w:rsid w:val="006454B1"/>
    <w:rsid w:val="0064576A"/>
    <w:rsid w:val="00645A07"/>
    <w:rsid w:val="00645A76"/>
    <w:rsid w:val="00645AB9"/>
    <w:rsid w:val="00645B76"/>
    <w:rsid w:val="00645F63"/>
    <w:rsid w:val="006464CB"/>
    <w:rsid w:val="0064674A"/>
    <w:rsid w:val="00646A1F"/>
    <w:rsid w:val="006470A2"/>
    <w:rsid w:val="006471BD"/>
    <w:rsid w:val="0064792E"/>
    <w:rsid w:val="00647983"/>
    <w:rsid w:val="00647C07"/>
    <w:rsid w:val="00647E53"/>
    <w:rsid w:val="00647E9E"/>
    <w:rsid w:val="00650304"/>
    <w:rsid w:val="006503D5"/>
    <w:rsid w:val="00650A1A"/>
    <w:rsid w:val="00650AA0"/>
    <w:rsid w:val="00650AE6"/>
    <w:rsid w:val="00650C44"/>
    <w:rsid w:val="00650E51"/>
    <w:rsid w:val="00650F57"/>
    <w:rsid w:val="00650F5B"/>
    <w:rsid w:val="00650FA3"/>
    <w:rsid w:val="006510B2"/>
    <w:rsid w:val="006524FB"/>
    <w:rsid w:val="00652662"/>
    <w:rsid w:val="00652AFB"/>
    <w:rsid w:val="00652D3B"/>
    <w:rsid w:val="006533F7"/>
    <w:rsid w:val="006534C6"/>
    <w:rsid w:val="006537F9"/>
    <w:rsid w:val="00653930"/>
    <w:rsid w:val="00653AFC"/>
    <w:rsid w:val="00653B8B"/>
    <w:rsid w:val="00653D86"/>
    <w:rsid w:val="00653F19"/>
    <w:rsid w:val="006540D4"/>
    <w:rsid w:val="006544F3"/>
    <w:rsid w:val="0065451D"/>
    <w:rsid w:val="00654566"/>
    <w:rsid w:val="006548F0"/>
    <w:rsid w:val="006549D0"/>
    <w:rsid w:val="00654D32"/>
    <w:rsid w:val="00654FDF"/>
    <w:rsid w:val="00655B5D"/>
    <w:rsid w:val="00655F5F"/>
    <w:rsid w:val="006561F4"/>
    <w:rsid w:val="006563F0"/>
    <w:rsid w:val="0065669C"/>
    <w:rsid w:val="00656793"/>
    <w:rsid w:val="00656900"/>
    <w:rsid w:val="00656A7A"/>
    <w:rsid w:val="00656C74"/>
    <w:rsid w:val="006570C2"/>
    <w:rsid w:val="006578C0"/>
    <w:rsid w:val="00657D5B"/>
    <w:rsid w:val="00657E13"/>
    <w:rsid w:val="00657EDA"/>
    <w:rsid w:val="006600E9"/>
    <w:rsid w:val="006604BB"/>
    <w:rsid w:val="00660555"/>
    <w:rsid w:val="00660902"/>
    <w:rsid w:val="00660BA1"/>
    <w:rsid w:val="00660BD2"/>
    <w:rsid w:val="0066190E"/>
    <w:rsid w:val="00661BC7"/>
    <w:rsid w:val="00661F21"/>
    <w:rsid w:val="006621F9"/>
    <w:rsid w:val="006623C7"/>
    <w:rsid w:val="00662D01"/>
    <w:rsid w:val="00662DB1"/>
    <w:rsid w:val="00662EE6"/>
    <w:rsid w:val="00663253"/>
    <w:rsid w:val="00663309"/>
    <w:rsid w:val="00663940"/>
    <w:rsid w:val="00664263"/>
    <w:rsid w:val="006645C3"/>
    <w:rsid w:val="006649BE"/>
    <w:rsid w:val="00664EFC"/>
    <w:rsid w:val="00664F30"/>
    <w:rsid w:val="00665026"/>
    <w:rsid w:val="0066552F"/>
    <w:rsid w:val="006658C7"/>
    <w:rsid w:val="00665A82"/>
    <w:rsid w:val="00665AB8"/>
    <w:rsid w:val="006662FF"/>
    <w:rsid w:val="0066695C"/>
    <w:rsid w:val="006669FB"/>
    <w:rsid w:val="00666CBB"/>
    <w:rsid w:val="00667090"/>
    <w:rsid w:val="00667AAF"/>
    <w:rsid w:val="00667BC7"/>
    <w:rsid w:val="00667BEF"/>
    <w:rsid w:val="00667F1F"/>
    <w:rsid w:val="006701B1"/>
    <w:rsid w:val="006702E9"/>
    <w:rsid w:val="00670330"/>
    <w:rsid w:val="00670571"/>
    <w:rsid w:val="00670617"/>
    <w:rsid w:val="00670797"/>
    <w:rsid w:val="006707CD"/>
    <w:rsid w:val="006708F4"/>
    <w:rsid w:val="00670A04"/>
    <w:rsid w:val="00670A2A"/>
    <w:rsid w:val="00671203"/>
    <w:rsid w:val="00671360"/>
    <w:rsid w:val="006716E8"/>
    <w:rsid w:val="006718E0"/>
    <w:rsid w:val="00671BCD"/>
    <w:rsid w:val="00671C1B"/>
    <w:rsid w:val="00671C68"/>
    <w:rsid w:val="00671DBC"/>
    <w:rsid w:val="00671E2F"/>
    <w:rsid w:val="00671F73"/>
    <w:rsid w:val="00671FE3"/>
    <w:rsid w:val="0067203B"/>
    <w:rsid w:val="00672139"/>
    <w:rsid w:val="0067233F"/>
    <w:rsid w:val="006727D0"/>
    <w:rsid w:val="00672993"/>
    <w:rsid w:val="00672A00"/>
    <w:rsid w:val="00672B5F"/>
    <w:rsid w:val="00672EC4"/>
    <w:rsid w:val="0067332A"/>
    <w:rsid w:val="00673556"/>
    <w:rsid w:val="00673721"/>
    <w:rsid w:val="00673739"/>
    <w:rsid w:val="006737F8"/>
    <w:rsid w:val="00673DC6"/>
    <w:rsid w:val="00673F4B"/>
    <w:rsid w:val="006740A1"/>
    <w:rsid w:val="006741E0"/>
    <w:rsid w:val="006743EE"/>
    <w:rsid w:val="00674475"/>
    <w:rsid w:val="00674773"/>
    <w:rsid w:val="00674917"/>
    <w:rsid w:val="00674986"/>
    <w:rsid w:val="00674A66"/>
    <w:rsid w:val="00674BD0"/>
    <w:rsid w:val="00674C1D"/>
    <w:rsid w:val="00674DCA"/>
    <w:rsid w:val="00674F09"/>
    <w:rsid w:val="00675D00"/>
    <w:rsid w:val="00675D9B"/>
    <w:rsid w:val="00676021"/>
    <w:rsid w:val="0067602F"/>
    <w:rsid w:val="006760B7"/>
    <w:rsid w:val="006761C2"/>
    <w:rsid w:val="0067631A"/>
    <w:rsid w:val="006764F5"/>
    <w:rsid w:val="006765C6"/>
    <w:rsid w:val="006767E4"/>
    <w:rsid w:val="00676852"/>
    <w:rsid w:val="00676B7B"/>
    <w:rsid w:val="00676BCC"/>
    <w:rsid w:val="00677095"/>
    <w:rsid w:val="00677122"/>
    <w:rsid w:val="0067757E"/>
    <w:rsid w:val="00677609"/>
    <w:rsid w:val="00677677"/>
    <w:rsid w:val="00677F2B"/>
    <w:rsid w:val="00680037"/>
    <w:rsid w:val="006805D7"/>
    <w:rsid w:val="006807B1"/>
    <w:rsid w:val="006807CD"/>
    <w:rsid w:val="00680946"/>
    <w:rsid w:val="00680973"/>
    <w:rsid w:val="00680B62"/>
    <w:rsid w:val="00680BC8"/>
    <w:rsid w:val="00680E2E"/>
    <w:rsid w:val="00680F3C"/>
    <w:rsid w:val="006812DA"/>
    <w:rsid w:val="00681822"/>
    <w:rsid w:val="00681B98"/>
    <w:rsid w:val="00681C6C"/>
    <w:rsid w:val="00681CD6"/>
    <w:rsid w:val="00681EF2"/>
    <w:rsid w:val="00682107"/>
    <w:rsid w:val="00682593"/>
    <w:rsid w:val="0068259F"/>
    <w:rsid w:val="0068269E"/>
    <w:rsid w:val="006827F2"/>
    <w:rsid w:val="00682872"/>
    <w:rsid w:val="00682BE4"/>
    <w:rsid w:val="00682F6F"/>
    <w:rsid w:val="00682F9F"/>
    <w:rsid w:val="006833D7"/>
    <w:rsid w:val="00683584"/>
    <w:rsid w:val="006835DD"/>
    <w:rsid w:val="006837C4"/>
    <w:rsid w:val="00683839"/>
    <w:rsid w:val="0068427E"/>
    <w:rsid w:val="006844FC"/>
    <w:rsid w:val="00684D1B"/>
    <w:rsid w:val="00684E9A"/>
    <w:rsid w:val="006850C3"/>
    <w:rsid w:val="00685501"/>
    <w:rsid w:val="0068582C"/>
    <w:rsid w:val="00685B7F"/>
    <w:rsid w:val="00685EEA"/>
    <w:rsid w:val="00685F50"/>
    <w:rsid w:val="00686389"/>
    <w:rsid w:val="006869E5"/>
    <w:rsid w:val="00686B82"/>
    <w:rsid w:val="00686D12"/>
    <w:rsid w:val="00686F3B"/>
    <w:rsid w:val="00687130"/>
    <w:rsid w:val="00687309"/>
    <w:rsid w:val="00687686"/>
    <w:rsid w:val="00687A45"/>
    <w:rsid w:val="00687C91"/>
    <w:rsid w:val="00687D9E"/>
    <w:rsid w:val="00687F20"/>
    <w:rsid w:val="00690082"/>
    <w:rsid w:val="00690186"/>
    <w:rsid w:val="006906DC"/>
    <w:rsid w:val="00690C7B"/>
    <w:rsid w:val="006910D5"/>
    <w:rsid w:val="006913FE"/>
    <w:rsid w:val="00691498"/>
    <w:rsid w:val="006916B1"/>
    <w:rsid w:val="00691E03"/>
    <w:rsid w:val="00691EA3"/>
    <w:rsid w:val="006921B5"/>
    <w:rsid w:val="00692777"/>
    <w:rsid w:val="0069293B"/>
    <w:rsid w:val="00692960"/>
    <w:rsid w:val="006932A9"/>
    <w:rsid w:val="006934D3"/>
    <w:rsid w:val="00693B3E"/>
    <w:rsid w:val="00694039"/>
    <w:rsid w:val="0069445A"/>
    <w:rsid w:val="0069454A"/>
    <w:rsid w:val="006949A9"/>
    <w:rsid w:val="006949FB"/>
    <w:rsid w:val="00694AE1"/>
    <w:rsid w:val="00694DCF"/>
    <w:rsid w:val="00694E41"/>
    <w:rsid w:val="00694ECB"/>
    <w:rsid w:val="0069506B"/>
    <w:rsid w:val="00695203"/>
    <w:rsid w:val="00695496"/>
    <w:rsid w:val="006956B9"/>
    <w:rsid w:val="006958E7"/>
    <w:rsid w:val="00695A2E"/>
    <w:rsid w:val="00695B5E"/>
    <w:rsid w:val="00695D13"/>
    <w:rsid w:val="00695DC4"/>
    <w:rsid w:val="00695FBC"/>
    <w:rsid w:val="0069646E"/>
    <w:rsid w:val="00696650"/>
    <w:rsid w:val="00696711"/>
    <w:rsid w:val="006967ED"/>
    <w:rsid w:val="00696846"/>
    <w:rsid w:val="00696916"/>
    <w:rsid w:val="00697068"/>
    <w:rsid w:val="00697326"/>
    <w:rsid w:val="00697398"/>
    <w:rsid w:val="006974AB"/>
    <w:rsid w:val="006978A3"/>
    <w:rsid w:val="00697C65"/>
    <w:rsid w:val="006A02EE"/>
    <w:rsid w:val="006A0658"/>
    <w:rsid w:val="006A0698"/>
    <w:rsid w:val="006A0764"/>
    <w:rsid w:val="006A078D"/>
    <w:rsid w:val="006A0B30"/>
    <w:rsid w:val="006A10AB"/>
    <w:rsid w:val="006A10FA"/>
    <w:rsid w:val="006A14E6"/>
    <w:rsid w:val="006A16A8"/>
    <w:rsid w:val="006A1754"/>
    <w:rsid w:val="006A1792"/>
    <w:rsid w:val="006A18E9"/>
    <w:rsid w:val="006A1A3E"/>
    <w:rsid w:val="006A1BD1"/>
    <w:rsid w:val="006A1C6F"/>
    <w:rsid w:val="006A1DAD"/>
    <w:rsid w:val="006A1EA9"/>
    <w:rsid w:val="006A212E"/>
    <w:rsid w:val="006A220A"/>
    <w:rsid w:val="006A2285"/>
    <w:rsid w:val="006A2304"/>
    <w:rsid w:val="006A2814"/>
    <w:rsid w:val="006A282A"/>
    <w:rsid w:val="006A29D8"/>
    <w:rsid w:val="006A29FD"/>
    <w:rsid w:val="006A2CC2"/>
    <w:rsid w:val="006A2CE9"/>
    <w:rsid w:val="006A2F88"/>
    <w:rsid w:val="006A3880"/>
    <w:rsid w:val="006A394F"/>
    <w:rsid w:val="006A3979"/>
    <w:rsid w:val="006A3A1F"/>
    <w:rsid w:val="006A42E2"/>
    <w:rsid w:val="006A4337"/>
    <w:rsid w:val="006A4512"/>
    <w:rsid w:val="006A46E0"/>
    <w:rsid w:val="006A4A1F"/>
    <w:rsid w:val="006A4D51"/>
    <w:rsid w:val="006A4FF9"/>
    <w:rsid w:val="006A50FD"/>
    <w:rsid w:val="006A5201"/>
    <w:rsid w:val="006A521F"/>
    <w:rsid w:val="006A52AF"/>
    <w:rsid w:val="006A559D"/>
    <w:rsid w:val="006A5701"/>
    <w:rsid w:val="006A5ADE"/>
    <w:rsid w:val="006A5EA5"/>
    <w:rsid w:val="006A5EB3"/>
    <w:rsid w:val="006A60A9"/>
    <w:rsid w:val="006A641E"/>
    <w:rsid w:val="006A6706"/>
    <w:rsid w:val="006A6D89"/>
    <w:rsid w:val="006A6E30"/>
    <w:rsid w:val="006A70A6"/>
    <w:rsid w:val="006A747A"/>
    <w:rsid w:val="006A762E"/>
    <w:rsid w:val="006B024A"/>
    <w:rsid w:val="006B051A"/>
    <w:rsid w:val="006B09FD"/>
    <w:rsid w:val="006B0C6F"/>
    <w:rsid w:val="006B0F2A"/>
    <w:rsid w:val="006B11FB"/>
    <w:rsid w:val="006B13D3"/>
    <w:rsid w:val="006B174F"/>
    <w:rsid w:val="006B20EF"/>
    <w:rsid w:val="006B2243"/>
    <w:rsid w:val="006B2295"/>
    <w:rsid w:val="006B2411"/>
    <w:rsid w:val="006B269A"/>
    <w:rsid w:val="006B2945"/>
    <w:rsid w:val="006B30A0"/>
    <w:rsid w:val="006B335C"/>
    <w:rsid w:val="006B3C18"/>
    <w:rsid w:val="006B42C4"/>
    <w:rsid w:val="006B4CD7"/>
    <w:rsid w:val="006B4F75"/>
    <w:rsid w:val="006B4FEE"/>
    <w:rsid w:val="006B5041"/>
    <w:rsid w:val="006B5337"/>
    <w:rsid w:val="006B53DA"/>
    <w:rsid w:val="006B5716"/>
    <w:rsid w:val="006B5C89"/>
    <w:rsid w:val="006B5E27"/>
    <w:rsid w:val="006B6271"/>
    <w:rsid w:val="006B64FD"/>
    <w:rsid w:val="006B6548"/>
    <w:rsid w:val="006B6863"/>
    <w:rsid w:val="006B68A4"/>
    <w:rsid w:val="006B6F56"/>
    <w:rsid w:val="006B706C"/>
    <w:rsid w:val="006B7AB8"/>
    <w:rsid w:val="006B7D2B"/>
    <w:rsid w:val="006C015D"/>
    <w:rsid w:val="006C05ED"/>
    <w:rsid w:val="006C0685"/>
    <w:rsid w:val="006C070D"/>
    <w:rsid w:val="006C0945"/>
    <w:rsid w:val="006C0ACB"/>
    <w:rsid w:val="006C0B8B"/>
    <w:rsid w:val="006C0BCC"/>
    <w:rsid w:val="006C1422"/>
    <w:rsid w:val="006C165F"/>
    <w:rsid w:val="006C1708"/>
    <w:rsid w:val="006C172E"/>
    <w:rsid w:val="006C2201"/>
    <w:rsid w:val="006C240C"/>
    <w:rsid w:val="006C26B3"/>
    <w:rsid w:val="006C2AA8"/>
    <w:rsid w:val="006C2B93"/>
    <w:rsid w:val="006C2D97"/>
    <w:rsid w:val="006C2F82"/>
    <w:rsid w:val="006C2FB8"/>
    <w:rsid w:val="006C2FEA"/>
    <w:rsid w:val="006C3645"/>
    <w:rsid w:val="006C3A37"/>
    <w:rsid w:val="006C3C0B"/>
    <w:rsid w:val="006C3DC1"/>
    <w:rsid w:val="006C3E45"/>
    <w:rsid w:val="006C3F03"/>
    <w:rsid w:val="006C4499"/>
    <w:rsid w:val="006C4821"/>
    <w:rsid w:val="006C4DB7"/>
    <w:rsid w:val="006C4E4E"/>
    <w:rsid w:val="006C4FB8"/>
    <w:rsid w:val="006C50B0"/>
    <w:rsid w:val="006C52B3"/>
    <w:rsid w:val="006C57FC"/>
    <w:rsid w:val="006C5914"/>
    <w:rsid w:val="006C5929"/>
    <w:rsid w:val="006C5D24"/>
    <w:rsid w:val="006C5FB5"/>
    <w:rsid w:val="006C5FBD"/>
    <w:rsid w:val="006C62C0"/>
    <w:rsid w:val="006C64DC"/>
    <w:rsid w:val="006C6784"/>
    <w:rsid w:val="006C69ED"/>
    <w:rsid w:val="006C70FD"/>
    <w:rsid w:val="006C7109"/>
    <w:rsid w:val="006C726D"/>
    <w:rsid w:val="006C7532"/>
    <w:rsid w:val="006C7C07"/>
    <w:rsid w:val="006C7F71"/>
    <w:rsid w:val="006C7FF0"/>
    <w:rsid w:val="006D0308"/>
    <w:rsid w:val="006D0361"/>
    <w:rsid w:val="006D0997"/>
    <w:rsid w:val="006D0D1F"/>
    <w:rsid w:val="006D0F35"/>
    <w:rsid w:val="006D0FB5"/>
    <w:rsid w:val="006D1297"/>
    <w:rsid w:val="006D1466"/>
    <w:rsid w:val="006D1599"/>
    <w:rsid w:val="006D1B45"/>
    <w:rsid w:val="006D1DF4"/>
    <w:rsid w:val="006D202C"/>
    <w:rsid w:val="006D2181"/>
    <w:rsid w:val="006D21B8"/>
    <w:rsid w:val="006D231B"/>
    <w:rsid w:val="006D2389"/>
    <w:rsid w:val="006D2410"/>
    <w:rsid w:val="006D2819"/>
    <w:rsid w:val="006D2895"/>
    <w:rsid w:val="006D2953"/>
    <w:rsid w:val="006D2C2E"/>
    <w:rsid w:val="006D2CAB"/>
    <w:rsid w:val="006D2E07"/>
    <w:rsid w:val="006D2FE5"/>
    <w:rsid w:val="006D34AB"/>
    <w:rsid w:val="006D34D5"/>
    <w:rsid w:val="006D366F"/>
    <w:rsid w:val="006D3B55"/>
    <w:rsid w:val="006D3EA2"/>
    <w:rsid w:val="006D41A7"/>
    <w:rsid w:val="006D4474"/>
    <w:rsid w:val="006D48C3"/>
    <w:rsid w:val="006D4991"/>
    <w:rsid w:val="006D4D4C"/>
    <w:rsid w:val="006D4DDF"/>
    <w:rsid w:val="006D4F99"/>
    <w:rsid w:val="006D51CF"/>
    <w:rsid w:val="006D5211"/>
    <w:rsid w:val="006D5232"/>
    <w:rsid w:val="006D54DC"/>
    <w:rsid w:val="006D55E7"/>
    <w:rsid w:val="006D5799"/>
    <w:rsid w:val="006D5C29"/>
    <w:rsid w:val="006D5C71"/>
    <w:rsid w:val="006D5F2C"/>
    <w:rsid w:val="006D6061"/>
    <w:rsid w:val="006D6116"/>
    <w:rsid w:val="006D6122"/>
    <w:rsid w:val="006D62A3"/>
    <w:rsid w:val="006D657D"/>
    <w:rsid w:val="006D67D7"/>
    <w:rsid w:val="006D6AE8"/>
    <w:rsid w:val="006D710B"/>
    <w:rsid w:val="006D71A4"/>
    <w:rsid w:val="006D7513"/>
    <w:rsid w:val="006D776F"/>
    <w:rsid w:val="006D7977"/>
    <w:rsid w:val="006D79A2"/>
    <w:rsid w:val="006E003F"/>
    <w:rsid w:val="006E08EE"/>
    <w:rsid w:val="006E0BC3"/>
    <w:rsid w:val="006E0BFA"/>
    <w:rsid w:val="006E12A4"/>
    <w:rsid w:val="006E149B"/>
    <w:rsid w:val="006E1512"/>
    <w:rsid w:val="006E15B5"/>
    <w:rsid w:val="006E1DFB"/>
    <w:rsid w:val="006E1E67"/>
    <w:rsid w:val="006E2368"/>
    <w:rsid w:val="006E2604"/>
    <w:rsid w:val="006E26FB"/>
    <w:rsid w:val="006E28CC"/>
    <w:rsid w:val="006E2968"/>
    <w:rsid w:val="006E3061"/>
    <w:rsid w:val="006E3069"/>
    <w:rsid w:val="006E306E"/>
    <w:rsid w:val="006E3817"/>
    <w:rsid w:val="006E3828"/>
    <w:rsid w:val="006E38BA"/>
    <w:rsid w:val="006E428C"/>
    <w:rsid w:val="006E482A"/>
    <w:rsid w:val="006E4B1E"/>
    <w:rsid w:val="006E4B40"/>
    <w:rsid w:val="006E5372"/>
    <w:rsid w:val="006E5484"/>
    <w:rsid w:val="006E5749"/>
    <w:rsid w:val="006E5D27"/>
    <w:rsid w:val="006E5D4C"/>
    <w:rsid w:val="006E60E8"/>
    <w:rsid w:val="006E61AD"/>
    <w:rsid w:val="006E6FCF"/>
    <w:rsid w:val="006E7129"/>
    <w:rsid w:val="006E7169"/>
    <w:rsid w:val="006E731C"/>
    <w:rsid w:val="006E745E"/>
    <w:rsid w:val="006E7905"/>
    <w:rsid w:val="006E7DD8"/>
    <w:rsid w:val="006E7EB7"/>
    <w:rsid w:val="006E7EE0"/>
    <w:rsid w:val="006F03D1"/>
    <w:rsid w:val="006F03E3"/>
    <w:rsid w:val="006F04C4"/>
    <w:rsid w:val="006F05AC"/>
    <w:rsid w:val="006F07FE"/>
    <w:rsid w:val="006F0824"/>
    <w:rsid w:val="006F088A"/>
    <w:rsid w:val="006F0AFE"/>
    <w:rsid w:val="006F0C65"/>
    <w:rsid w:val="006F1A2E"/>
    <w:rsid w:val="006F250E"/>
    <w:rsid w:val="006F255E"/>
    <w:rsid w:val="006F2566"/>
    <w:rsid w:val="006F26EA"/>
    <w:rsid w:val="006F2B03"/>
    <w:rsid w:val="006F2CB3"/>
    <w:rsid w:val="006F2CBB"/>
    <w:rsid w:val="006F2EDD"/>
    <w:rsid w:val="006F3244"/>
    <w:rsid w:val="006F33E6"/>
    <w:rsid w:val="006F341B"/>
    <w:rsid w:val="006F37A5"/>
    <w:rsid w:val="006F3D48"/>
    <w:rsid w:val="006F3D81"/>
    <w:rsid w:val="006F40BB"/>
    <w:rsid w:val="006F44FA"/>
    <w:rsid w:val="006F453D"/>
    <w:rsid w:val="006F4550"/>
    <w:rsid w:val="006F45F7"/>
    <w:rsid w:val="006F4656"/>
    <w:rsid w:val="006F50FD"/>
    <w:rsid w:val="006F52CA"/>
    <w:rsid w:val="006F57AD"/>
    <w:rsid w:val="006F57D0"/>
    <w:rsid w:val="006F5874"/>
    <w:rsid w:val="006F5CD6"/>
    <w:rsid w:val="006F5E9B"/>
    <w:rsid w:val="006F5F01"/>
    <w:rsid w:val="006F5FE4"/>
    <w:rsid w:val="006F6060"/>
    <w:rsid w:val="006F616E"/>
    <w:rsid w:val="006F6192"/>
    <w:rsid w:val="006F61E6"/>
    <w:rsid w:val="006F6286"/>
    <w:rsid w:val="006F6666"/>
    <w:rsid w:val="006F6C60"/>
    <w:rsid w:val="006F6F01"/>
    <w:rsid w:val="006F7174"/>
    <w:rsid w:val="006F78E7"/>
    <w:rsid w:val="006F79E8"/>
    <w:rsid w:val="006F7BA0"/>
    <w:rsid w:val="006F7D32"/>
    <w:rsid w:val="006F7FC9"/>
    <w:rsid w:val="006F7FF4"/>
    <w:rsid w:val="007000CE"/>
    <w:rsid w:val="007002BD"/>
    <w:rsid w:val="007004F4"/>
    <w:rsid w:val="007005E2"/>
    <w:rsid w:val="007006E7"/>
    <w:rsid w:val="00700829"/>
    <w:rsid w:val="0070094A"/>
    <w:rsid w:val="007009DD"/>
    <w:rsid w:val="00700C8E"/>
    <w:rsid w:val="00700E5A"/>
    <w:rsid w:val="00700F08"/>
    <w:rsid w:val="0070101A"/>
    <w:rsid w:val="0070138C"/>
    <w:rsid w:val="007013C5"/>
    <w:rsid w:val="00701477"/>
    <w:rsid w:val="00701639"/>
    <w:rsid w:val="00701AED"/>
    <w:rsid w:val="00702352"/>
    <w:rsid w:val="007023F8"/>
    <w:rsid w:val="00702B69"/>
    <w:rsid w:val="00702FB1"/>
    <w:rsid w:val="007032D9"/>
    <w:rsid w:val="00703663"/>
    <w:rsid w:val="007036E1"/>
    <w:rsid w:val="007037B6"/>
    <w:rsid w:val="00703CEF"/>
    <w:rsid w:val="00704781"/>
    <w:rsid w:val="00704A21"/>
    <w:rsid w:val="00704A44"/>
    <w:rsid w:val="00704D32"/>
    <w:rsid w:val="00704FA9"/>
    <w:rsid w:val="00705001"/>
    <w:rsid w:val="00705621"/>
    <w:rsid w:val="00705799"/>
    <w:rsid w:val="00705899"/>
    <w:rsid w:val="00705A65"/>
    <w:rsid w:val="00705AD4"/>
    <w:rsid w:val="00706854"/>
    <w:rsid w:val="00706CFF"/>
    <w:rsid w:val="00706D15"/>
    <w:rsid w:val="00707094"/>
    <w:rsid w:val="007070F2"/>
    <w:rsid w:val="00707260"/>
    <w:rsid w:val="0070759D"/>
    <w:rsid w:val="0070788D"/>
    <w:rsid w:val="00707964"/>
    <w:rsid w:val="00707B36"/>
    <w:rsid w:val="00707E9C"/>
    <w:rsid w:val="0071030B"/>
    <w:rsid w:val="00710852"/>
    <w:rsid w:val="00710D0A"/>
    <w:rsid w:val="00710F3B"/>
    <w:rsid w:val="007110A8"/>
    <w:rsid w:val="00711609"/>
    <w:rsid w:val="00711D92"/>
    <w:rsid w:val="0071255B"/>
    <w:rsid w:val="0071285B"/>
    <w:rsid w:val="00712961"/>
    <w:rsid w:val="00712B73"/>
    <w:rsid w:val="00712D0D"/>
    <w:rsid w:val="007137F7"/>
    <w:rsid w:val="00714136"/>
    <w:rsid w:val="00714A05"/>
    <w:rsid w:val="00714A63"/>
    <w:rsid w:val="00714B7E"/>
    <w:rsid w:val="00714C79"/>
    <w:rsid w:val="00714D1F"/>
    <w:rsid w:val="00714DCE"/>
    <w:rsid w:val="007151BC"/>
    <w:rsid w:val="0071534A"/>
    <w:rsid w:val="00715484"/>
    <w:rsid w:val="00715918"/>
    <w:rsid w:val="00715BE8"/>
    <w:rsid w:val="00715CB6"/>
    <w:rsid w:val="00715EC1"/>
    <w:rsid w:val="00716197"/>
    <w:rsid w:val="0071623A"/>
    <w:rsid w:val="007162F9"/>
    <w:rsid w:val="0071680D"/>
    <w:rsid w:val="00716858"/>
    <w:rsid w:val="00716BBE"/>
    <w:rsid w:val="00716BFD"/>
    <w:rsid w:val="00716CA4"/>
    <w:rsid w:val="00716CCA"/>
    <w:rsid w:val="00716DAB"/>
    <w:rsid w:val="00716E7A"/>
    <w:rsid w:val="00716EBE"/>
    <w:rsid w:val="00716EF0"/>
    <w:rsid w:val="00717089"/>
    <w:rsid w:val="007170C1"/>
    <w:rsid w:val="00717142"/>
    <w:rsid w:val="00717280"/>
    <w:rsid w:val="00717769"/>
    <w:rsid w:val="00717940"/>
    <w:rsid w:val="00717ACF"/>
    <w:rsid w:val="00717AE1"/>
    <w:rsid w:val="00717C95"/>
    <w:rsid w:val="00717F7E"/>
    <w:rsid w:val="00717FBB"/>
    <w:rsid w:val="0072076F"/>
    <w:rsid w:val="00720986"/>
    <w:rsid w:val="00720A42"/>
    <w:rsid w:val="00720EBB"/>
    <w:rsid w:val="007213BF"/>
    <w:rsid w:val="00721982"/>
    <w:rsid w:val="00721F21"/>
    <w:rsid w:val="007220E8"/>
    <w:rsid w:val="00722646"/>
    <w:rsid w:val="007226C2"/>
    <w:rsid w:val="007227DA"/>
    <w:rsid w:val="00722828"/>
    <w:rsid w:val="007229DF"/>
    <w:rsid w:val="00722B49"/>
    <w:rsid w:val="00722EBB"/>
    <w:rsid w:val="007234C5"/>
    <w:rsid w:val="0072382C"/>
    <w:rsid w:val="00723C17"/>
    <w:rsid w:val="00723F2B"/>
    <w:rsid w:val="0072406B"/>
    <w:rsid w:val="00724661"/>
    <w:rsid w:val="0072480A"/>
    <w:rsid w:val="00724A37"/>
    <w:rsid w:val="00724B98"/>
    <w:rsid w:val="00724C6A"/>
    <w:rsid w:val="00724DB5"/>
    <w:rsid w:val="00724F9A"/>
    <w:rsid w:val="0072513A"/>
    <w:rsid w:val="007253BF"/>
    <w:rsid w:val="00725B49"/>
    <w:rsid w:val="00725BC8"/>
    <w:rsid w:val="00725BFE"/>
    <w:rsid w:val="00725E78"/>
    <w:rsid w:val="00725EA4"/>
    <w:rsid w:val="0072635D"/>
    <w:rsid w:val="007265C3"/>
    <w:rsid w:val="00726634"/>
    <w:rsid w:val="00726654"/>
    <w:rsid w:val="00726A4A"/>
    <w:rsid w:val="00726AC0"/>
    <w:rsid w:val="00727200"/>
    <w:rsid w:val="007278E2"/>
    <w:rsid w:val="007279EB"/>
    <w:rsid w:val="00727C22"/>
    <w:rsid w:val="00727F57"/>
    <w:rsid w:val="00730331"/>
    <w:rsid w:val="00730602"/>
    <w:rsid w:val="00730CFB"/>
    <w:rsid w:val="00730E3B"/>
    <w:rsid w:val="00730F8D"/>
    <w:rsid w:val="007311F9"/>
    <w:rsid w:val="00731750"/>
    <w:rsid w:val="007318D9"/>
    <w:rsid w:val="007319F1"/>
    <w:rsid w:val="007323F9"/>
    <w:rsid w:val="0073248F"/>
    <w:rsid w:val="00732CEF"/>
    <w:rsid w:val="00732E71"/>
    <w:rsid w:val="00732FFB"/>
    <w:rsid w:val="0073305D"/>
    <w:rsid w:val="007331EB"/>
    <w:rsid w:val="007332EE"/>
    <w:rsid w:val="00733330"/>
    <w:rsid w:val="0073346F"/>
    <w:rsid w:val="00733852"/>
    <w:rsid w:val="00733892"/>
    <w:rsid w:val="00733F96"/>
    <w:rsid w:val="00734042"/>
    <w:rsid w:val="007346B9"/>
    <w:rsid w:val="007347FA"/>
    <w:rsid w:val="007349FD"/>
    <w:rsid w:val="00734D91"/>
    <w:rsid w:val="00734E7A"/>
    <w:rsid w:val="00734FB6"/>
    <w:rsid w:val="0073512B"/>
    <w:rsid w:val="007354D2"/>
    <w:rsid w:val="0073564C"/>
    <w:rsid w:val="007356AC"/>
    <w:rsid w:val="0073578E"/>
    <w:rsid w:val="0073584C"/>
    <w:rsid w:val="00735B79"/>
    <w:rsid w:val="00735BBB"/>
    <w:rsid w:val="00735BDE"/>
    <w:rsid w:val="00736340"/>
    <w:rsid w:val="007368CC"/>
    <w:rsid w:val="00736988"/>
    <w:rsid w:val="00736A4D"/>
    <w:rsid w:val="00736C65"/>
    <w:rsid w:val="007375D5"/>
    <w:rsid w:val="00737847"/>
    <w:rsid w:val="00737B3B"/>
    <w:rsid w:val="007403AA"/>
    <w:rsid w:val="007403BA"/>
    <w:rsid w:val="00740518"/>
    <w:rsid w:val="00740650"/>
    <w:rsid w:val="007406D4"/>
    <w:rsid w:val="00740861"/>
    <w:rsid w:val="007410AD"/>
    <w:rsid w:val="007412E5"/>
    <w:rsid w:val="007419D9"/>
    <w:rsid w:val="007419E8"/>
    <w:rsid w:val="00741EF7"/>
    <w:rsid w:val="007422E7"/>
    <w:rsid w:val="00742355"/>
    <w:rsid w:val="007423F9"/>
    <w:rsid w:val="00742898"/>
    <w:rsid w:val="007428C6"/>
    <w:rsid w:val="00742C1B"/>
    <w:rsid w:val="00742DD4"/>
    <w:rsid w:val="00743247"/>
    <w:rsid w:val="0074359E"/>
    <w:rsid w:val="0074390B"/>
    <w:rsid w:val="00743983"/>
    <w:rsid w:val="00743A2E"/>
    <w:rsid w:val="007442A7"/>
    <w:rsid w:val="0074465B"/>
    <w:rsid w:val="00744660"/>
    <w:rsid w:val="007447B2"/>
    <w:rsid w:val="007448C5"/>
    <w:rsid w:val="00744AC3"/>
    <w:rsid w:val="00744BB4"/>
    <w:rsid w:val="00744E65"/>
    <w:rsid w:val="00744FB9"/>
    <w:rsid w:val="0074502E"/>
    <w:rsid w:val="00745132"/>
    <w:rsid w:val="0074519B"/>
    <w:rsid w:val="0074566B"/>
    <w:rsid w:val="00745940"/>
    <w:rsid w:val="007459A2"/>
    <w:rsid w:val="007459C2"/>
    <w:rsid w:val="00745B01"/>
    <w:rsid w:val="00746041"/>
    <w:rsid w:val="00746083"/>
    <w:rsid w:val="00747051"/>
    <w:rsid w:val="00747252"/>
    <w:rsid w:val="007472F8"/>
    <w:rsid w:val="00747DAF"/>
    <w:rsid w:val="00747E34"/>
    <w:rsid w:val="00750052"/>
    <w:rsid w:val="00750654"/>
    <w:rsid w:val="00750803"/>
    <w:rsid w:val="00750943"/>
    <w:rsid w:val="00750955"/>
    <w:rsid w:val="00750A37"/>
    <w:rsid w:val="00751157"/>
    <w:rsid w:val="0075165F"/>
    <w:rsid w:val="007517E5"/>
    <w:rsid w:val="007517F6"/>
    <w:rsid w:val="00751852"/>
    <w:rsid w:val="00751C5D"/>
    <w:rsid w:val="00751CAC"/>
    <w:rsid w:val="00751E4D"/>
    <w:rsid w:val="0075204E"/>
    <w:rsid w:val="0075216F"/>
    <w:rsid w:val="007527EF"/>
    <w:rsid w:val="00752A7E"/>
    <w:rsid w:val="00752C18"/>
    <w:rsid w:val="00753374"/>
    <w:rsid w:val="007533D2"/>
    <w:rsid w:val="00753560"/>
    <w:rsid w:val="007535A3"/>
    <w:rsid w:val="007536D5"/>
    <w:rsid w:val="00753962"/>
    <w:rsid w:val="00753B9A"/>
    <w:rsid w:val="00753BEE"/>
    <w:rsid w:val="0075403C"/>
    <w:rsid w:val="0075421C"/>
    <w:rsid w:val="007542D0"/>
    <w:rsid w:val="007542FD"/>
    <w:rsid w:val="00754739"/>
    <w:rsid w:val="00754A53"/>
    <w:rsid w:val="00754C52"/>
    <w:rsid w:val="00754D7B"/>
    <w:rsid w:val="00754E1C"/>
    <w:rsid w:val="00754FEF"/>
    <w:rsid w:val="0075564A"/>
    <w:rsid w:val="007558B1"/>
    <w:rsid w:val="00755C00"/>
    <w:rsid w:val="00755CAD"/>
    <w:rsid w:val="00755F30"/>
    <w:rsid w:val="0075603B"/>
    <w:rsid w:val="0075650D"/>
    <w:rsid w:val="0075671E"/>
    <w:rsid w:val="007568AD"/>
    <w:rsid w:val="00756B85"/>
    <w:rsid w:val="00756D1B"/>
    <w:rsid w:val="00756F09"/>
    <w:rsid w:val="007570FE"/>
    <w:rsid w:val="007573CF"/>
    <w:rsid w:val="00757521"/>
    <w:rsid w:val="00757695"/>
    <w:rsid w:val="0075775E"/>
    <w:rsid w:val="00757E5D"/>
    <w:rsid w:val="00760201"/>
    <w:rsid w:val="00760247"/>
    <w:rsid w:val="00760E04"/>
    <w:rsid w:val="007613D8"/>
    <w:rsid w:val="007618FB"/>
    <w:rsid w:val="00761E0B"/>
    <w:rsid w:val="00761EC5"/>
    <w:rsid w:val="00761FFC"/>
    <w:rsid w:val="00762370"/>
    <w:rsid w:val="0076262D"/>
    <w:rsid w:val="0076292B"/>
    <w:rsid w:val="00762A05"/>
    <w:rsid w:val="00762A13"/>
    <w:rsid w:val="00762A29"/>
    <w:rsid w:val="00762EE0"/>
    <w:rsid w:val="00763744"/>
    <w:rsid w:val="00763906"/>
    <w:rsid w:val="007639D4"/>
    <w:rsid w:val="00763A2A"/>
    <w:rsid w:val="00763B00"/>
    <w:rsid w:val="00764324"/>
    <w:rsid w:val="007643E2"/>
    <w:rsid w:val="00764459"/>
    <w:rsid w:val="00764BEB"/>
    <w:rsid w:val="00764F8B"/>
    <w:rsid w:val="0076512B"/>
    <w:rsid w:val="0076517C"/>
    <w:rsid w:val="007652B8"/>
    <w:rsid w:val="00765367"/>
    <w:rsid w:val="0076551D"/>
    <w:rsid w:val="007658B3"/>
    <w:rsid w:val="007658D9"/>
    <w:rsid w:val="00765986"/>
    <w:rsid w:val="00765BDF"/>
    <w:rsid w:val="00765ED1"/>
    <w:rsid w:val="00765F87"/>
    <w:rsid w:val="00766888"/>
    <w:rsid w:val="00766DD1"/>
    <w:rsid w:val="00766DF6"/>
    <w:rsid w:val="00766F3E"/>
    <w:rsid w:val="00767511"/>
    <w:rsid w:val="007677A6"/>
    <w:rsid w:val="00767C0D"/>
    <w:rsid w:val="00767CBA"/>
    <w:rsid w:val="00767E47"/>
    <w:rsid w:val="00770EEF"/>
    <w:rsid w:val="007716DF"/>
    <w:rsid w:val="007717AF"/>
    <w:rsid w:val="00771806"/>
    <w:rsid w:val="00771B51"/>
    <w:rsid w:val="00771D71"/>
    <w:rsid w:val="00771FCD"/>
    <w:rsid w:val="00771FD6"/>
    <w:rsid w:val="0077213A"/>
    <w:rsid w:val="00772B89"/>
    <w:rsid w:val="00772BFE"/>
    <w:rsid w:val="00772C02"/>
    <w:rsid w:val="00772F68"/>
    <w:rsid w:val="007733A1"/>
    <w:rsid w:val="0077345E"/>
    <w:rsid w:val="0077348F"/>
    <w:rsid w:val="00773665"/>
    <w:rsid w:val="00773824"/>
    <w:rsid w:val="00773928"/>
    <w:rsid w:val="00773C79"/>
    <w:rsid w:val="00773E66"/>
    <w:rsid w:val="007746F8"/>
    <w:rsid w:val="007748D0"/>
    <w:rsid w:val="00774905"/>
    <w:rsid w:val="0077496C"/>
    <w:rsid w:val="007749E1"/>
    <w:rsid w:val="007749EB"/>
    <w:rsid w:val="00774A05"/>
    <w:rsid w:val="00774DF5"/>
    <w:rsid w:val="007753C9"/>
    <w:rsid w:val="0077544F"/>
    <w:rsid w:val="0077569D"/>
    <w:rsid w:val="00775774"/>
    <w:rsid w:val="00775B97"/>
    <w:rsid w:val="00775E4F"/>
    <w:rsid w:val="00775FD8"/>
    <w:rsid w:val="0077631D"/>
    <w:rsid w:val="007765DE"/>
    <w:rsid w:val="0077681E"/>
    <w:rsid w:val="00777228"/>
    <w:rsid w:val="00777296"/>
    <w:rsid w:val="007777EB"/>
    <w:rsid w:val="00777B9D"/>
    <w:rsid w:val="00777DDA"/>
    <w:rsid w:val="00777E71"/>
    <w:rsid w:val="00780082"/>
    <w:rsid w:val="007800A0"/>
    <w:rsid w:val="00780366"/>
    <w:rsid w:val="00780745"/>
    <w:rsid w:val="00780846"/>
    <w:rsid w:val="00780898"/>
    <w:rsid w:val="007808C5"/>
    <w:rsid w:val="00780A1E"/>
    <w:rsid w:val="00780AF0"/>
    <w:rsid w:val="00780B24"/>
    <w:rsid w:val="00780C30"/>
    <w:rsid w:val="00780D17"/>
    <w:rsid w:val="00780DCC"/>
    <w:rsid w:val="00780FBF"/>
    <w:rsid w:val="00781136"/>
    <w:rsid w:val="0078128C"/>
    <w:rsid w:val="00781862"/>
    <w:rsid w:val="0078196D"/>
    <w:rsid w:val="00781C8C"/>
    <w:rsid w:val="00781CB0"/>
    <w:rsid w:val="00781E1D"/>
    <w:rsid w:val="0078202D"/>
    <w:rsid w:val="00782384"/>
    <w:rsid w:val="00782523"/>
    <w:rsid w:val="007826CF"/>
    <w:rsid w:val="007828D8"/>
    <w:rsid w:val="007829A6"/>
    <w:rsid w:val="00782CFD"/>
    <w:rsid w:val="00782D07"/>
    <w:rsid w:val="007834CC"/>
    <w:rsid w:val="0078371D"/>
    <w:rsid w:val="0078373C"/>
    <w:rsid w:val="00783852"/>
    <w:rsid w:val="00783A95"/>
    <w:rsid w:val="00783CC2"/>
    <w:rsid w:val="00784042"/>
    <w:rsid w:val="007845A5"/>
    <w:rsid w:val="007848A9"/>
    <w:rsid w:val="00784D9B"/>
    <w:rsid w:val="007851BF"/>
    <w:rsid w:val="007856B0"/>
    <w:rsid w:val="00785C05"/>
    <w:rsid w:val="00785CB8"/>
    <w:rsid w:val="00786107"/>
    <w:rsid w:val="00786122"/>
    <w:rsid w:val="0078622D"/>
    <w:rsid w:val="007874CE"/>
    <w:rsid w:val="007875D9"/>
    <w:rsid w:val="007875F3"/>
    <w:rsid w:val="007876E0"/>
    <w:rsid w:val="00787EC9"/>
    <w:rsid w:val="0079009A"/>
    <w:rsid w:val="00790233"/>
    <w:rsid w:val="0079048D"/>
    <w:rsid w:val="007904D5"/>
    <w:rsid w:val="0079062E"/>
    <w:rsid w:val="00790670"/>
    <w:rsid w:val="007907EA"/>
    <w:rsid w:val="0079095C"/>
    <w:rsid w:val="00790F7A"/>
    <w:rsid w:val="00791055"/>
    <w:rsid w:val="00791A2E"/>
    <w:rsid w:val="00792523"/>
    <w:rsid w:val="00792531"/>
    <w:rsid w:val="00792560"/>
    <w:rsid w:val="007925CE"/>
    <w:rsid w:val="007926C5"/>
    <w:rsid w:val="007926CA"/>
    <w:rsid w:val="00792C48"/>
    <w:rsid w:val="00792F62"/>
    <w:rsid w:val="00793116"/>
    <w:rsid w:val="007933B8"/>
    <w:rsid w:val="007933D9"/>
    <w:rsid w:val="00793649"/>
    <w:rsid w:val="00793CD6"/>
    <w:rsid w:val="00793D7D"/>
    <w:rsid w:val="00793DCC"/>
    <w:rsid w:val="00794287"/>
    <w:rsid w:val="0079459A"/>
    <w:rsid w:val="007946F9"/>
    <w:rsid w:val="00794A7E"/>
    <w:rsid w:val="007952C0"/>
    <w:rsid w:val="00795606"/>
    <w:rsid w:val="00795B44"/>
    <w:rsid w:val="00795BE3"/>
    <w:rsid w:val="00795CB9"/>
    <w:rsid w:val="0079637E"/>
    <w:rsid w:val="007965B0"/>
    <w:rsid w:val="007966CF"/>
    <w:rsid w:val="007967F3"/>
    <w:rsid w:val="00797131"/>
    <w:rsid w:val="00797473"/>
    <w:rsid w:val="00797516"/>
    <w:rsid w:val="00797965"/>
    <w:rsid w:val="00797E44"/>
    <w:rsid w:val="00797F1C"/>
    <w:rsid w:val="007A00BA"/>
    <w:rsid w:val="007A0570"/>
    <w:rsid w:val="007A0997"/>
    <w:rsid w:val="007A0C20"/>
    <w:rsid w:val="007A0E8D"/>
    <w:rsid w:val="007A0EA5"/>
    <w:rsid w:val="007A1077"/>
    <w:rsid w:val="007A1980"/>
    <w:rsid w:val="007A1A64"/>
    <w:rsid w:val="007A1B94"/>
    <w:rsid w:val="007A1C99"/>
    <w:rsid w:val="007A1EA9"/>
    <w:rsid w:val="007A26C1"/>
    <w:rsid w:val="007A276D"/>
    <w:rsid w:val="007A323D"/>
    <w:rsid w:val="007A3A0C"/>
    <w:rsid w:val="007A3C5E"/>
    <w:rsid w:val="007A3ED6"/>
    <w:rsid w:val="007A41B7"/>
    <w:rsid w:val="007A4591"/>
    <w:rsid w:val="007A4B7B"/>
    <w:rsid w:val="007A4C02"/>
    <w:rsid w:val="007A4CF9"/>
    <w:rsid w:val="007A51A7"/>
    <w:rsid w:val="007A5231"/>
    <w:rsid w:val="007A5378"/>
    <w:rsid w:val="007A556D"/>
    <w:rsid w:val="007A5849"/>
    <w:rsid w:val="007A5C12"/>
    <w:rsid w:val="007A5D8C"/>
    <w:rsid w:val="007A5E3F"/>
    <w:rsid w:val="007A6005"/>
    <w:rsid w:val="007A60A6"/>
    <w:rsid w:val="007A610E"/>
    <w:rsid w:val="007A6336"/>
    <w:rsid w:val="007A64CF"/>
    <w:rsid w:val="007A6D0C"/>
    <w:rsid w:val="007A6E61"/>
    <w:rsid w:val="007A6EA7"/>
    <w:rsid w:val="007A7029"/>
    <w:rsid w:val="007A7112"/>
    <w:rsid w:val="007A72A5"/>
    <w:rsid w:val="007A7371"/>
    <w:rsid w:val="007A767F"/>
    <w:rsid w:val="007A799D"/>
    <w:rsid w:val="007A79F0"/>
    <w:rsid w:val="007A7C40"/>
    <w:rsid w:val="007A7F60"/>
    <w:rsid w:val="007A7F74"/>
    <w:rsid w:val="007B0092"/>
    <w:rsid w:val="007B03B7"/>
    <w:rsid w:val="007B04C0"/>
    <w:rsid w:val="007B051F"/>
    <w:rsid w:val="007B0D91"/>
    <w:rsid w:val="007B10EF"/>
    <w:rsid w:val="007B118A"/>
    <w:rsid w:val="007B12AE"/>
    <w:rsid w:val="007B150E"/>
    <w:rsid w:val="007B1B39"/>
    <w:rsid w:val="007B1CB5"/>
    <w:rsid w:val="007B1FCD"/>
    <w:rsid w:val="007B235D"/>
    <w:rsid w:val="007B25AA"/>
    <w:rsid w:val="007B278E"/>
    <w:rsid w:val="007B28A0"/>
    <w:rsid w:val="007B2E0E"/>
    <w:rsid w:val="007B2EE7"/>
    <w:rsid w:val="007B32E6"/>
    <w:rsid w:val="007B39E6"/>
    <w:rsid w:val="007B3C6A"/>
    <w:rsid w:val="007B409E"/>
    <w:rsid w:val="007B40A7"/>
    <w:rsid w:val="007B4218"/>
    <w:rsid w:val="007B473D"/>
    <w:rsid w:val="007B4A57"/>
    <w:rsid w:val="007B4DF9"/>
    <w:rsid w:val="007B5182"/>
    <w:rsid w:val="007B5333"/>
    <w:rsid w:val="007B5A2E"/>
    <w:rsid w:val="007B5A72"/>
    <w:rsid w:val="007B5C4E"/>
    <w:rsid w:val="007B5C57"/>
    <w:rsid w:val="007B5ED9"/>
    <w:rsid w:val="007B6413"/>
    <w:rsid w:val="007B680B"/>
    <w:rsid w:val="007B6A6B"/>
    <w:rsid w:val="007B6BCD"/>
    <w:rsid w:val="007B6D3A"/>
    <w:rsid w:val="007B6F90"/>
    <w:rsid w:val="007B70C1"/>
    <w:rsid w:val="007B70E1"/>
    <w:rsid w:val="007B7383"/>
    <w:rsid w:val="007B780F"/>
    <w:rsid w:val="007B78B2"/>
    <w:rsid w:val="007B794C"/>
    <w:rsid w:val="007C0065"/>
    <w:rsid w:val="007C00CA"/>
    <w:rsid w:val="007C03E2"/>
    <w:rsid w:val="007C0664"/>
    <w:rsid w:val="007C0E9E"/>
    <w:rsid w:val="007C10C2"/>
    <w:rsid w:val="007C13D0"/>
    <w:rsid w:val="007C1562"/>
    <w:rsid w:val="007C1923"/>
    <w:rsid w:val="007C19D2"/>
    <w:rsid w:val="007C1E08"/>
    <w:rsid w:val="007C2903"/>
    <w:rsid w:val="007C32CD"/>
    <w:rsid w:val="007C3585"/>
    <w:rsid w:val="007C39A1"/>
    <w:rsid w:val="007C3A97"/>
    <w:rsid w:val="007C3AED"/>
    <w:rsid w:val="007C3C18"/>
    <w:rsid w:val="007C3E81"/>
    <w:rsid w:val="007C442B"/>
    <w:rsid w:val="007C44C5"/>
    <w:rsid w:val="007C4723"/>
    <w:rsid w:val="007C4927"/>
    <w:rsid w:val="007C49D9"/>
    <w:rsid w:val="007C4AE3"/>
    <w:rsid w:val="007C4D64"/>
    <w:rsid w:val="007C4E8C"/>
    <w:rsid w:val="007C5391"/>
    <w:rsid w:val="007C57DD"/>
    <w:rsid w:val="007C5C19"/>
    <w:rsid w:val="007C67D0"/>
    <w:rsid w:val="007C67EA"/>
    <w:rsid w:val="007C6851"/>
    <w:rsid w:val="007C6860"/>
    <w:rsid w:val="007C68E3"/>
    <w:rsid w:val="007C6CB9"/>
    <w:rsid w:val="007C6D96"/>
    <w:rsid w:val="007C7055"/>
    <w:rsid w:val="007C7248"/>
    <w:rsid w:val="007C728B"/>
    <w:rsid w:val="007C732B"/>
    <w:rsid w:val="007C75D4"/>
    <w:rsid w:val="007C782E"/>
    <w:rsid w:val="007C7A24"/>
    <w:rsid w:val="007C7AD5"/>
    <w:rsid w:val="007D02B4"/>
    <w:rsid w:val="007D07BC"/>
    <w:rsid w:val="007D08D6"/>
    <w:rsid w:val="007D0B2E"/>
    <w:rsid w:val="007D0DFF"/>
    <w:rsid w:val="007D119B"/>
    <w:rsid w:val="007D1659"/>
    <w:rsid w:val="007D1714"/>
    <w:rsid w:val="007D199A"/>
    <w:rsid w:val="007D1AB0"/>
    <w:rsid w:val="007D1C3F"/>
    <w:rsid w:val="007D1C79"/>
    <w:rsid w:val="007D1D61"/>
    <w:rsid w:val="007D1F7A"/>
    <w:rsid w:val="007D2025"/>
    <w:rsid w:val="007D229B"/>
    <w:rsid w:val="007D22C2"/>
    <w:rsid w:val="007D22F5"/>
    <w:rsid w:val="007D263B"/>
    <w:rsid w:val="007D27C8"/>
    <w:rsid w:val="007D28E1"/>
    <w:rsid w:val="007D2951"/>
    <w:rsid w:val="007D2E56"/>
    <w:rsid w:val="007D308A"/>
    <w:rsid w:val="007D31E8"/>
    <w:rsid w:val="007D3386"/>
    <w:rsid w:val="007D33F0"/>
    <w:rsid w:val="007D346E"/>
    <w:rsid w:val="007D35ED"/>
    <w:rsid w:val="007D3A07"/>
    <w:rsid w:val="007D3C34"/>
    <w:rsid w:val="007D3D9E"/>
    <w:rsid w:val="007D3DC5"/>
    <w:rsid w:val="007D40E7"/>
    <w:rsid w:val="007D427E"/>
    <w:rsid w:val="007D439F"/>
    <w:rsid w:val="007D4B66"/>
    <w:rsid w:val="007D4C6A"/>
    <w:rsid w:val="007D5053"/>
    <w:rsid w:val="007D59F4"/>
    <w:rsid w:val="007D5A18"/>
    <w:rsid w:val="007D6277"/>
    <w:rsid w:val="007D62E5"/>
    <w:rsid w:val="007D6643"/>
    <w:rsid w:val="007D665C"/>
    <w:rsid w:val="007D667A"/>
    <w:rsid w:val="007D67AE"/>
    <w:rsid w:val="007D67BF"/>
    <w:rsid w:val="007D6892"/>
    <w:rsid w:val="007D6F15"/>
    <w:rsid w:val="007D70ED"/>
    <w:rsid w:val="007D7117"/>
    <w:rsid w:val="007D71E8"/>
    <w:rsid w:val="007D7326"/>
    <w:rsid w:val="007D74FD"/>
    <w:rsid w:val="007D78FF"/>
    <w:rsid w:val="007D7B59"/>
    <w:rsid w:val="007D7D77"/>
    <w:rsid w:val="007E0014"/>
    <w:rsid w:val="007E0401"/>
    <w:rsid w:val="007E0676"/>
    <w:rsid w:val="007E1102"/>
    <w:rsid w:val="007E14E2"/>
    <w:rsid w:val="007E17B5"/>
    <w:rsid w:val="007E1932"/>
    <w:rsid w:val="007E19B9"/>
    <w:rsid w:val="007E1D6F"/>
    <w:rsid w:val="007E1F56"/>
    <w:rsid w:val="007E1F93"/>
    <w:rsid w:val="007E2322"/>
    <w:rsid w:val="007E266A"/>
    <w:rsid w:val="007E2697"/>
    <w:rsid w:val="007E2B01"/>
    <w:rsid w:val="007E2B7B"/>
    <w:rsid w:val="007E2D03"/>
    <w:rsid w:val="007E2FC9"/>
    <w:rsid w:val="007E31EF"/>
    <w:rsid w:val="007E328A"/>
    <w:rsid w:val="007E3747"/>
    <w:rsid w:val="007E391D"/>
    <w:rsid w:val="007E3CD8"/>
    <w:rsid w:val="007E3E58"/>
    <w:rsid w:val="007E3FDF"/>
    <w:rsid w:val="007E4148"/>
    <w:rsid w:val="007E448B"/>
    <w:rsid w:val="007E4554"/>
    <w:rsid w:val="007E4E37"/>
    <w:rsid w:val="007E4E3E"/>
    <w:rsid w:val="007E53C1"/>
    <w:rsid w:val="007E54D6"/>
    <w:rsid w:val="007E57D8"/>
    <w:rsid w:val="007E5C67"/>
    <w:rsid w:val="007E5D9C"/>
    <w:rsid w:val="007E5F56"/>
    <w:rsid w:val="007E62F5"/>
    <w:rsid w:val="007E638F"/>
    <w:rsid w:val="007E6578"/>
    <w:rsid w:val="007E687C"/>
    <w:rsid w:val="007E6939"/>
    <w:rsid w:val="007E7227"/>
    <w:rsid w:val="007E7747"/>
    <w:rsid w:val="007E7BB8"/>
    <w:rsid w:val="007E7F15"/>
    <w:rsid w:val="007E7F8F"/>
    <w:rsid w:val="007E7FB6"/>
    <w:rsid w:val="007F0DCF"/>
    <w:rsid w:val="007F16D3"/>
    <w:rsid w:val="007F18D8"/>
    <w:rsid w:val="007F2288"/>
    <w:rsid w:val="007F2C83"/>
    <w:rsid w:val="007F360D"/>
    <w:rsid w:val="007F3E94"/>
    <w:rsid w:val="007F40FE"/>
    <w:rsid w:val="007F46E6"/>
    <w:rsid w:val="007F5144"/>
    <w:rsid w:val="007F525E"/>
    <w:rsid w:val="007F5268"/>
    <w:rsid w:val="007F57BE"/>
    <w:rsid w:val="007F5C9F"/>
    <w:rsid w:val="007F61A1"/>
    <w:rsid w:val="007F6214"/>
    <w:rsid w:val="007F622A"/>
    <w:rsid w:val="007F6321"/>
    <w:rsid w:val="007F6842"/>
    <w:rsid w:val="007F6A98"/>
    <w:rsid w:val="007F6C4E"/>
    <w:rsid w:val="007F714D"/>
    <w:rsid w:val="007F7419"/>
    <w:rsid w:val="007F7425"/>
    <w:rsid w:val="007F756B"/>
    <w:rsid w:val="007F78CB"/>
    <w:rsid w:val="007F7E52"/>
    <w:rsid w:val="007F7F73"/>
    <w:rsid w:val="0080034A"/>
    <w:rsid w:val="0080041E"/>
    <w:rsid w:val="008005FD"/>
    <w:rsid w:val="00800784"/>
    <w:rsid w:val="00800FB5"/>
    <w:rsid w:val="008010CA"/>
    <w:rsid w:val="008012C6"/>
    <w:rsid w:val="0080136E"/>
    <w:rsid w:val="00801950"/>
    <w:rsid w:val="0080199C"/>
    <w:rsid w:val="008019B3"/>
    <w:rsid w:val="00801E84"/>
    <w:rsid w:val="0080235B"/>
    <w:rsid w:val="008026DE"/>
    <w:rsid w:val="00802748"/>
    <w:rsid w:val="008027F0"/>
    <w:rsid w:val="008029FE"/>
    <w:rsid w:val="00803177"/>
    <w:rsid w:val="00803498"/>
    <w:rsid w:val="008037F2"/>
    <w:rsid w:val="00803CAA"/>
    <w:rsid w:val="00803D5E"/>
    <w:rsid w:val="008040F9"/>
    <w:rsid w:val="00804497"/>
    <w:rsid w:val="00804755"/>
    <w:rsid w:val="008047D4"/>
    <w:rsid w:val="00804947"/>
    <w:rsid w:val="00804A29"/>
    <w:rsid w:val="00805301"/>
    <w:rsid w:val="008053FC"/>
    <w:rsid w:val="00805A03"/>
    <w:rsid w:val="00805AD3"/>
    <w:rsid w:val="00805C89"/>
    <w:rsid w:val="00805E9D"/>
    <w:rsid w:val="008062D7"/>
    <w:rsid w:val="00806385"/>
    <w:rsid w:val="00806491"/>
    <w:rsid w:val="008069F2"/>
    <w:rsid w:val="008069FC"/>
    <w:rsid w:val="00806B22"/>
    <w:rsid w:val="008073D4"/>
    <w:rsid w:val="0080744E"/>
    <w:rsid w:val="00807B09"/>
    <w:rsid w:val="00807D13"/>
    <w:rsid w:val="00807DA5"/>
    <w:rsid w:val="00807E9D"/>
    <w:rsid w:val="00807F1B"/>
    <w:rsid w:val="00810293"/>
    <w:rsid w:val="008103D2"/>
    <w:rsid w:val="0081044D"/>
    <w:rsid w:val="00810522"/>
    <w:rsid w:val="008105CC"/>
    <w:rsid w:val="008105EB"/>
    <w:rsid w:val="00810701"/>
    <w:rsid w:val="008111A7"/>
    <w:rsid w:val="0081176D"/>
    <w:rsid w:val="008119C0"/>
    <w:rsid w:val="00811E5B"/>
    <w:rsid w:val="00811ED7"/>
    <w:rsid w:val="0081242C"/>
    <w:rsid w:val="00812899"/>
    <w:rsid w:val="00812923"/>
    <w:rsid w:val="00812C8A"/>
    <w:rsid w:val="00813204"/>
    <w:rsid w:val="00813300"/>
    <w:rsid w:val="00813469"/>
    <w:rsid w:val="00813827"/>
    <w:rsid w:val="00813832"/>
    <w:rsid w:val="00813A37"/>
    <w:rsid w:val="00813A5B"/>
    <w:rsid w:val="00813F0D"/>
    <w:rsid w:val="00814137"/>
    <w:rsid w:val="008145EE"/>
    <w:rsid w:val="00814639"/>
    <w:rsid w:val="00814654"/>
    <w:rsid w:val="00814737"/>
    <w:rsid w:val="00814A92"/>
    <w:rsid w:val="00814ABA"/>
    <w:rsid w:val="00814B2E"/>
    <w:rsid w:val="00814FB8"/>
    <w:rsid w:val="008157E5"/>
    <w:rsid w:val="00815922"/>
    <w:rsid w:val="00815B71"/>
    <w:rsid w:val="00815D65"/>
    <w:rsid w:val="00815F01"/>
    <w:rsid w:val="00815FD3"/>
    <w:rsid w:val="00816278"/>
    <w:rsid w:val="008162BC"/>
    <w:rsid w:val="0081633C"/>
    <w:rsid w:val="0081638F"/>
    <w:rsid w:val="0081654F"/>
    <w:rsid w:val="00816719"/>
    <w:rsid w:val="00816CF8"/>
    <w:rsid w:val="00816CFA"/>
    <w:rsid w:val="008171D8"/>
    <w:rsid w:val="0081728E"/>
    <w:rsid w:val="0081749F"/>
    <w:rsid w:val="00817604"/>
    <w:rsid w:val="00817BC3"/>
    <w:rsid w:val="00817BC6"/>
    <w:rsid w:val="00817C0D"/>
    <w:rsid w:val="008207AB"/>
    <w:rsid w:val="00820800"/>
    <w:rsid w:val="00820CA1"/>
    <w:rsid w:val="008216AD"/>
    <w:rsid w:val="00821836"/>
    <w:rsid w:val="00821970"/>
    <w:rsid w:val="00821CB8"/>
    <w:rsid w:val="00821DD0"/>
    <w:rsid w:val="00821F32"/>
    <w:rsid w:val="00822869"/>
    <w:rsid w:val="008229C4"/>
    <w:rsid w:val="00822A8F"/>
    <w:rsid w:val="00822AA7"/>
    <w:rsid w:val="00822BF2"/>
    <w:rsid w:val="00822FA4"/>
    <w:rsid w:val="008234D5"/>
    <w:rsid w:val="00823673"/>
    <w:rsid w:val="00823712"/>
    <w:rsid w:val="008237A3"/>
    <w:rsid w:val="00823D0C"/>
    <w:rsid w:val="00823FBB"/>
    <w:rsid w:val="00823FE3"/>
    <w:rsid w:val="00824538"/>
    <w:rsid w:val="00824953"/>
    <w:rsid w:val="008249A7"/>
    <w:rsid w:val="00825228"/>
    <w:rsid w:val="008253C7"/>
    <w:rsid w:val="0082563E"/>
    <w:rsid w:val="008257E1"/>
    <w:rsid w:val="00825FD8"/>
    <w:rsid w:val="008265DE"/>
    <w:rsid w:val="00826777"/>
    <w:rsid w:val="00826971"/>
    <w:rsid w:val="00826B21"/>
    <w:rsid w:val="008270C9"/>
    <w:rsid w:val="00827530"/>
    <w:rsid w:val="008278C5"/>
    <w:rsid w:val="00827B21"/>
    <w:rsid w:val="00827D0B"/>
    <w:rsid w:val="00827D5E"/>
    <w:rsid w:val="00827E5F"/>
    <w:rsid w:val="0083006D"/>
    <w:rsid w:val="00830100"/>
    <w:rsid w:val="0083026E"/>
    <w:rsid w:val="008303AF"/>
    <w:rsid w:val="008305B1"/>
    <w:rsid w:val="00830A41"/>
    <w:rsid w:val="00830D83"/>
    <w:rsid w:val="00830F21"/>
    <w:rsid w:val="00831043"/>
    <w:rsid w:val="00831278"/>
    <w:rsid w:val="008312BC"/>
    <w:rsid w:val="00831360"/>
    <w:rsid w:val="00831540"/>
    <w:rsid w:val="00831556"/>
    <w:rsid w:val="00831577"/>
    <w:rsid w:val="00831655"/>
    <w:rsid w:val="008318E9"/>
    <w:rsid w:val="00831957"/>
    <w:rsid w:val="008319AC"/>
    <w:rsid w:val="00831AC3"/>
    <w:rsid w:val="00831AC7"/>
    <w:rsid w:val="00831AFC"/>
    <w:rsid w:val="00831F77"/>
    <w:rsid w:val="008322DE"/>
    <w:rsid w:val="00832791"/>
    <w:rsid w:val="008332C3"/>
    <w:rsid w:val="00833692"/>
    <w:rsid w:val="0083372B"/>
    <w:rsid w:val="00833905"/>
    <w:rsid w:val="00833C76"/>
    <w:rsid w:val="00833F62"/>
    <w:rsid w:val="0083444A"/>
    <w:rsid w:val="00834614"/>
    <w:rsid w:val="00834739"/>
    <w:rsid w:val="00834AA9"/>
    <w:rsid w:val="00834BF0"/>
    <w:rsid w:val="00834C2B"/>
    <w:rsid w:val="00834F11"/>
    <w:rsid w:val="0083501A"/>
    <w:rsid w:val="00835289"/>
    <w:rsid w:val="008353EA"/>
    <w:rsid w:val="008359A0"/>
    <w:rsid w:val="00835E08"/>
    <w:rsid w:val="00836013"/>
    <w:rsid w:val="00836049"/>
    <w:rsid w:val="00836314"/>
    <w:rsid w:val="00836318"/>
    <w:rsid w:val="00836C68"/>
    <w:rsid w:val="00836C74"/>
    <w:rsid w:val="00836EDD"/>
    <w:rsid w:val="00836F01"/>
    <w:rsid w:val="00837042"/>
    <w:rsid w:val="008377F6"/>
    <w:rsid w:val="00837B64"/>
    <w:rsid w:val="00837C0C"/>
    <w:rsid w:val="00837EF0"/>
    <w:rsid w:val="008400CA"/>
    <w:rsid w:val="008401C6"/>
    <w:rsid w:val="008401E4"/>
    <w:rsid w:val="00840215"/>
    <w:rsid w:val="00840247"/>
    <w:rsid w:val="008402BC"/>
    <w:rsid w:val="008406C5"/>
    <w:rsid w:val="0084082C"/>
    <w:rsid w:val="00840A47"/>
    <w:rsid w:val="00841176"/>
    <w:rsid w:val="008413A6"/>
    <w:rsid w:val="00841648"/>
    <w:rsid w:val="0084170D"/>
    <w:rsid w:val="00841E4F"/>
    <w:rsid w:val="00841F2F"/>
    <w:rsid w:val="008423BD"/>
    <w:rsid w:val="008425FE"/>
    <w:rsid w:val="0084296B"/>
    <w:rsid w:val="00842B81"/>
    <w:rsid w:val="00842CF2"/>
    <w:rsid w:val="00842D33"/>
    <w:rsid w:val="00842D3B"/>
    <w:rsid w:val="00843A70"/>
    <w:rsid w:val="00843AE1"/>
    <w:rsid w:val="00843C5B"/>
    <w:rsid w:val="00843CEB"/>
    <w:rsid w:val="00844072"/>
    <w:rsid w:val="008445C4"/>
    <w:rsid w:val="008447B7"/>
    <w:rsid w:val="008448D9"/>
    <w:rsid w:val="00844E8E"/>
    <w:rsid w:val="00844FD9"/>
    <w:rsid w:val="00845225"/>
    <w:rsid w:val="0084527B"/>
    <w:rsid w:val="0084532A"/>
    <w:rsid w:val="008455E8"/>
    <w:rsid w:val="00845A0B"/>
    <w:rsid w:val="00846056"/>
    <w:rsid w:val="008463C1"/>
    <w:rsid w:val="0084653D"/>
    <w:rsid w:val="008466C9"/>
    <w:rsid w:val="00846C1B"/>
    <w:rsid w:val="00846D02"/>
    <w:rsid w:val="00846F76"/>
    <w:rsid w:val="008474A7"/>
    <w:rsid w:val="00847B9E"/>
    <w:rsid w:val="00847D65"/>
    <w:rsid w:val="00847D6F"/>
    <w:rsid w:val="00847FA0"/>
    <w:rsid w:val="0085026E"/>
    <w:rsid w:val="00850336"/>
    <w:rsid w:val="008506EC"/>
    <w:rsid w:val="0085083E"/>
    <w:rsid w:val="008509B9"/>
    <w:rsid w:val="00850A23"/>
    <w:rsid w:val="00850AF2"/>
    <w:rsid w:val="00850C63"/>
    <w:rsid w:val="00850C96"/>
    <w:rsid w:val="00850ED4"/>
    <w:rsid w:val="0085139B"/>
    <w:rsid w:val="00851674"/>
    <w:rsid w:val="00851979"/>
    <w:rsid w:val="00851981"/>
    <w:rsid w:val="00851B82"/>
    <w:rsid w:val="00851E55"/>
    <w:rsid w:val="00851F7D"/>
    <w:rsid w:val="00852080"/>
    <w:rsid w:val="008520A5"/>
    <w:rsid w:val="00852766"/>
    <w:rsid w:val="00852960"/>
    <w:rsid w:val="00852964"/>
    <w:rsid w:val="00852E54"/>
    <w:rsid w:val="00852F9B"/>
    <w:rsid w:val="00853018"/>
    <w:rsid w:val="0085309E"/>
    <w:rsid w:val="008538B7"/>
    <w:rsid w:val="00853D5D"/>
    <w:rsid w:val="008543B1"/>
    <w:rsid w:val="0085469E"/>
    <w:rsid w:val="00854CAB"/>
    <w:rsid w:val="00854D4C"/>
    <w:rsid w:val="00854E61"/>
    <w:rsid w:val="0085505F"/>
    <w:rsid w:val="0085524A"/>
    <w:rsid w:val="00855698"/>
    <w:rsid w:val="00855867"/>
    <w:rsid w:val="00855968"/>
    <w:rsid w:val="00855B14"/>
    <w:rsid w:val="00856453"/>
    <w:rsid w:val="008564D0"/>
    <w:rsid w:val="008567F9"/>
    <w:rsid w:val="0085686E"/>
    <w:rsid w:val="00856B1C"/>
    <w:rsid w:val="00856DAD"/>
    <w:rsid w:val="0085709D"/>
    <w:rsid w:val="00857182"/>
    <w:rsid w:val="008575C5"/>
    <w:rsid w:val="00857BB7"/>
    <w:rsid w:val="00857C78"/>
    <w:rsid w:val="00857DD4"/>
    <w:rsid w:val="00857EF0"/>
    <w:rsid w:val="00857FA4"/>
    <w:rsid w:val="00860187"/>
    <w:rsid w:val="00860259"/>
    <w:rsid w:val="0086031B"/>
    <w:rsid w:val="00860F28"/>
    <w:rsid w:val="00861122"/>
    <w:rsid w:val="008612A8"/>
    <w:rsid w:val="0086168B"/>
    <w:rsid w:val="00861FF0"/>
    <w:rsid w:val="008620F1"/>
    <w:rsid w:val="008623FE"/>
    <w:rsid w:val="00862478"/>
    <w:rsid w:val="0086291A"/>
    <w:rsid w:val="00862B69"/>
    <w:rsid w:val="00862C5E"/>
    <w:rsid w:val="00862CDF"/>
    <w:rsid w:val="00862E97"/>
    <w:rsid w:val="00863026"/>
    <w:rsid w:val="0086344C"/>
    <w:rsid w:val="008634DD"/>
    <w:rsid w:val="008634FE"/>
    <w:rsid w:val="00863D05"/>
    <w:rsid w:val="0086419D"/>
    <w:rsid w:val="008644E4"/>
    <w:rsid w:val="00864749"/>
    <w:rsid w:val="008648E5"/>
    <w:rsid w:val="00864A45"/>
    <w:rsid w:val="00864AAB"/>
    <w:rsid w:val="00864C49"/>
    <w:rsid w:val="008652A2"/>
    <w:rsid w:val="00865361"/>
    <w:rsid w:val="00865553"/>
    <w:rsid w:val="008655F9"/>
    <w:rsid w:val="00865671"/>
    <w:rsid w:val="00865939"/>
    <w:rsid w:val="00865A7E"/>
    <w:rsid w:val="00865B99"/>
    <w:rsid w:val="008661FA"/>
    <w:rsid w:val="00866222"/>
    <w:rsid w:val="00866232"/>
    <w:rsid w:val="00866317"/>
    <w:rsid w:val="008663E1"/>
    <w:rsid w:val="0086674C"/>
    <w:rsid w:val="00866B27"/>
    <w:rsid w:val="00866E8F"/>
    <w:rsid w:val="00866FF2"/>
    <w:rsid w:val="00867060"/>
    <w:rsid w:val="0086737C"/>
    <w:rsid w:val="00867450"/>
    <w:rsid w:val="00867564"/>
    <w:rsid w:val="00867695"/>
    <w:rsid w:val="008676FB"/>
    <w:rsid w:val="00867959"/>
    <w:rsid w:val="00867994"/>
    <w:rsid w:val="00867B02"/>
    <w:rsid w:val="00867B0B"/>
    <w:rsid w:val="00867B6D"/>
    <w:rsid w:val="00867BB7"/>
    <w:rsid w:val="00867E67"/>
    <w:rsid w:val="00870F87"/>
    <w:rsid w:val="008711FD"/>
    <w:rsid w:val="008713E8"/>
    <w:rsid w:val="00871655"/>
    <w:rsid w:val="0087173E"/>
    <w:rsid w:val="00871B54"/>
    <w:rsid w:val="00871D55"/>
    <w:rsid w:val="00872264"/>
    <w:rsid w:val="00872392"/>
    <w:rsid w:val="0087274F"/>
    <w:rsid w:val="008727F6"/>
    <w:rsid w:val="0087299E"/>
    <w:rsid w:val="00872C94"/>
    <w:rsid w:val="00872D90"/>
    <w:rsid w:val="00872FEA"/>
    <w:rsid w:val="0087307E"/>
    <w:rsid w:val="008737AB"/>
    <w:rsid w:val="0087384E"/>
    <w:rsid w:val="00873EC2"/>
    <w:rsid w:val="00874058"/>
    <w:rsid w:val="008742E7"/>
    <w:rsid w:val="008742EF"/>
    <w:rsid w:val="00874481"/>
    <w:rsid w:val="00875071"/>
    <w:rsid w:val="008750F1"/>
    <w:rsid w:val="00875196"/>
    <w:rsid w:val="008756D9"/>
    <w:rsid w:val="0087581A"/>
    <w:rsid w:val="0087596C"/>
    <w:rsid w:val="00875C26"/>
    <w:rsid w:val="00875E39"/>
    <w:rsid w:val="00875E4F"/>
    <w:rsid w:val="00875E50"/>
    <w:rsid w:val="00875E7E"/>
    <w:rsid w:val="00876181"/>
    <w:rsid w:val="008766C9"/>
    <w:rsid w:val="00876D17"/>
    <w:rsid w:val="00876FFA"/>
    <w:rsid w:val="008775A8"/>
    <w:rsid w:val="0087785E"/>
    <w:rsid w:val="00877A0C"/>
    <w:rsid w:val="00877B8E"/>
    <w:rsid w:val="008801E5"/>
    <w:rsid w:val="008802C6"/>
    <w:rsid w:val="0088061F"/>
    <w:rsid w:val="0088066C"/>
    <w:rsid w:val="008806C9"/>
    <w:rsid w:val="00880C5F"/>
    <w:rsid w:val="00880E13"/>
    <w:rsid w:val="00880F56"/>
    <w:rsid w:val="00881280"/>
    <w:rsid w:val="00881368"/>
    <w:rsid w:val="008814E3"/>
    <w:rsid w:val="0088157A"/>
    <w:rsid w:val="00881757"/>
    <w:rsid w:val="008817BE"/>
    <w:rsid w:val="00881B3E"/>
    <w:rsid w:val="00881BA9"/>
    <w:rsid w:val="00881ED6"/>
    <w:rsid w:val="008820E4"/>
    <w:rsid w:val="00882381"/>
    <w:rsid w:val="00882615"/>
    <w:rsid w:val="00882E0E"/>
    <w:rsid w:val="00883020"/>
    <w:rsid w:val="008836A1"/>
    <w:rsid w:val="0088384D"/>
    <w:rsid w:val="008838D6"/>
    <w:rsid w:val="00883CD4"/>
    <w:rsid w:val="00883D91"/>
    <w:rsid w:val="008842E0"/>
    <w:rsid w:val="00884355"/>
    <w:rsid w:val="008849B3"/>
    <w:rsid w:val="00884C57"/>
    <w:rsid w:val="00884E3B"/>
    <w:rsid w:val="0088528B"/>
    <w:rsid w:val="008853B9"/>
    <w:rsid w:val="00885405"/>
    <w:rsid w:val="008856CE"/>
    <w:rsid w:val="00885A48"/>
    <w:rsid w:val="00885DE9"/>
    <w:rsid w:val="00885E26"/>
    <w:rsid w:val="00885FA5"/>
    <w:rsid w:val="00885FE4"/>
    <w:rsid w:val="0088674C"/>
    <w:rsid w:val="008869E1"/>
    <w:rsid w:val="00886A1E"/>
    <w:rsid w:val="00886A6D"/>
    <w:rsid w:val="00886B18"/>
    <w:rsid w:val="00886B4B"/>
    <w:rsid w:val="008871C6"/>
    <w:rsid w:val="00887485"/>
    <w:rsid w:val="008876CC"/>
    <w:rsid w:val="0088773B"/>
    <w:rsid w:val="008877A3"/>
    <w:rsid w:val="00887CE7"/>
    <w:rsid w:val="00887E83"/>
    <w:rsid w:val="00887EC4"/>
    <w:rsid w:val="0089048B"/>
    <w:rsid w:val="00890DC2"/>
    <w:rsid w:val="00890DE1"/>
    <w:rsid w:val="00890F0D"/>
    <w:rsid w:val="0089103E"/>
    <w:rsid w:val="0089196B"/>
    <w:rsid w:val="0089199C"/>
    <w:rsid w:val="008919FB"/>
    <w:rsid w:val="00891BED"/>
    <w:rsid w:val="00891C22"/>
    <w:rsid w:val="00891CCC"/>
    <w:rsid w:val="00891E49"/>
    <w:rsid w:val="00892027"/>
    <w:rsid w:val="00892072"/>
    <w:rsid w:val="008920F6"/>
    <w:rsid w:val="0089278D"/>
    <w:rsid w:val="0089300D"/>
    <w:rsid w:val="00893245"/>
    <w:rsid w:val="008935B7"/>
    <w:rsid w:val="0089385D"/>
    <w:rsid w:val="008938C0"/>
    <w:rsid w:val="00893E44"/>
    <w:rsid w:val="0089427B"/>
    <w:rsid w:val="008943B1"/>
    <w:rsid w:val="00894416"/>
    <w:rsid w:val="0089496F"/>
    <w:rsid w:val="00894B0A"/>
    <w:rsid w:val="00894B0D"/>
    <w:rsid w:val="00894D38"/>
    <w:rsid w:val="00894D8A"/>
    <w:rsid w:val="00894F0E"/>
    <w:rsid w:val="0089523E"/>
    <w:rsid w:val="008956B7"/>
    <w:rsid w:val="008957BE"/>
    <w:rsid w:val="00895CBC"/>
    <w:rsid w:val="00895DDC"/>
    <w:rsid w:val="00895EF2"/>
    <w:rsid w:val="0089601F"/>
    <w:rsid w:val="0089693A"/>
    <w:rsid w:val="00896CBB"/>
    <w:rsid w:val="00896DA7"/>
    <w:rsid w:val="00896EEA"/>
    <w:rsid w:val="00896F9B"/>
    <w:rsid w:val="0089734C"/>
    <w:rsid w:val="00897A05"/>
    <w:rsid w:val="00897A89"/>
    <w:rsid w:val="00897C56"/>
    <w:rsid w:val="008A0198"/>
    <w:rsid w:val="008A01BA"/>
    <w:rsid w:val="008A0403"/>
    <w:rsid w:val="008A0700"/>
    <w:rsid w:val="008A07DD"/>
    <w:rsid w:val="008A0947"/>
    <w:rsid w:val="008A119C"/>
    <w:rsid w:val="008A12C8"/>
    <w:rsid w:val="008A1334"/>
    <w:rsid w:val="008A13A5"/>
    <w:rsid w:val="008A158D"/>
    <w:rsid w:val="008A1A14"/>
    <w:rsid w:val="008A1CF3"/>
    <w:rsid w:val="008A1D03"/>
    <w:rsid w:val="008A1D88"/>
    <w:rsid w:val="008A1F80"/>
    <w:rsid w:val="008A2150"/>
    <w:rsid w:val="008A22E2"/>
    <w:rsid w:val="008A22E5"/>
    <w:rsid w:val="008A2456"/>
    <w:rsid w:val="008A269A"/>
    <w:rsid w:val="008A2783"/>
    <w:rsid w:val="008A2A63"/>
    <w:rsid w:val="008A30FD"/>
    <w:rsid w:val="008A37BD"/>
    <w:rsid w:val="008A3955"/>
    <w:rsid w:val="008A417E"/>
    <w:rsid w:val="008A41BC"/>
    <w:rsid w:val="008A424A"/>
    <w:rsid w:val="008A4436"/>
    <w:rsid w:val="008A45C2"/>
    <w:rsid w:val="008A4710"/>
    <w:rsid w:val="008A4A1C"/>
    <w:rsid w:val="008A4B5B"/>
    <w:rsid w:val="008A4E2A"/>
    <w:rsid w:val="008A4EE3"/>
    <w:rsid w:val="008A5586"/>
    <w:rsid w:val="008A55DD"/>
    <w:rsid w:val="008A5A3C"/>
    <w:rsid w:val="008A5CB8"/>
    <w:rsid w:val="008A5FEB"/>
    <w:rsid w:val="008A6009"/>
    <w:rsid w:val="008A6488"/>
    <w:rsid w:val="008A6B40"/>
    <w:rsid w:val="008A6FCF"/>
    <w:rsid w:val="008A77EC"/>
    <w:rsid w:val="008A7D51"/>
    <w:rsid w:val="008B013C"/>
    <w:rsid w:val="008B047F"/>
    <w:rsid w:val="008B06B1"/>
    <w:rsid w:val="008B07F1"/>
    <w:rsid w:val="008B07FF"/>
    <w:rsid w:val="008B0B40"/>
    <w:rsid w:val="008B0E35"/>
    <w:rsid w:val="008B0E9A"/>
    <w:rsid w:val="008B1100"/>
    <w:rsid w:val="008B12B3"/>
    <w:rsid w:val="008B1359"/>
    <w:rsid w:val="008B1C35"/>
    <w:rsid w:val="008B1D88"/>
    <w:rsid w:val="008B223F"/>
    <w:rsid w:val="008B2361"/>
    <w:rsid w:val="008B2494"/>
    <w:rsid w:val="008B2C1F"/>
    <w:rsid w:val="008B38ED"/>
    <w:rsid w:val="008B3AC5"/>
    <w:rsid w:val="008B3AD3"/>
    <w:rsid w:val="008B3CB3"/>
    <w:rsid w:val="008B3D06"/>
    <w:rsid w:val="008B4226"/>
    <w:rsid w:val="008B44C2"/>
    <w:rsid w:val="008B470B"/>
    <w:rsid w:val="008B4EEF"/>
    <w:rsid w:val="008B5082"/>
    <w:rsid w:val="008B5283"/>
    <w:rsid w:val="008B5317"/>
    <w:rsid w:val="008B5458"/>
    <w:rsid w:val="008B587C"/>
    <w:rsid w:val="008B5A1A"/>
    <w:rsid w:val="008B5CC1"/>
    <w:rsid w:val="008B5D86"/>
    <w:rsid w:val="008B617F"/>
    <w:rsid w:val="008B682B"/>
    <w:rsid w:val="008B6C2D"/>
    <w:rsid w:val="008B6F01"/>
    <w:rsid w:val="008B7882"/>
    <w:rsid w:val="008B78EE"/>
    <w:rsid w:val="008B7AF5"/>
    <w:rsid w:val="008B7B9A"/>
    <w:rsid w:val="008B7B9E"/>
    <w:rsid w:val="008B7EE8"/>
    <w:rsid w:val="008C0060"/>
    <w:rsid w:val="008C01DF"/>
    <w:rsid w:val="008C0325"/>
    <w:rsid w:val="008C06F4"/>
    <w:rsid w:val="008C086B"/>
    <w:rsid w:val="008C0D07"/>
    <w:rsid w:val="008C1251"/>
    <w:rsid w:val="008C12E1"/>
    <w:rsid w:val="008C1799"/>
    <w:rsid w:val="008C19B0"/>
    <w:rsid w:val="008C1ACE"/>
    <w:rsid w:val="008C1C0A"/>
    <w:rsid w:val="008C2004"/>
    <w:rsid w:val="008C26CA"/>
    <w:rsid w:val="008C2777"/>
    <w:rsid w:val="008C27F4"/>
    <w:rsid w:val="008C2CE1"/>
    <w:rsid w:val="008C2EAE"/>
    <w:rsid w:val="008C2F51"/>
    <w:rsid w:val="008C2FB9"/>
    <w:rsid w:val="008C3168"/>
    <w:rsid w:val="008C44A9"/>
    <w:rsid w:val="008C4B30"/>
    <w:rsid w:val="008C4B5D"/>
    <w:rsid w:val="008C51A7"/>
    <w:rsid w:val="008C523E"/>
    <w:rsid w:val="008C5315"/>
    <w:rsid w:val="008C5467"/>
    <w:rsid w:val="008C54FA"/>
    <w:rsid w:val="008C566F"/>
    <w:rsid w:val="008C5767"/>
    <w:rsid w:val="008C5BCB"/>
    <w:rsid w:val="008C5FA2"/>
    <w:rsid w:val="008C603D"/>
    <w:rsid w:val="008C6219"/>
    <w:rsid w:val="008C6343"/>
    <w:rsid w:val="008C6462"/>
    <w:rsid w:val="008C68C6"/>
    <w:rsid w:val="008C69DA"/>
    <w:rsid w:val="008C6EE4"/>
    <w:rsid w:val="008C6FE9"/>
    <w:rsid w:val="008C764B"/>
    <w:rsid w:val="008C7703"/>
    <w:rsid w:val="008C7927"/>
    <w:rsid w:val="008C7BB7"/>
    <w:rsid w:val="008C7D69"/>
    <w:rsid w:val="008D00A8"/>
    <w:rsid w:val="008D02A5"/>
    <w:rsid w:val="008D02F8"/>
    <w:rsid w:val="008D03D7"/>
    <w:rsid w:val="008D044D"/>
    <w:rsid w:val="008D0537"/>
    <w:rsid w:val="008D0DB9"/>
    <w:rsid w:val="008D1077"/>
    <w:rsid w:val="008D10BB"/>
    <w:rsid w:val="008D1A00"/>
    <w:rsid w:val="008D1C20"/>
    <w:rsid w:val="008D2433"/>
    <w:rsid w:val="008D2502"/>
    <w:rsid w:val="008D267C"/>
    <w:rsid w:val="008D274B"/>
    <w:rsid w:val="008D2AE7"/>
    <w:rsid w:val="008D2C8B"/>
    <w:rsid w:val="008D2D98"/>
    <w:rsid w:val="008D2E10"/>
    <w:rsid w:val="008D347D"/>
    <w:rsid w:val="008D3D40"/>
    <w:rsid w:val="008D3F48"/>
    <w:rsid w:val="008D3F54"/>
    <w:rsid w:val="008D4210"/>
    <w:rsid w:val="008D45C7"/>
    <w:rsid w:val="008D4641"/>
    <w:rsid w:val="008D4948"/>
    <w:rsid w:val="008D4D73"/>
    <w:rsid w:val="008D50AA"/>
    <w:rsid w:val="008D58D1"/>
    <w:rsid w:val="008D5CAF"/>
    <w:rsid w:val="008D652C"/>
    <w:rsid w:val="008D68BD"/>
    <w:rsid w:val="008D7372"/>
    <w:rsid w:val="008D7432"/>
    <w:rsid w:val="008D745F"/>
    <w:rsid w:val="008D7767"/>
    <w:rsid w:val="008D779E"/>
    <w:rsid w:val="008D7849"/>
    <w:rsid w:val="008D788C"/>
    <w:rsid w:val="008D794E"/>
    <w:rsid w:val="008E002F"/>
    <w:rsid w:val="008E01D2"/>
    <w:rsid w:val="008E0325"/>
    <w:rsid w:val="008E0967"/>
    <w:rsid w:val="008E09A0"/>
    <w:rsid w:val="008E0ABE"/>
    <w:rsid w:val="008E0E48"/>
    <w:rsid w:val="008E1278"/>
    <w:rsid w:val="008E18E2"/>
    <w:rsid w:val="008E1BE4"/>
    <w:rsid w:val="008E1D9C"/>
    <w:rsid w:val="008E1FE9"/>
    <w:rsid w:val="008E286B"/>
    <w:rsid w:val="008E2C5A"/>
    <w:rsid w:val="008E2FAE"/>
    <w:rsid w:val="008E2FB1"/>
    <w:rsid w:val="008E3112"/>
    <w:rsid w:val="008E3183"/>
    <w:rsid w:val="008E327E"/>
    <w:rsid w:val="008E32EB"/>
    <w:rsid w:val="008E3375"/>
    <w:rsid w:val="008E337E"/>
    <w:rsid w:val="008E3441"/>
    <w:rsid w:val="008E361F"/>
    <w:rsid w:val="008E38F6"/>
    <w:rsid w:val="008E3A02"/>
    <w:rsid w:val="008E3BC1"/>
    <w:rsid w:val="008E3E96"/>
    <w:rsid w:val="008E4102"/>
    <w:rsid w:val="008E4251"/>
    <w:rsid w:val="008E42B2"/>
    <w:rsid w:val="008E438C"/>
    <w:rsid w:val="008E45A5"/>
    <w:rsid w:val="008E4C9C"/>
    <w:rsid w:val="008E51F7"/>
    <w:rsid w:val="008E5412"/>
    <w:rsid w:val="008E5583"/>
    <w:rsid w:val="008E5619"/>
    <w:rsid w:val="008E5757"/>
    <w:rsid w:val="008E5967"/>
    <w:rsid w:val="008E5B7E"/>
    <w:rsid w:val="008E5BC1"/>
    <w:rsid w:val="008E5FF1"/>
    <w:rsid w:val="008E6169"/>
    <w:rsid w:val="008E6459"/>
    <w:rsid w:val="008E65E9"/>
    <w:rsid w:val="008E6B05"/>
    <w:rsid w:val="008E6BF4"/>
    <w:rsid w:val="008E732B"/>
    <w:rsid w:val="008E7642"/>
    <w:rsid w:val="008E793A"/>
    <w:rsid w:val="008F0264"/>
    <w:rsid w:val="008F0A49"/>
    <w:rsid w:val="008F0A92"/>
    <w:rsid w:val="008F0E06"/>
    <w:rsid w:val="008F190C"/>
    <w:rsid w:val="008F191C"/>
    <w:rsid w:val="008F1B5B"/>
    <w:rsid w:val="008F1BF8"/>
    <w:rsid w:val="008F21D4"/>
    <w:rsid w:val="008F2336"/>
    <w:rsid w:val="008F25A6"/>
    <w:rsid w:val="008F275A"/>
    <w:rsid w:val="008F275D"/>
    <w:rsid w:val="008F2916"/>
    <w:rsid w:val="008F2C92"/>
    <w:rsid w:val="008F30F7"/>
    <w:rsid w:val="008F3562"/>
    <w:rsid w:val="008F361D"/>
    <w:rsid w:val="008F3785"/>
    <w:rsid w:val="008F38A9"/>
    <w:rsid w:val="008F3B32"/>
    <w:rsid w:val="008F3BE4"/>
    <w:rsid w:val="008F3CEE"/>
    <w:rsid w:val="008F3D14"/>
    <w:rsid w:val="008F3ED2"/>
    <w:rsid w:val="008F4089"/>
    <w:rsid w:val="008F41FC"/>
    <w:rsid w:val="008F46A8"/>
    <w:rsid w:val="008F48ED"/>
    <w:rsid w:val="008F4A71"/>
    <w:rsid w:val="008F4D90"/>
    <w:rsid w:val="008F5173"/>
    <w:rsid w:val="008F5772"/>
    <w:rsid w:val="008F5C62"/>
    <w:rsid w:val="008F6320"/>
    <w:rsid w:val="008F637F"/>
    <w:rsid w:val="008F6407"/>
    <w:rsid w:val="008F654B"/>
    <w:rsid w:val="008F65FC"/>
    <w:rsid w:val="008F6654"/>
    <w:rsid w:val="008F6711"/>
    <w:rsid w:val="008F68BF"/>
    <w:rsid w:val="008F69AE"/>
    <w:rsid w:val="008F6BB8"/>
    <w:rsid w:val="008F6BFA"/>
    <w:rsid w:val="008F73E7"/>
    <w:rsid w:val="008F76AA"/>
    <w:rsid w:val="008F7780"/>
    <w:rsid w:val="008F79B9"/>
    <w:rsid w:val="008F7A1F"/>
    <w:rsid w:val="008F7A66"/>
    <w:rsid w:val="008F7B9B"/>
    <w:rsid w:val="008F7D04"/>
    <w:rsid w:val="008F7F21"/>
    <w:rsid w:val="009002ED"/>
    <w:rsid w:val="009004B3"/>
    <w:rsid w:val="009013CE"/>
    <w:rsid w:val="00901601"/>
    <w:rsid w:val="0090174E"/>
    <w:rsid w:val="00901828"/>
    <w:rsid w:val="00901854"/>
    <w:rsid w:val="00902099"/>
    <w:rsid w:val="0090209C"/>
    <w:rsid w:val="009020B6"/>
    <w:rsid w:val="00902352"/>
    <w:rsid w:val="009024D8"/>
    <w:rsid w:val="00902655"/>
    <w:rsid w:val="00902A50"/>
    <w:rsid w:val="00902B14"/>
    <w:rsid w:val="00902D44"/>
    <w:rsid w:val="00902EE5"/>
    <w:rsid w:val="00902EF4"/>
    <w:rsid w:val="009039BB"/>
    <w:rsid w:val="00903A74"/>
    <w:rsid w:val="00903B08"/>
    <w:rsid w:val="00903D0A"/>
    <w:rsid w:val="00904554"/>
    <w:rsid w:val="009047E5"/>
    <w:rsid w:val="009049C3"/>
    <w:rsid w:val="009049F9"/>
    <w:rsid w:val="00904AE8"/>
    <w:rsid w:val="00904CF2"/>
    <w:rsid w:val="00904DCE"/>
    <w:rsid w:val="00904E92"/>
    <w:rsid w:val="00904FA6"/>
    <w:rsid w:val="00905768"/>
    <w:rsid w:val="00905B92"/>
    <w:rsid w:val="00905E03"/>
    <w:rsid w:val="00905ED4"/>
    <w:rsid w:val="00905F5B"/>
    <w:rsid w:val="00906171"/>
    <w:rsid w:val="009064D3"/>
    <w:rsid w:val="00906B94"/>
    <w:rsid w:val="00906C4B"/>
    <w:rsid w:val="00906CA4"/>
    <w:rsid w:val="00906D61"/>
    <w:rsid w:val="00906DAB"/>
    <w:rsid w:val="00906F62"/>
    <w:rsid w:val="00907117"/>
    <w:rsid w:val="00907177"/>
    <w:rsid w:val="009073F6"/>
    <w:rsid w:val="009079DF"/>
    <w:rsid w:val="00907B03"/>
    <w:rsid w:val="00907D7B"/>
    <w:rsid w:val="00907F9F"/>
    <w:rsid w:val="00910446"/>
    <w:rsid w:val="009104E9"/>
    <w:rsid w:val="0091051D"/>
    <w:rsid w:val="00910577"/>
    <w:rsid w:val="00910612"/>
    <w:rsid w:val="00910887"/>
    <w:rsid w:val="00910A76"/>
    <w:rsid w:val="00910B2E"/>
    <w:rsid w:val="00910C7C"/>
    <w:rsid w:val="00910D55"/>
    <w:rsid w:val="009113B9"/>
    <w:rsid w:val="009114CF"/>
    <w:rsid w:val="009116A6"/>
    <w:rsid w:val="00911748"/>
    <w:rsid w:val="0091178F"/>
    <w:rsid w:val="00911A79"/>
    <w:rsid w:val="00911E6C"/>
    <w:rsid w:val="00911E96"/>
    <w:rsid w:val="0091212F"/>
    <w:rsid w:val="009121B9"/>
    <w:rsid w:val="0091261C"/>
    <w:rsid w:val="0091277A"/>
    <w:rsid w:val="0091279B"/>
    <w:rsid w:val="00912B78"/>
    <w:rsid w:val="00912D65"/>
    <w:rsid w:val="00912FB9"/>
    <w:rsid w:val="009130B5"/>
    <w:rsid w:val="009134FE"/>
    <w:rsid w:val="00913839"/>
    <w:rsid w:val="009138FC"/>
    <w:rsid w:val="00913DE8"/>
    <w:rsid w:val="00914109"/>
    <w:rsid w:val="009142B6"/>
    <w:rsid w:val="009144C5"/>
    <w:rsid w:val="009144CE"/>
    <w:rsid w:val="009149A4"/>
    <w:rsid w:val="009149CB"/>
    <w:rsid w:val="00914D24"/>
    <w:rsid w:val="00914F08"/>
    <w:rsid w:val="00915949"/>
    <w:rsid w:val="00915AEC"/>
    <w:rsid w:val="00916034"/>
    <w:rsid w:val="009160B9"/>
    <w:rsid w:val="009164D3"/>
    <w:rsid w:val="00916925"/>
    <w:rsid w:val="00916F6E"/>
    <w:rsid w:val="00917325"/>
    <w:rsid w:val="0091735E"/>
    <w:rsid w:val="009174F2"/>
    <w:rsid w:val="0091777D"/>
    <w:rsid w:val="00917D61"/>
    <w:rsid w:val="00917F5E"/>
    <w:rsid w:val="009200D1"/>
    <w:rsid w:val="009203B9"/>
    <w:rsid w:val="00920442"/>
    <w:rsid w:val="00920E97"/>
    <w:rsid w:val="00921081"/>
    <w:rsid w:val="0092130E"/>
    <w:rsid w:val="00921610"/>
    <w:rsid w:val="009219D0"/>
    <w:rsid w:val="00921C9A"/>
    <w:rsid w:val="00921F9B"/>
    <w:rsid w:val="0092202E"/>
    <w:rsid w:val="0092207F"/>
    <w:rsid w:val="009224CD"/>
    <w:rsid w:val="00922A74"/>
    <w:rsid w:val="00922ABD"/>
    <w:rsid w:val="00922EAE"/>
    <w:rsid w:val="00923066"/>
    <w:rsid w:val="00923369"/>
    <w:rsid w:val="00923614"/>
    <w:rsid w:val="00923A17"/>
    <w:rsid w:val="00923A22"/>
    <w:rsid w:val="00923B13"/>
    <w:rsid w:val="00923EE5"/>
    <w:rsid w:val="00923F12"/>
    <w:rsid w:val="0092418B"/>
    <w:rsid w:val="009243EC"/>
    <w:rsid w:val="009245B0"/>
    <w:rsid w:val="009245EF"/>
    <w:rsid w:val="009247CC"/>
    <w:rsid w:val="009248DC"/>
    <w:rsid w:val="00924B4E"/>
    <w:rsid w:val="00924BCF"/>
    <w:rsid w:val="00924E83"/>
    <w:rsid w:val="009256D0"/>
    <w:rsid w:val="0092591A"/>
    <w:rsid w:val="00925E8A"/>
    <w:rsid w:val="0092600B"/>
    <w:rsid w:val="0092641E"/>
    <w:rsid w:val="009265E2"/>
    <w:rsid w:val="00926856"/>
    <w:rsid w:val="00926A92"/>
    <w:rsid w:val="009271C2"/>
    <w:rsid w:val="00927850"/>
    <w:rsid w:val="00927889"/>
    <w:rsid w:val="00927929"/>
    <w:rsid w:val="00927AC5"/>
    <w:rsid w:val="00930190"/>
    <w:rsid w:val="009301E6"/>
    <w:rsid w:val="00930276"/>
    <w:rsid w:val="0093037F"/>
    <w:rsid w:val="0093057A"/>
    <w:rsid w:val="00930582"/>
    <w:rsid w:val="00930810"/>
    <w:rsid w:val="009309DC"/>
    <w:rsid w:val="00930BD5"/>
    <w:rsid w:val="009314BD"/>
    <w:rsid w:val="0093151B"/>
    <w:rsid w:val="009318CF"/>
    <w:rsid w:val="009318D7"/>
    <w:rsid w:val="0093198D"/>
    <w:rsid w:val="00931AEB"/>
    <w:rsid w:val="00931E80"/>
    <w:rsid w:val="00932062"/>
    <w:rsid w:val="009320BF"/>
    <w:rsid w:val="00932248"/>
    <w:rsid w:val="00932A5E"/>
    <w:rsid w:val="00932F14"/>
    <w:rsid w:val="00932F28"/>
    <w:rsid w:val="00932FAE"/>
    <w:rsid w:val="00933276"/>
    <w:rsid w:val="009333BE"/>
    <w:rsid w:val="00933412"/>
    <w:rsid w:val="00933445"/>
    <w:rsid w:val="009334AA"/>
    <w:rsid w:val="009337E4"/>
    <w:rsid w:val="009338B6"/>
    <w:rsid w:val="009339BD"/>
    <w:rsid w:val="00933C71"/>
    <w:rsid w:val="00934223"/>
    <w:rsid w:val="00934228"/>
    <w:rsid w:val="00934519"/>
    <w:rsid w:val="0093478F"/>
    <w:rsid w:val="009347BF"/>
    <w:rsid w:val="00934B87"/>
    <w:rsid w:val="00934CC6"/>
    <w:rsid w:val="00934DA2"/>
    <w:rsid w:val="00934ED7"/>
    <w:rsid w:val="0093508B"/>
    <w:rsid w:val="009353D3"/>
    <w:rsid w:val="009356AA"/>
    <w:rsid w:val="00935EF5"/>
    <w:rsid w:val="009361B2"/>
    <w:rsid w:val="00936361"/>
    <w:rsid w:val="009363AF"/>
    <w:rsid w:val="00936435"/>
    <w:rsid w:val="0093644E"/>
    <w:rsid w:val="009369E8"/>
    <w:rsid w:val="00936ACA"/>
    <w:rsid w:val="0093708C"/>
    <w:rsid w:val="009373C9"/>
    <w:rsid w:val="009375D9"/>
    <w:rsid w:val="00937653"/>
    <w:rsid w:val="009378AA"/>
    <w:rsid w:val="00937C53"/>
    <w:rsid w:val="00937F93"/>
    <w:rsid w:val="00937F96"/>
    <w:rsid w:val="00937FC7"/>
    <w:rsid w:val="0094016E"/>
    <w:rsid w:val="009402BD"/>
    <w:rsid w:val="00940420"/>
    <w:rsid w:val="00940459"/>
    <w:rsid w:val="00940752"/>
    <w:rsid w:val="00940DCD"/>
    <w:rsid w:val="00940FC7"/>
    <w:rsid w:val="00941501"/>
    <w:rsid w:val="00941C3C"/>
    <w:rsid w:val="00941FA7"/>
    <w:rsid w:val="00942058"/>
    <w:rsid w:val="00942676"/>
    <w:rsid w:val="00942792"/>
    <w:rsid w:val="009427BD"/>
    <w:rsid w:val="009427C1"/>
    <w:rsid w:val="00942A59"/>
    <w:rsid w:val="00942CBB"/>
    <w:rsid w:val="009432C8"/>
    <w:rsid w:val="009433AA"/>
    <w:rsid w:val="009436E5"/>
    <w:rsid w:val="00943826"/>
    <w:rsid w:val="0094383A"/>
    <w:rsid w:val="00943896"/>
    <w:rsid w:val="00943ABA"/>
    <w:rsid w:val="00943C30"/>
    <w:rsid w:val="009445E8"/>
    <w:rsid w:val="009445F7"/>
    <w:rsid w:val="00944738"/>
    <w:rsid w:val="00944782"/>
    <w:rsid w:val="00944E98"/>
    <w:rsid w:val="009450D3"/>
    <w:rsid w:val="00945B50"/>
    <w:rsid w:val="00945CF6"/>
    <w:rsid w:val="009460F8"/>
    <w:rsid w:val="00946165"/>
    <w:rsid w:val="00946228"/>
    <w:rsid w:val="0094624C"/>
    <w:rsid w:val="00946944"/>
    <w:rsid w:val="009469B1"/>
    <w:rsid w:val="00947005"/>
    <w:rsid w:val="00947011"/>
    <w:rsid w:val="009473BC"/>
    <w:rsid w:val="00947834"/>
    <w:rsid w:val="00947946"/>
    <w:rsid w:val="00947BE1"/>
    <w:rsid w:val="00947C0A"/>
    <w:rsid w:val="00947DD7"/>
    <w:rsid w:val="00950052"/>
    <w:rsid w:val="0095057C"/>
    <w:rsid w:val="009505A6"/>
    <w:rsid w:val="00950897"/>
    <w:rsid w:val="00950968"/>
    <w:rsid w:val="00950C14"/>
    <w:rsid w:val="00950C26"/>
    <w:rsid w:val="00950C3F"/>
    <w:rsid w:val="00950D8F"/>
    <w:rsid w:val="009513D3"/>
    <w:rsid w:val="009513FF"/>
    <w:rsid w:val="009516A3"/>
    <w:rsid w:val="009517A9"/>
    <w:rsid w:val="0095180E"/>
    <w:rsid w:val="009522DB"/>
    <w:rsid w:val="009522FC"/>
    <w:rsid w:val="009528BF"/>
    <w:rsid w:val="009529EB"/>
    <w:rsid w:val="00952A4E"/>
    <w:rsid w:val="00952E1E"/>
    <w:rsid w:val="0095324B"/>
    <w:rsid w:val="00953534"/>
    <w:rsid w:val="0095357D"/>
    <w:rsid w:val="0095359F"/>
    <w:rsid w:val="0095375C"/>
    <w:rsid w:val="0095397D"/>
    <w:rsid w:val="00953A3B"/>
    <w:rsid w:val="00953AB2"/>
    <w:rsid w:val="00953B0F"/>
    <w:rsid w:val="00953D49"/>
    <w:rsid w:val="00953E1B"/>
    <w:rsid w:val="00954348"/>
    <w:rsid w:val="00954447"/>
    <w:rsid w:val="00954783"/>
    <w:rsid w:val="00954A9A"/>
    <w:rsid w:val="00954B61"/>
    <w:rsid w:val="00954C5C"/>
    <w:rsid w:val="00954CF0"/>
    <w:rsid w:val="00955012"/>
    <w:rsid w:val="0095505E"/>
    <w:rsid w:val="00955366"/>
    <w:rsid w:val="009553C0"/>
    <w:rsid w:val="009553D2"/>
    <w:rsid w:val="009554EF"/>
    <w:rsid w:val="009557AB"/>
    <w:rsid w:val="009559D1"/>
    <w:rsid w:val="00955D10"/>
    <w:rsid w:val="00955E1D"/>
    <w:rsid w:val="00955F0E"/>
    <w:rsid w:val="00955F18"/>
    <w:rsid w:val="0095602D"/>
    <w:rsid w:val="00956AB3"/>
    <w:rsid w:val="00956B5E"/>
    <w:rsid w:val="00956D06"/>
    <w:rsid w:val="009574B4"/>
    <w:rsid w:val="009579BB"/>
    <w:rsid w:val="00957B45"/>
    <w:rsid w:val="009601A7"/>
    <w:rsid w:val="00960295"/>
    <w:rsid w:val="00960327"/>
    <w:rsid w:val="0096033E"/>
    <w:rsid w:val="0096059F"/>
    <w:rsid w:val="00960751"/>
    <w:rsid w:val="009608BE"/>
    <w:rsid w:val="009609AB"/>
    <w:rsid w:val="009609CE"/>
    <w:rsid w:val="00960ED4"/>
    <w:rsid w:val="009616A2"/>
    <w:rsid w:val="00961838"/>
    <w:rsid w:val="00961A16"/>
    <w:rsid w:val="00961FC5"/>
    <w:rsid w:val="009620CB"/>
    <w:rsid w:val="009621F0"/>
    <w:rsid w:val="00962382"/>
    <w:rsid w:val="0096262C"/>
    <w:rsid w:val="00962820"/>
    <w:rsid w:val="0096287D"/>
    <w:rsid w:val="00962A9C"/>
    <w:rsid w:val="00962D53"/>
    <w:rsid w:val="00962D72"/>
    <w:rsid w:val="00962E81"/>
    <w:rsid w:val="0096331E"/>
    <w:rsid w:val="00963594"/>
    <w:rsid w:val="009637CA"/>
    <w:rsid w:val="00963A74"/>
    <w:rsid w:val="00963BBD"/>
    <w:rsid w:val="00963C8D"/>
    <w:rsid w:val="00963EB4"/>
    <w:rsid w:val="0096430F"/>
    <w:rsid w:val="00964489"/>
    <w:rsid w:val="009652CA"/>
    <w:rsid w:val="00965739"/>
    <w:rsid w:val="0096591D"/>
    <w:rsid w:val="00965AAD"/>
    <w:rsid w:val="009662CE"/>
    <w:rsid w:val="00966687"/>
    <w:rsid w:val="009666C0"/>
    <w:rsid w:val="00966947"/>
    <w:rsid w:val="00966CD2"/>
    <w:rsid w:val="00966D00"/>
    <w:rsid w:val="0096711E"/>
    <w:rsid w:val="009672DB"/>
    <w:rsid w:val="009673C0"/>
    <w:rsid w:val="00967416"/>
    <w:rsid w:val="009675C1"/>
    <w:rsid w:val="009679AC"/>
    <w:rsid w:val="009702CA"/>
    <w:rsid w:val="00970B74"/>
    <w:rsid w:val="00970DBA"/>
    <w:rsid w:val="00971999"/>
    <w:rsid w:val="00971A60"/>
    <w:rsid w:val="0097281A"/>
    <w:rsid w:val="009729B6"/>
    <w:rsid w:val="00972C70"/>
    <w:rsid w:val="00972CA2"/>
    <w:rsid w:val="00972CED"/>
    <w:rsid w:val="00972D42"/>
    <w:rsid w:val="00972DE7"/>
    <w:rsid w:val="009730CB"/>
    <w:rsid w:val="0097374D"/>
    <w:rsid w:val="009739A5"/>
    <w:rsid w:val="00973FD8"/>
    <w:rsid w:val="009745CD"/>
    <w:rsid w:val="0097487E"/>
    <w:rsid w:val="009749D7"/>
    <w:rsid w:val="009750B3"/>
    <w:rsid w:val="00975133"/>
    <w:rsid w:val="0097544C"/>
    <w:rsid w:val="00975798"/>
    <w:rsid w:val="00975EF2"/>
    <w:rsid w:val="009762C1"/>
    <w:rsid w:val="0097639B"/>
    <w:rsid w:val="00976B5A"/>
    <w:rsid w:val="00976FE4"/>
    <w:rsid w:val="0097711D"/>
    <w:rsid w:val="00977187"/>
    <w:rsid w:val="00977683"/>
    <w:rsid w:val="00977865"/>
    <w:rsid w:val="00977B31"/>
    <w:rsid w:val="00977FEA"/>
    <w:rsid w:val="00980164"/>
    <w:rsid w:val="0098019A"/>
    <w:rsid w:val="0098049A"/>
    <w:rsid w:val="0098087B"/>
    <w:rsid w:val="00981D4E"/>
    <w:rsid w:val="00981EF9"/>
    <w:rsid w:val="00981F5F"/>
    <w:rsid w:val="0098222D"/>
    <w:rsid w:val="00982334"/>
    <w:rsid w:val="0098266A"/>
    <w:rsid w:val="00982821"/>
    <w:rsid w:val="00982889"/>
    <w:rsid w:val="00982A55"/>
    <w:rsid w:val="00982A58"/>
    <w:rsid w:val="00982CBB"/>
    <w:rsid w:val="00983008"/>
    <w:rsid w:val="0098314A"/>
    <w:rsid w:val="00983406"/>
    <w:rsid w:val="0098386B"/>
    <w:rsid w:val="00983CE4"/>
    <w:rsid w:val="00984044"/>
    <w:rsid w:val="00984555"/>
    <w:rsid w:val="0098457D"/>
    <w:rsid w:val="009845B4"/>
    <w:rsid w:val="0098484E"/>
    <w:rsid w:val="00984C5C"/>
    <w:rsid w:val="00984D9C"/>
    <w:rsid w:val="00984ED4"/>
    <w:rsid w:val="0098503B"/>
    <w:rsid w:val="009852FC"/>
    <w:rsid w:val="0098545D"/>
    <w:rsid w:val="0098558B"/>
    <w:rsid w:val="009856EA"/>
    <w:rsid w:val="00985845"/>
    <w:rsid w:val="00985AD3"/>
    <w:rsid w:val="00985CF6"/>
    <w:rsid w:val="009861AD"/>
    <w:rsid w:val="0098646A"/>
    <w:rsid w:val="00986AA3"/>
    <w:rsid w:val="00986AAC"/>
    <w:rsid w:val="00986DB0"/>
    <w:rsid w:val="00986FC9"/>
    <w:rsid w:val="00987311"/>
    <w:rsid w:val="0098783D"/>
    <w:rsid w:val="0098790A"/>
    <w:rsid w:val="00987A08"/>
    <w:rsid w:val="00987E8C"/>
    <w:rsid w:val="009903CD"/>
    <w:rsid w:val="00990472"/>
    <w:rsid w:val="00990BE3"/>
    <w:rsid w:val="00990DE4"/>
    <w:rsid w:val="00990E0A"/>
    <w:rsid w:val="00990E49"/>
    <w:rsid w:val="00991283"/>
    <w:rsid w:val="00991350"/>
    <w:rsid w:val="009917DF"/>
    <w:rsid w:val="00991888"/>
    <w:rsid w:val="00991EB0"/>
    <w:rsid w:val="00991FEA"/>
    <w:rsid w:val="009929A5"/>
    <w:rsid w:val="00992B52"/>
    <w:rsid w:val="00992BB3"/>
    <w:rsid w:val="00992D95"/>
    <w:rsid w:val="00992E90"/>
    <w:rsid w:val="00992FD7"/>
    <w:rsid w:val="009930C1"/>
    <w:rsid w:val="009930FA"/>
    <w:rsid w:val="00993B18"/>
    <w:rsid w:val="00993D37"/>
    <w:rsid w:val="00993D62"/>
    <w:rsid w:val="00993FDC"/>
    <w:rsid w:val="009944EC"/>
    <w:rsid w:val="009950DB"/>
    <w:rsid w:val="00995210"/>
    <w:rsid w:val="009953BB"/>
    <w:rsid w:val="009955FD"/>
    <w:rsid w:val="00995A80"/>
    <w:rsid w:val="00995D92"/>
    <w:rsid w:val="00995E6E"/>
    <w:rsid w:val="00995EE3"/>
    <w:rsid w:val="00996055"/>
    <w:rsid w:val="00996164"/>
    <w:rsid w:val="009964AE"/>
    <w:rsid w:val="00996652"/>
    <w:rsid w:val="0099690C"/>
    <w:rsid w:val="009969A3"/>
    <w:rsid w:val="00996E7F"/>
    <w:rsid w:val="00996EA8"/>
    <w:rsid w:val="009970C0"/>
    <w:rsid w:val="009973DD"/>
    <w:rsid w:val="009976C3"/>
    <w:rsid w:val="009978C3"/>
    <w:rsid w:val="00997E47"/>
    <w:rsid w:val="00997EAE"/>
    <w:rsid w:val="009A024C"/>
    <w:rsid w:val="009A0438"/>
    <w:rsid w:val="009A07D2"/>
    <w:rsid w:val="009A0D0A"/>
    <w:rsid w:val="009A0E3B"/>
    <w:rsid w:val="009A1102"/>
    <w:rsid w:val="009A1804"/>
    <w:rsid w:val="009A1C72"/>
    <w:rsid w:val="009A2103"/>
    <w:rsid w:val="009A2162"/>
    <w:rsid w:val="009A2368"/>
    <w:rsid w:val="009A27D7"/>
    <w:rsid w:val="009A2A2C"/>
    <w:rsid w:val="009A329A"/>
    <w:rsid w:val="009A3585"/>
    <w:rsid w:val="009A3708"/>
    <w:rsid w:val="009A3844"/>
    <w:rsid w:val="009A3B13"/>
    <w:rsid w:val="009A3BA4"/>
    <w:rsid w:val="009A3C09"/>
    <w:rsid w:val="009A468C"/>
    <w:rsid w:val="009A4853"/>
    <w:rsid w:val="009A494C"/>
    <w:rsid w:val="009A4B23"/>
    <w:rsid w:val="009A4B86"/>
    <w:rsid w:val="009A4BF6"/>
    <w:rsid w:val="009A4DD7"/>
    <w:rsid w:val="009A5198"/>
    <w:rsid w:val="009A5578"/>
    <w:rsid w:val="009A55E0"/>
    <w:rsid w:val="009A569A"/>
    <w:rsid w:val="009A5951"/>
    <w:rsid w:val="009A5DFE"/>
    <w:rsid w:val="009A5EC4"/>
    <w:rsid w:val="009A5F4F"/>
    <w:rsid w:val="009A614F"/>
    <w:rsid w:val="009A616A"/>
    <w:rsid w:val="009A6429"/>
    <w:rsid w:val="009A6555"/>
    <w:rsid w:val="009A6697"/>
    <w:rsid w:val="009A670A"/>
    <w:rsid w:val="009A6A49"/>
    <w:rsid w:val="009A6B26"/>
    <w:rsid w:val="009A6D4F"/>
    <w:rsid w:val="009A70A1"/>
    <w:rsid w:val="009A7156"/>
    <w:rsid w:val="009A7567"/>
    <w:rsid w:val="009A75CE"/>
    <w:rsid w:val="009A7AA9"/>
    <w:rsid w:val="009A7D00"/>
    <w:rsid w:val="009B009E"/>
    <w:rsid w:val="009B00A1"/>
    <w:rsid w:val="009B02D9"/>
    <w:rsid w:val="009B0302"/>
    <w:rsid w:val="009B05BA"/>
    <w:rsid w:val="009B0A1D"/>
    <w:rsid w:val="009B0D99"/>
    <w:rsid w:val="009B134A"/>
    <w:rsid w:val="009B18A7"/>
    <w:rsid w:val="009B1939"/>
    <w:rsid w:val="009B1BE0"/>
    <w:rsid w:val="009B1D97"/>
    <w:rsid w:val="009B1F48"/>
    <w:rsid w:val="009B219F"/>
    <w:rsid w:val="009B2AB1"/>
    <w:rsid w:val="009B2D4E"/>
    <w:rsid w:val="009B2EB0"/>
    <w:rsid w:val="009B3059"/>
    <w:rsid w:val="009B3319"/>
    <w:rsid w:val="009B3417"/>
    <w:rsid w:val="009B347F"/>
    <w:rsid w:val="009B3662"/>
    <w:rsid w:val="009B37EF"/>
    <w:rsid w:val="009B3938"/>
    <w:rsid w:val="009B3A55"/>
    <w:rsid w:val="009B3F22"/>
    <w:rsid w:val="009B4045"/>
    <w:rsid w:val="009B4667"/>
    <w:rsid w:val="009B52BE"/>
    <w:rsid w:val="009B5F7A"/>
    <w:rsid w:val="009B5FC8"/>
    <w:rsid w:val="009B6111"/>
    <w:rsid w:val="009B6263"/>
    <w:rsid w:val="009B69A2"/>
    <w:rsid w:val="009B6E9E"/>
    <w:rsid w:val="009B7051"/>
    <w:rsid w:val="009B72D5"/>
    <w:rsid w:val="009B7326"/>
    <w:rsid w:val="009B76C5"/>
    <w:rsid w:val="009B7B83"/>
    <w:rsid w:val="009B7B9A"/>
    <w:rsid w:val="009B7DD3"/>
    <w:rsid w:val="009B7E5F"/>
    <w:rsid w:val="009B7ECF"/>
    <w:rsid w:val="009C000D"/>
    <w:rsid w:val="009C002A"/>
    <w:rsid w:val="009C0178"/>
    <w:rsid w:val="009C01A2"/>
    <w:rsid w:val="009C0353"/>
    <w:rsid w:val="009C0447"/>
    <w:rsid w:val="009C0462"/>
    <w:rsid w:val="009C0518"/>
    <w:rsid w:val="009C05DB"/>
    <w:rsid w:val="009C0696"/>
    <w:rsid w:val="009C092A"/>
    <w:rsid w:val="009C09D2"/>
    <w:rsid w:val="009C0AC9"/>
    <w:rsid w:val="009C0C5F"/>
    <w:rsid w:val="009C0E04"/>
    <w:rsid w:val="009C0E96"/>
    <w:rsid w:val="009C1523"/>
    <w:rsid w:val="009C1614"/>
    <w:rsid w:val="009C19E9"/>
    <w:rsid w:val="009C1B17"/>
    <w:rsid w:val="009C1E35"/>
    <w:rsid w:val="009C26DC"/>
    <w:rsid w:val="009C272D"/>
    <w:rsid w:val="009C27A6"/>
    <w:rsid w:val="009C29E8"/>
    <w:rsid w:val="009C29F0"/>
    <w:rsid w:val="009C2C30"/>
    <w:rsid w:val="009C2EE3"/>
    <w:rsid w:val="009C2F38"/>
    <w:rsid w:val="009C3075"/>
    <w:rsid w:val="009C34E1"/>
    <w:rsid w:val="009C35D9"/>
    <w:rsid w:val="009C363E"/>
    <w:rsid w:val="009C3B9C"/>
    <w:rsid w:val="009C3D2E"/>
    <w:rsid w:val="009C3D9F"/>
    <w:rsid w:val="009C4118"/>
    <w:rsid w:val="009C42D6"/>
    <w:rsid w:val="009C47D3"/>
    <w:rsid w:val="009C484F"/>
    <w:rsid w:val="009C4A71"/>
    <w:rsid w:val="009C4B1C"/>
    <w:rsid w:val="009C4B57"/>
    <w:rsid w:val="009C4E2D"/>
    <w:rsid w:val="009C4F50"/>
    <w:rsid w:val="009C50D7"/>
    <w:rsid w:val="009C52A1"/>
    <w:rsid w:val="009C536E"/>
    <w:rsid w:val="009C5660"/>
    <w:rsid w:val="009C5837"/>
    <w:rsid w:val="009C5AB4"/>
    <w:rsid w:val="009C5B6F"/>
    <w:rsid w:val="009C5B78"/>
    <w:rsid w:val="009C620A"/>
    <w:rsid w:val="009C62F1"/>
    <w:rsid w:val="009C6594"/>
    <w:rsid w:val="009C66F8"/>
    <w:rsid w:val="009C6A70"/>
    <w:rsid w:val="009C70B2"/>
    <w:rsid w:val="009C7151"/>
    <w:rsid w:val="009C7742"/>
    <w:rsid w:val="009C780A"/>
    <w:rsid w:val="009C79EB"/>
    <w:rsid w:val="009C7A8D"/>
    <w:rsid w:val="009D02A8"/>
    <w:rsid w:val="009D064A"/>
    <w:rsid w:val="009D0DAA"/>
    <w:rsid w:val="009D0E06"/>
    <w:rsid w:val="009D14AA"/>
    <w:rsid w:val="009D15FF"/>
    <w:rsid w:val="009D1A44"/>
    <w:rsid w:val="009D1AFC"/>
    <w:rsid w:val="009D1C3F"/>
    <w:rsid w:val="009D2228"/>
    <w:rsid w:val="009D23D3"/>
    <w:rsid w:val="009D2597"/>
    <w:rsid w:val="009D2739"/>
    <w:rsid w:val="009D27F8"/>
    <w:rsid w:val="009D2813"/>
    <w:rsid w:val="009D2841"/>
    <w:rsid w:val="009D2A70"/>
    <w:rsid w:val="009D2FDE"/>
    <w:rsid w:val="009D3428"/>
    <w:rsid w:val="009D387F"/>
    <w:rsid w:val="009D3B83"/>
    <w:rsid w:val="009D3D82"/>
    <w:rsid w:val="009D420D"/>
    <w:rsid w:val="009D4256"/>
    <w:rsid w:val="009D4CA1"/>
    <w:rsid w:val="009D5153"/>
    <w:rsid w:val="009D515B"/>
    <w:rsid w:val="009D51BE"/>
    <w:rsid w:val="009D5203"/>
    <w:rsid w:val="009D5325"/>
    <w:rsid w:val="009D5802"/>
    <w:rsid w:val="009D5A71"/>
    <w:rsid w:val="009D5D04"/>
    <w:rsid w:val="009D5FBA"/>
    <w:rsid w:val="009D5FFB"/>
    <w:rsid w:val="009D60E9"/>
    <w:rsid w:val="009D646C"/>
    <w:rsid w:val="009D65CD"/>
    <w:rsid w:val="009D6831"/>
    <w:rsid w:val="009D69C9"/>
    <w:rsid w:val="009D69D3"/>
    <w:rsid w:val="009D6E4D"/>
    <w:rsid w:val="009D6EBC"/>
    <w:rsid w:val="009D721D"/>
    <w:rsid w:val="009D75B5"/>
    <w:rsid w:val="009D75C7"/>
    <w:rsid w:val="009D7807"/>
    <w:rsid w:val="009D7936"/>
    <w:rsid w:val="009D79D0"/>
    <w:rsid w:val="009D7AD9"/>
    <w:rsid w:val="009D7BC2"/>
    <w:rsid w:val="009E0137"/>
    <w:rsid w:val="009E0627"/>
    <w:rsid w:val="009E07AB"/>
    <w:rsid w:val="009E0808"/>
    <w:rsid w:val="009E09E3"/>
    <w:rsid w:val="009E0B83"/>
    <w:rsid w:val="009E0BCB"/>
    <w:rsid w:val="009E0CF6"/>
    <w:rsid w:val="009E0F9C"/>
    <w:rsid w:val="009E15A6"/>
    <w:rsid w:val="009E15A9"/>
    <w:rsid w:val="009E1B74"/>
    <w:rsid w:val="009E1F3D"/>
    <w:rsid w:val="009E1FC1"/>
    <w:rsid w:val="009E22A0"/>
    <w:rsid w:val="009E2429"/>
    <w:rsid w:val="009E2438"/>
    <w:rsid w:val="009E255F"/>
    <w:rsid w:val="009E256F"/>
    <w:rsid w:val="009E2703"/>
    <w:rsid w:val="009E28FB"/>
    <w:rsid w:val="009E2D56"/>
    <w:rsid w:val="009E3038"/>
    <w:rsid w:val="009E305D"/>
    <w:rsid w:val="009E357A"/>
    <w:rsid w:val="009E3622"/>
    <w:rsid w:val="009E389B"/>
    <w:rsid w:val="009E395C"/>
    <w:rsid w:val="009E3E80"/>
    <w:rsid w:val="009E3E8C"/>
    <w:rsid w:val="009E3EFC"/>
    <w:rsid w:val="009E4317"/>
    <w:rsid w:val="009E48D9"/>
    <w:rsid w:val="009E498D"/>
    <w:rsid w:val="009E4A98"/>
    <w:rsid w:val="009E5085"/>
    <w:rsid w:val="009E5446"/>
    <w:rsid w:val="009E5BA9"/>
    <w:rsid w:val="009E5CF1"/>
    <w:rsid w:val="009E5ECD"/>
    <w:rsid w:val="009E5F0A"/>
    <w:rsid w:val="009E5F76"/>
    <w:rsid w:val="009E62F1"/>
    <w:rsid w:val="009E6726"/>
    <w:rsid w:val="009E682C"/>
    <w:rsid w:val="009E68B8"/>
    <w:rsid w:val="009E68DC"/>
    <w:rsid w:val="009E6C1B"/>
    <w:rsid w:val="009E6DFC"/>
    <w:rsid w:val="009E6EE1"/>
    <w:rsid w:val="009E6F64"/>
    <w:rsid w:val="009E6FA4"/>
    <w:rsid w:val="009E7577"/>
    <w:rsid w:val="009E7A9E"/>
    <w:rsid w:val="009E7D93"/>
    <w:rsid w:val="009E7E3D"/>
    <w:rsid w:val="009F0027"/>
    <w:rsid w:val="009F01B2"/>
    <w:rsid w:val="009F02D1"/>
    <w:rsid w:val="009F0300"/>
    <w:rsid w:val="009F05F0"/>
    <w:rsid w:val="009F0752"/>
    <w:rsid w:val="009F0867"/>
    <w:rsid w:val="009F09B3"/>
    <w:rsid w:val="009F1055"/>
    <w:rsid w:val="009F1198"/>
    <w:rsid w:val="009F1214"/>
    <w:rsid w:val="009F1711"/>
    <w:rsid w:val="009F1819"/>
    <w:rsid w:val="009F1975"/>
    <w:rsid w:val="009F1B11"/>
    <w:rsid w:val="009F1C13"/>
    <w:rsid w:val="009F21D4"/>
    <w:rsid w:val="009F21D7"/>
    <w:rsid w:val="009F27A0"/>
    <w:rsid w:val="009F2868"/>
    <w:rsid w:val="009F2F7F"/>
    <w:rsid w:val="009F3127"/>
    <w:rsid w:val="009F3FB4"/>
    <w:rsid w:val="009F4041"/>
    <w:rsid w:val="009F44D3"/>
    <w:rsid w:val="009F44FE"/>
    <w:rsid w:val="009F4510"/>
    <w:rsid w:val="009F4629"/>
    <w:rsid w:val="009F4802"/>
    <w:rsid w:val="009F4963"/>
    <w:rsid w:val="009F49FC"/>
    <w:rsid w:val="009F5171"/>
    <w:rsid w:val="009F5568"/>
    <w:rsid w:val="009F55A5"/>
    <w:rsid w:val="009F5953"/>
    <w:rsid w:val="009F597E"/>
    <w:rsid w:val="009F5F3F"/>
    <w:rsid w:val="009F61E1"/>
    <w:rsid w:val="009F640E"/>
    <w:rsid w:val="009F68BE"/>
    <w:rsid w:val="009F6958"/>
    <w:rsid w:val="009F6EE7"/>
    <w:rsid w:val="009F70D0"/>
    <w:rsid w:val="009F74C0"/>
    <w:rsid w:val="009F75D4"/>
    <w:rsid w:val="009F7685"/>
    <w:rsid w:val="009F788E"/>
    <w:rsid w:val="00A00052"/>
    <w:rsid w:val="00A007EC"/>
    <w:rsid w:val="00A00931"/>
    <w:rsid w:val="00A00F18"/>
    <w:rsid w:val="00A00F7E"/>
    <w:rsid w:val="00A0109D"/>
    <w:rsid w:val="00A01731"/>
    <w:rsid w:val="00A01820"/>
    <w:rsid w:val="00A018C0"/>
    <w:rsid w:val="00A01950"/>
    <w:rsid w:val="00A01A0B"/>
    <w:rsid w:val="00A01AE1"/>
    <w:rsid w:val="00A01AF5"/>
    <w:rsid w:val="00A01BDB"/>
    <w:rsid w:val="00A02026"/>
    <w:rsid w:val="00A02123"/>
    <w:rsid w:val="00A02367"/>
    <w:rsid w:val="00A02613"/>
    <w:rsid w:val="00A028FD"/>
    <w:rsid w:val="00A0291E"/>
    <w:rsid w:val="00A03349"/>
    <w:rsid w:val="00A034D0"/>
    <w:rsid w:val="00A0367E"/>
    <w:rsid w:val="00A038E3"/>
    <w:rsid w:val="00A03AD3"/>
    <w:rsid w:val="00A03B87"/>
    <w:rsid w:val="00A03EAD"/>
    <w:rsid w:val="00A0408A"/>
    <w:rsid w:val="00A043B6"/>
    <w:rsid w:val="00A0445C"/>
    <w:rsid w:val="00A0455A"/>
    <w:rsid w:val="00A04983"/>
    <w:rsid w:val="00A04C1D"/>
    <w:rsid w:val="00A04E23"/>
    <w:rsid w:val="00A04F34"/>
    <w:rsid w:val="00A05178"/>
    <w:rsid w:val="00A052FF"/>
    <w:rsid w:val="00A05B34"/>
    <w:rsid w:val="00A06104"/>
    <w:rsid w:val="00A06862"/>
    <w:rsid w:val="00A068B2"/>
    <w:rsid w:val="00A06E74"/>
    <w:rsid w:val="00A07248"/>
    <w:rsid w:val="00A073A8"/>
    <w:rsid w:val="00A07552"/>
    <w:rsid w:val="00A075C7"/>
    <w:rsid w:val="00A0793C"/>
    <w:rsid w:val="00A07C16"/>
    <w:rsid w:val="00A10381"/>
    <w:rsid w:val="00A1046D"/>
    <w:rsid w:val="00A10638"/>
    <w:rsid w:val="00A10DBC"/>
    <w:rsid w:val="00A117B4"/>
    <w:rsid w:val="00A11B45"/>
    <w:rsid w:val="00A1223C"/>
    <w:rsid w:val="00A128CF"/>
    <w:rsid w:val="00A12B65"/>
    <w:rsid w:val="00A130B1"/>
    <w:rsid w:val="00A133A6"/>
    <w:rsid w:val="00A138ED"/>
    <w:rsid w:val="00A13988"/>
    <w:rsid w:val="00A13A0E"/>
    <w:rsid w:val="00A13A7C"/>
    <w:rsid w:val="00A140F5"/>
    <w:rsid w:val="00A14170"/>
    <w:rsid w:val="00A1417A"/>
    <w:rsid w:val="00A142BA"/>
    <w:rsid w:val="00A14347"/>
    <w:rsid w:val="00A1436B"/>
    <w:rsid w:val="00A14E06"/>
    <w:rsid w:val="00A14EDB"/>
    <w:rsid w:val="00A15683"/>
    <w:rsid w:val="00A15BEA"/>
    <w:rsid w:val="00A15CE7"/>
    <w:rsid w:val="00A1634C"/>
    <w:rsid w:val="00A16961"/>
    <w:rsid w:val="00A16C9C"/>
    <w:rsid w:val="00A170B3"/>
    <w:rsid w:val="00A1762B"/>
    <w:rsid w:val="00A17F7A"/>
    <w:rsid w:val="00A20163"/>
    <w:rsid w:val="00A20242"/>
    <w:rsid w:val="00A204D6"/>
    <w:rsid w:val="00A2065E"/>
    <w:rsid w:val="00A20770"/>
    <w:rsid w:val="00A2077E"/>
    <w:rsid w:val="00A207A4"/>
    <w:rsid w:val="00A20BA5"/>
    <w:rsid w:val="00A20C1E"/>
    <w:rsid w:val="00A21334"/>
    <w:rsid w:val="00A2169A"/>
    <w:rsid w:val="00A217B1"/>
    <w:rsid w:val="00A21899"/>
    <w:rsid w:val="00A21964"/>
    <w:rsid w:val="00A2215B"/>
    <w:rsid w:val="00A2226B"/>
    <w:rsid w:val="00A224E6"/>
    <w:rsid w:val="00A22798"/>
    <w:rsid w:val="00A22816"/>
    <w:rsid w:val="00A2292E"/>
    <w:rsid w:val="00A22BAF"/>
    <w:rsid w:val="00A22C18"/>
    <w:rsid w:val="00A22E0B"/>
    <w:rsid w:val="00A23036"/>
    <w:rsid w:val="00A230B0"/>
    <w:rsid w:val="00A230C8"/>
    <w:rsid w:val="00A2318D"/>
    <w:rsid w:val="00A2327E"/>
    <w:rsid w:val="00A2366A"/>
    <w:rsid w:val="00A2367B"/>
    <w:rsid w:val="00A23850"/>
    <w:rsid w:val="00A239C3"/>
    <w:rsid w:val="00A23BC2"/>
    <w:rsid w:val="00A2410F"/>
    <w:rsid w:val="00A245F1"/>
    <w:rsid w:val="00A247EC"/>
    <w:rsid w:val="00A24922"/>
    <w:rsid w:val="00A24987"/>
    <w:rsid w:val="00A24A3C"/>
    <w:rsid w:val="00A24ACD"/>
    <w:rsid w:val="00A24DFE"/>
    <w:rsid w:val="00A25279"/>
    <w:rsid w:val="00A2546B"/>
    <w:rsid w:val="00A2581F"/>
    <w:rsid w:val="00A2598E"/>
    <w:rsid w:val="00A2621A"/>
    <w:rsid w:val="00A26611"/>
    <w:rsid w:val="00A267FA"/>
    <w:rsid w:val="00A26DD4"/>
    <w:rsid w:val="00A26FF8"/>
    <w:rsid w:val="00A273FB"/>
    <w:rsid w:val="00A274C1"/>
    <w:rsid w:val="00A2776A"/>
    <w:rsid w:val="00A2788D"/>
    <w:rsid w:val="00A27ADD"/>
    <w:rsid w:val="00A30057"/>
    <w:rsid w:val="00A3023D"/>
    <w:rsid w:val="00A30287"/>
    <w:rsid w:val="00A3076E"/>
    <w:rsid w:val="00A30773"/>
    <w:rsid w:val="00A30D63"/>
    <w:rsid w:val="00A3111E"/>
    <w:rsid w:val="00A312B8"/>
    <w:rsid w:val="00A31326"/>
    <w:rsid w:val="00A314E1"/>
    <w:rsid w:val="00A31695"/>
    <w:rsid w:val="00A31C4F"/>
    <w:rsid w:val="00A31DBD"/>
    <w:rsid w:val="00A31E3B"/>
    <w:rsid w:val="00A3218C"/>
    <w:rsid w:val="00A321F5"/>
    <w:rsid w:val="00A323A9"/>
    <w:rsid w:val="00A32412"/>
    <w:rsid w:val="00A32703"/>
    <w:rsid w:val="00A328E6"/>
    <w:rsid w:val="00A32EB3"/>
    <w:rsid w:val="00A32EC4"/>
    <w:rsid w:val="00A3302E"/>
    <w:rsid w:val="00A33224"/>
    <w:rsid w:val="00A33505"/>
    <w:rsid w:val="00A33585"/>
    <w:rsid w:val="00A337A7"/>
    <w:rsid w:val="00A337F2"/>
    <w:rsid w:val="00A338C4"/>
    <w:rsid w:val="00A339CB"/>
    <w:rsid w:val="00A339E8"/>
    <w:rsid w:val="00A33E24"/>
    <w:rsid w:val="00A33F8A"/>
    <w:rsid w:val="00A340F5"/>
    <w:rsid w:val="00A343C1"/>
    <w:rsid w:val="00A3493E"/>
    <w:rsid w:val="00A34D77"/>
    <w:rsid w:val="00A34FF4"/>
    <w:rsid w:val="00A35600"/>
    <w:rsid w:val="00A3566C"/>
    <w:rsid w:val="00A35731"/>
    <w:rsid w:val="00A35A41"/>
    <w:rsid w:val="00A35AAB"/>
    <w:rsid w:val="00A35BD6"/>
    <w:rsid w:val="00A35E87"/>
    <w:rsid w:val="00A36121"/>
    <w:rsid w:val="00A36290"/>
    <w:rsid w:val="00A3643B"/>
    <w:rsid w:val="00A36671"/>
    <w:rsid w:val="00A3674F"/>
    <w:rsid w:val="00A36DE8"/>
    <w:rsid w:val="00A37325"/>
    <w:rsid w:val="00A37E4E"/>
    <w:rsid w:val="00A40234"/>
    <w:rsid w:val="00A40540"/>
    <w:rsid w:val="00A4081F"/>
    <w:rsid w:val="00A410FF"/>
    <w:rsid w:val="00A41290"/>
    <w:rsid w:val="00A4149D"/>
    <w:rsid w:val="00A4153A"/>
    <w:rsid w:val="00A415D8"/>
    <w:rsid w:val="00A416AE"/>
    <w:rsid w:val="00A41715"/>
    <w:rsid w:val="00A41A82"/>
    <w:rsid w:val="00A41E87"/>
    <w:rsid w:val="00A41EA3"/>
    <w:rsid w:val="00A41FAA"/>
    <w:rsid w:val="00A4244F"/>
    <w:rsid w:val="00A424F3"/>
    <w:rsid w:val="00A426C0"/>
    <w:rsid w:val="00A4293A"/>
    <w:rsid w:val="00A42E94"/>
    <w:rsid w:val="00A4300B"/>
    <w:rsid w:val="00A43071"/>
    <w:rsid w:val="00A43074"/>
    <w:rsid w:val="00A43374"/>
    <w:rsid w:val="00A433D6"/>
    <w:rsid w:val="00A43932"/>
    <w:rsid w:val="00A43A9B"/>
    <w:rsid w:val="00A43C70"/>
    <w:rsid w:val="00A446AD"/>
    <w:rsid w:val="00A4481D"/>
    <w:rsid w:val="00A448CD"/>
    <w:rsid w:val="00A44D77"/>
    <w:rsid w:val="00A450BF"/>
    <w:rsid w:val="00A4546F"/>
    <w:rsid w:val="00A454C8"/>
    <w:rsid w:val="00A45716"/>
    <w:rsid w:val="00A45AD0"/>
    <w:rsid w:val="00A45B1F"/>
    <w:rsid w:val="00A45BAB"/>
    <w:rsid w:val="00A45D48"/>
    <w:rsid w:val="00A46139"/>
    <w:rsid w:val="00A461F7"/>
    <w:rsid w:val="00A46893"/>
    <w:rsid w:val="00A4697C"/>
    <w:rsid w:val="00A46C0D"/>
    <w:rsid w:val="00A46CFB"/>
    <w:rsid w:val="00A46D38"/>
    <w:rsid w:val="00A46F32"/>
    <w:rsid w:val="00A4711B"/>
    <w:rsid w:val="00A471D9"/>
    <w:rsid w:val="00A473CA"/>
    <w:rsid w:val="00A47866"/>
    <w:rsid w:val="00A4787A"/>
    <w:rsid w:val="00A47C9F"/>
    <w:rsid w:val="00A501C9"/>
    <w:rsid w:val="00A50419"/>
    <w:rsid w:val="00A507EE"/>
    <w:rsid w:val="00A50ACB"/>
    <w:rsid w:val="00A50E2A"/>
    <w:rsid w:val="00A50EB2"/>
    <w:rsid w:val="00A50FC7"/>
    <w:rsid w:val="00A51EA0"/>
    <w:rsid w:val="00A51ECE"/>
    <w:rsid w:val="00A51F7F"/>
    <w:rsid w:val="00A51FE6"/>
    <w:rsid w:val="00A52232"/>
    <w:rsid w:val="00A5271B"/>
    <w:rsid w:val="00A52C5D"/>
    <w:rsid w:val="00A53157"/>
    <w:rsid w:val="00A532C8"/>
    <w:rsid w:val="00A535F9"/>
    <w:rsid w:val="00A537FA"/>
    <w:rsid w:val="00A5384D"/>
    <w:rsid w:val="00A53D2C"/>
    <w:rsid w:val="00A53F1F"/>
    <w:rsid w:val="00A5412C"/>
    <w:rsid w:val="00A54199"/>
    <w:rsid w:val="00A542B6"/>
    <w:rsid w:val="00A54537"/>
    <w:rsid w:val="00A54B00"/>
    <w:rsid w:val="00A54DDF"/>
    <w:rsid w:val="00A5502A"/>
    <w:rsid w:val="00A55298"/>
    <w:rsid w:val="00A5580E"/>
    <w:rsid w:val="00A5595E"/>
    <w:rsid w:val="00A55D63"/>
    <w:rsid w:val="00A5617A"/>
    <w:rsid w:val="00A568AA"/>
    <w:rsid w:val="00A57390"/>
    <w:rsid w:val="00A576D6"/>
    <w:rsid w:val="00A57EDE"/>
    <w:rsid w:val="00A60184"/>
    <w:rsid w:val="00A605B1"/>
    <w:rsid w:val="00A606D2"/>
    <w:rsid w:val="00A60F72"/>
    <w:rsid w:val="00A6116F"/>
    <w:rsid w:val="00A6150E"/>
    <w:rsid w:val="00A61897"/>
    <w:rsid w:val="00A61A1C"/>
    <w:rsid w:val="00A61D35"/>
    <w:rsid w:val="00A61E5C"/>
    <w:rsid w:val="00A61E5D"/>
    <w:rsid w:val="00A61F7C"/>
    <w:rsid w:val="00A6206D"/>
    <w:rsid w:val="00A62515"/>
    <w:rsid w:val="00A62BB9"/>
    <w:rsid w:val="00A62C89"/>
    <w:rsid w:val="00A62FF6"/>
    <w:rsid w:val="00A631C7"/>
    <w:rsid w:val="00A63396"/>
    <w:rsid w:val="00A63449"/>
    <w:rsid w:val="00A634F3"/>
    <w:rsid w:val="00A63605"/>
    <w:rsid w:val="00A63626"/>
    <w:rsid w:val="00A638CD"/>
    <w:rsid w:val="00A63B18"/>
    <w:rsid w:val="00A63FAB"/>
    <w:rsid w:val="00A646C0"/>
    <w:rsid w:val="00A64A24"/>
    <w:rsid w:val="00A64C44"/>
    <w:rsid w:val="00A65C18"/>
    <w:rsid w:val="00A65FE8"/>
    <w:rsid w:val="00A6633A"/>
    <w:rsid w:val="00A66436"/>
    <w:rsid w:val="00A6676E"/>
    <w:rsid w:val="00A669EF"/>
    <w:rsid w:val="00A66A35"/>
    <w:rsid w:val="00A66E3C"/>
    <w:rsid w:val="00A66E77"/>
    <w:rsid w:val="00A66F02"/>
    <w:rsid w:val="00A67528"/>
    <w:rsid w:val="00A67767"/>
    <w:rsid w:val="00A677F3"/>
    <w:rsid w:val="00A67CFD"/>
    <w:rsid w:val="00A7003F"/>
    <w:rsid w:val="00A700E0"/>
    <w:rsid w:val="00A705CE"/>
    <w:rsid w:val="00A70B60"/>
    <w:rsid w:val="00A70DF5"/>
    <w:rsid w:val="00A711FC"/>
    <w:rsid w:val="00A7162C"/>
    <w:rsid w:val="00A7177E"/>
    <w:rsid w:val="00A71ADA"/>
    <w:rsid w:val="00A71DE0"/>
    <w:rsid w:val="00A71F46"/>
    <w:rsid w:val="00A72256"/>
    <w:rsid w:val="00A724D0"/>
    <w:rsid w:val="00A729DA"/>
    <w:rsid w:val="00A72B09"/>
    <w:rsid w:val="00A72F6C"/>
    <w:rsid w:val="00A730A8"/>
    <w:rsid w:val="00A73147"/>
    <w:rsid w:val="00A73186"/>
    <w:rsid w:val="00A734F9"/>
    <w:rsid w:val="00A73572"/>
    <w:rsid w:val="00A736BB"/>
    <w:rsid w:val="00A73BC8"/>
    <w:rsid w:val="00A73FC4"/>
    <w:rsid w:val="00A73FD0"/>
    <w:rsid w:val="00A74180"/>
    <w:rsid w:val="00A741AD"/>
    <w:rsid w:val="00A741E0"/>
    <w:rsid w:val="00A7433C"/>
    <w:rsid w:val="00A74690"/>
    <w:rsid w:val="00A74A50"/>
    <w:rsid w:val="00A74AC8"/>
    <w:rsid w:val="00A74D55"/>
    <w:rsid w:val="00A75435"/>
    <w:rsid w:val="00A75536"/>
    <w:rsid w:val="00A75574"/>
    <w:rsid w:val="00A75806"/>
    <w:rsid w:val="00A75944"/>
    <w:rsid w:val="00A7598C"/>
    <w:rsid w:val="00A75D76"/>
    <w:rsid w:val="00A764C2"/>
    <w:rsid w:val="00A76500"/>
    <w:rsid w:val="00A76B43"/>
    <w:rsid w:val="00A76B98"/>
    <w:rsid w:val="00A76C74"/>
    <w:rsid w:val="00A7737D"/>
    <w:rsid w:val="00A77504"/>
    <w:rsid w:val="00A77852"/>
    <w:rsid w:val="00A77CDA"/>
    <w:rsid w:val="00A77E04"/>
    <w:rsid w:val="00A77ECF"/>
    <w:rsid w:val="00A805D3"/>
    <w:rsid w:val="00A81174"/>
    <w:rsid w:val="00A8119E"/>
    <w:rsid w:val="00A818B6"/>
    <w:rsid w:val="00A81A28"/>
    <w:rsid w:val="00A81BA9"/>
    <w:rsid w:val="00A822FD"/>
    <w:rsid w:val="00A82365"/>
    <w:rsid w:val="00A8239C"/>
    <w:rsid w:val="00A8239F"/>
    <w:rsid w:val="00A824C0"/>
    <w:rsid w:val="00A82BBF"/>
    <w:rsid w:val="00A833C2"/>
    <w:rsid w:val="00A834E4"/>
    <w:rsid w:val="00A83775"/>
    <w:rsid w:val="00A83916"/>
    <w:rsid w:val="00A83A2A"/>
    <w:rsid w:val="00A83CED"/>
    <w:rsid w:val="00A841B3"/>
    <w:rsid w:val="00A84B02"/>
    <w:rsid w:val="00A84C64"/>
    <w:rsid w:val="00A84C83"/>
    <w:rsid w:val="00A84D47"/>
    <w:rsid w:val="00A8516E"/>
    <w:rsid w:val="00A8549A"/>
    <w:rsid w:val="00A858EB"/>
    <w:rsid w:val="00A85CB0"/>
    <w:rsid w:val="00A86388"/>
    <w:rsid w:val="00A86909"/>
    <w:rsid w:val="00A8690B"/>
    <w:rsid w:val="00A86DA1"/>
    <w:rsid w:val="00A86E9F"/>
    <w:rsid w:val="00A86F44"/>
    <w:rsid w:val="00A87071"/>
    <w:rsid w:val="00A87225"/>
    <w:rsid w:val="00A87308"/>
    <w:rsid w:val="00A873B0"/>
    <w:rsid w:val="00A8740B"/>
    <w:rsid w:val="00A8750C"/>
    <w:rsid w:val="00A87B10"/>
    <w:rsid w:val="00A87BA1"/>
    <w:rsid w:val="00A90166"/>
    <w:rsid w:val="00A902DB"/>
    <w:rsid w:val="00A90556"/>
    <w:rsid w:val="00A90EBB"/>
    <w:rsid w:val="00A9125C"/>
    <w:rsid w:val="00A914E7"/>
    <w:rsid w:val="00A917F6"/>
    <w:rsid w:val="00A91A06"/>
    <w:rsid w:val="00A91B3A"/>
    <w:rsid w:val="00A92158"/>
    <w:rsid w:val="00A9237E"/>
    <w:rsid w:val="00A92679"/>
    <w:rsid w:val="00A92F2B"/>
    <w:rsid w:val="00A92F78"/>
    <w:rsid w:val="00A93051"/>
    <w:rsid w:val="00A930BA"/>
    <w:rsid w:val="00A932B9"/>
    <w:rsid w:val="00A933E6"/>
    <w:rsid w:val="00A9348A"/>
    <w:rsid w:val="00A93D2D"/>
    <w:rsid w:val="00A93E50"/>
    <w:rsid w:val="00A93EB1"/>
    <w:rsid w:val="00A9457D"/>
    <w:rsid w:val="00A94813"/>
    <w:rsid w:val="00A9486A"/>
    <w:rsid w:val="00A94A14"/>
    <w:rsid w:val="00A94B03"/>
    <w:rsid w:val="00A94D33"/>
    <w:rsid w:val="00A94E5A"/>
    <w:rsid w:val="00A94FA3"/>
    <w:rsid w:val="00A95180"/>
    <w:rsid w:val="00A959C1"/>
    <w:rsid w:val="00A95D25"/>
    <w:rsid w:val="00A95DA6"/>
    <w:rsid w:val="00A95E14"/>
    <w:rsid w:val="00A95E26"/>
    <w:rsid w:val="00A963EF"/>
    <w:rsid w:val="00A96B30"/>
    <w:rsid w:val="00A97097"/>
    <w:rsid w:val="00A97158"/>
    <w:rsid w:val="00A971EC"/>
    <w:rsid w:val="00A975B9"/>
    <w:rsid w:val="00A9770F"/>
    <w:rsid w:val="00AA0194"/>
    <w:rsid w:val="00AA02A1"/>
    <w:rsid w:val="00AA03F8"/>
    <w:rsid w:val="00AA0454"/>
    <w:rsid w:val="00AA05E1"/>
    <w:rsid w:val="00AA06B0"/>
    <w:rsid w:val="00AA06E4"/>
    <w:rsid w:val="00AA09C7"/>
    <w:rsid w:val="00AA0B50"/>
    <w:rsid w:val="00AA0E13"/>
    <w:rsid w:val="00AA0ECE"/>
    <w:rsid w:val="00AA0F11"/>
    <w:rsid w:val="00AA106D"/>
    <w:rsid w:val="00AA1502"/>
    <w:rsid w:val="00AA1752"/>
    <w:rsid w:val="00AA18A7"/>
    <w:rsid w:val="00AA1E45"/>
    <w:rsid w:val="00AA1F08"/>
    <w:rsid w:val="00AA2029"/>
    <w:rsid w:val="00AA2122"/>
    <w:rsid w:val="00AA2783"/>
    <w:rsid w:val="00AA28B8"/>
    <w:rsid w:val="00AA2D53"/>
    <w:rsid w:val="00AA2D6A"/>
    <w:rsid w:val="00AA2E12"/>
    <w:rsid w:val="00AA31F1"/>
    <w:rsid w:val="00AA35CD"/>
    <w:rsid w:val="00AA365A"/>
    <w:rsid w:val="00AA36EA"/>
    <w:rsid w:val="00AA39DD"/>
    <w:rsid w:val="00AA3B10"/>
    <w:rsid w:val="00AA3D0F"/>
    <w:rsid w:val="00AA3DFC"/>
    <w:rsid w:val="00AA42EF"/>
    <w:rsid w:val="00AA43CD"/>
    <w:rsid w:val="00AA43D8"/>
    <w:rsid w:val="00AA44C3"/>
    <w:rsid w:val="00AA461B"/>
    <w:rsid w:val="00AA4B1D"/>
    <w:rsid w:val="00AA4BB5"/>
    <w:rsid w:val="00AA4D18"/>
    <w:rsid w:val="00AA4FAE"/>
    <w:rsid w:val="00AA596C"/>
    <w:rsid w:val="00AA5C4C"/>
    <w:rsid w:val="00AA5CCF"/>
    <w:rsid w:val="00AA5E8B"/>
    <w:rsid w:val="00AA63E4"/>
    <w:rsid w:val="00AA69F3"/>
    <w:rsid w:val="00AA6A4D"/>
    <w:rsid w:val="00AA6E27"/>
    <w:rsid w:val="00AA6ED4"/>
    <w:rsid w:val="00AA6F48"/>
    <w:rsid w:val="00AA6F7A"/>
    <w:rsid w:val="00AA7180"/>
    <w:rsid w:val="00AA72F1"/>
    <w:rsid w:val="00AA766F"/>
    <w:rsid w:val="00AA78F0"/>
    <w:rsid w:val="00AA7C21"/>
    <w:rsid w:val="00AA7DEF"/>
    <w:rsid w:val="00AB00FA"/>
    <w:rsid w:val="00AB04C6"/>
    <w:rsid w:val="00AB0820"/>
    <w:rsid w:val="00AB09CD"/>
    <w:rsid w:val="00AB0CB8"/>
    <w:rsid w:val="00AB113C"/>
    <w:rsid w:val="00AB1710"/>
    <w:rsid w:val="00AB1858"/>
    <w:rsid w:val="00AB18E3"/>
    <w:rsid w:val="00AB1ADB"/>
    <w:rsid w:val="00AB1E92"/>
    <w:rsid w:val="00AB22C5"/>
    <w:rsid w:val="00AB2B27"/>
    <w:rsid w:val="00AB2BBF"/>
    <w:rsid w:val="00AB3364"/>
    <w:rsid w:val="00AB3411"/>
    <w:rsid w:val="00AB3461"/>
    <w:rsid w:val="00AB36EB"/>
    <w:rsid w:val="00AB3767"/>
    <w:rsid w:val="00AB3D2D"/>
    <w:rsid w:val="00AB44F0"/>
    <w:rsid w:val="00AB4562"/>
    <w:rsid w:val="00AB473B"/>
    <w:rsid w:val="00AB4ACB"/>
    <w:rsid w:val="00AB4CC3"/>
    <w:rsid w:val="00AB4F95"/>
    <w:rsid w:val="00AB533F"/>
    <w:rsid w:val="00AB5387"/>
    <w:rsid w:val="00AB55C7"/>
    <w:rsid w:val="00AB55E2"/>
    <w:rsid w:val="00AB61F4"/>
    <w:rsid w:val="00AB63AF"/>
    <w:rsid w:val="00AB63CB"/>
    <w:rsid w:val="00AB6654"/>
    <w:rsid w:val="00AB6AB6"/>
    <w:rsid w:val="00AB74C6"/>
    <w:rsid w:val="00AB79B5"/>
    <w:rsid w:val="00AB7A14"/>
    <w:rsid w:val="00AB7A28"/>
    <w:rsid w:val="00AB7B45"/>
    <w:rsid w:val="00AB7D31"/>
    <w:rsid w:val="00AC02AD"/>
    <w:rsid w:val="00AC034C"/>
    <w:rsid w:val="00AC0727"/>
    <w:rsid w:val="00AC119D"/>
    <w:rsid w:val="00AC153F"/>
    <w:rsid w:val="00AC15B6"/>
    <w:rsid w:val="00AC1727"/>
    <w:rsid w:val="00AC17E1"/>
    <w:rsid w:val="00AC18D3"/>
    <w:rsid w:val="00AC1BEB"/>
    <w:rsid w:val="00AC208A"/>
    <w:rsid w:val="00AC226F"/>
    <w:rsid w:val="00AC244E"/>
    <w:rsid w:val="00AC28DB"/>
    <w:rsid w:val="00AC2CF9"/>
    <w:rsid w:val="00AC2D8B"/>
    <w:rsid w:val="00AC301D"/>
    <w:rsid w:val="00AC34C0"/>
    <w:rsid w:val="00AC3616"/>
    <w:rsid w:val="00AC36AE"/>
    <w:rsid w:val="00AC36B4"/>
    <w:rsid w:val="00AC3914"/>
    <w:rsid w:val="00AC3968"/>
    <w:rsid w:val="00AC3DB6"/>
    <w:rsid w:val="00AC42F1"/>
    <w:rsid w:val="00AC4314"/>
    <w:rsid w:val="00AC4E26"/>
    <w:rsid w:val="00AC5012"/>
    <w:rsid w:val="00AC5038"/>
    <w:rsid w:val="00AC5230"/>
    <w:rsid w:val="00AC52E7"/>
    <w:rsid w:val="00AC5315"/>
    <w:rsid w:val="00AC53D3"/>
    <w:rsid w:val="00AC5567"/>
    <w:rsid w:val="00AC55F2"/>
    <w:rsid w:val="00AC573D"/>
    <w:rsid w:val="00AC5B81"/>
    <w:rsid w:val="00AC5C2D"/>
    <w:rsid w:val="00AC5E1C"/>
    <w:rsid w:val="00AC663F"/>
    <w:rsid w:val="00AC67F0"/>
    <w:rsid w:val="00AC6902"/>
    <w:rsid w:val="00AC6918"/>
    <w:rsid w:val="00AC6CFA"/>
    <w:rsid w:val="00AC6D8B"/>
    <w:rsid w:val="00AC72E9"/>
    <w:rsid w:val="00AC72EA"/>
    <w:rsid w:val="00AC7343"/>
    <w:rsid w:val="00AC73FD"/>
    <w:rsid w:val="00AC78D8"/>
    <w:rsid w:val="00AC7AF2"/>
    <w:rsid w:val="00AD00F4"/>
    <w:rsid w:val="00AD07E7"/>
    <w:rsid w:val="00AD0827"/>
    <w:rsid w:val="00AD0864"/>
    <w:rsid w:val="00AD0A2B"/>
    <w:rsid w:val="00AD0AAE"/>
    <w:rsid w:val="00AD0B36"/>
    <w:rsid w:val="00AD0B4C"/>
    <w:rsid w:val="00AD0C0B"/>
    <w:rsid w:val="00AD0C57"/>
    <w:rsid w:val="00AD0CD3"/>
    <w:rsid w:val="00AD0E04"/>
    <w:rsid w:val="00AD1040"/>
    <w:rsid w:val="00AD125A"/>
    <w:rsid w:val="00AD1E9A"/>
    <w:rsid w:val="00AD2314"/>
    <w:rsid w:val="00AD245E"/>
    <w:rsid w:val="00AD24EA"/>
    <w:rsid w:val="00AD26B7"/>
    <w:rsid w:val="00AD2CCA"/>
    <w:rsid w:val="00AD2D3C"/>
    <w:rsid w:val="00AD337C"/>
    <w:rsid w:val="00AD3870"/>
    <w:rsid w:val="00AD3D8D"/>
    <w:rsid w:val="00AD43E9"/>
    <w:rsid w:val="00AD47B5"/>
    <w:rsid w:val="00AD49FF"/>
    <w:rsid w:val="00AD4A57"/>
    <w:rsid w:val="00AD4DA9"/>
    <w:rsid w:val="00AD4E8B"/>
    <w:rsid w:val="00AD548D"/>
    <w:rsid w:val="00AD549A"/>
    <w:rsid w:val="00AD57C5"/>
    <w:rsid w:val="00AD5A66"/>
    <w:rsid w:val="00AD61CC"/>
    <w:rsid w:val="00AD6297"/>
    <w:rsid w:val="00AD655D"/>
    <w:rsid w:val="00AD6578"/>
    <w:rsid w:val="00AD66F8"/>
    <w:rsid w:val="00AD6922"/>
    <w:rsid w:val="00AD6942"/>
    <w:rsid w:val="00AD6949"/>
    <w:rsid w:val="00AD6BDF"/>
    <w:rsid w:val="00AD6F5F"/>
    <w:rsid w:val="00AD6FAF"/>
    <w:rsid w:val="00AD71B3"/>
    <w:rsid w:val="00AD7725"/>
    <w:rsid w:val="00AD7868"/>
    <w:rsid w:val="00AD78CF"/>
    <w:rsid w:val="00AD7930"/>
    <w:rsid w:val="00AD7B65"/>
    <w:rsid w:val="00AD7C35"/>
    <w:rsid w:val="00AD7E17"/>
    <w:rsid w:val="00AE02DF"/>
    <w:rsid w:val="00AE0484"/>
    <w:rsid w:val="00AE0616"/>
    <w:rsid w:val="00AE0B18"/>
    <w:rsid w:val="00AE0C8E"/>
    <w:rsid w:val="00AE0CA4"/>
    <w:rsid w:val="00AE0F4E"/>
    <w:rsid w:val="00AE10DA"/>
    <w:rsid w:val="00AE10F7"/>
    <w:rsid w:val="00AE153A"/>
    <w:rsid w:val="00AE1933"/>
    <w:rsid w:val="00AE19E0"/>
    <w:rsid w:val="00AE1A35"/>
    <w:rsid w:val="00AE1F60"/>
    <w:rsid w:val="00AE21EE"/>
    <w:rsid w:val="00AE2307"/>
    <w:rsid w:val="00AE23BF"/>
    <w:rsid w:val="00AE28F0"/>
    <w:rsid w:val="00AE2D39"/>
    <w:rsid w:val="00AE3187"/>
    <w:rsid w:val="00AE34AE"/>
    <w:rsid w:val="00AE3A8B"/>
    <w:rsid w:val="00AE45A7"/>
    <w:rsid w:val="00AE4631"/>
    <w:rsid w:val="00AE48A4"/>
    <w:rsid w:val="00AE48DD"/>
    <w:rsid w:val="00AE4F5B"/>
    <w:rsid w:val="00AE4F9C"/>
    <w:rsid w:val="00AE5575"/>
    <w:rsid w:val="00AE5A9B"/>
    <w:rsid w:val="00AE5FAA"/>
    <w:rsid w:val="00AE6349"/>
    <w:rsid w:val="00AE6385"/>
    <w:rsid w:val="00AE6DE0"/>
    <w:rsid w:val="00AE7424"/>
    <w:rsid w:val="00AE7592"/>
    <w:rsid w:val="00AE7983"/>
    <w:rsid w:val="00AF00EF"/>
    <w:rsid w:val="00AF0561"/>
    <w:rsid w:val="00AF06B6"/>
    <w:rsid w:val="00AF0A8F"/>
    <w:rsid w:val="00AF0F30"/>
    <w:rsid w:val="00AF0FCD"/>
    <w:rsid w:val="00AF10E2"/>
    <w:rsid w:val="00AF1147"/>
    <w:rsid w:val="00AF13B0"/>
    <w:rsid w:val="00AF162F"/>
    <w:rsid w:val="00AF1ABC"/>
    <w:rsid w:val="00AF21E0"/>
    <w:rsid w:val="00AF23FA"/>
    <w:rsid w:val="00AF2737"/>
    <w:rsid w:val="00AF2ACC"/>
    <w:rsid w:val="00AF2DCB"/>
    <w:rsid w:val="00AF2E4C"/>
    <w:rsid w:val="00AF302C"/>
    <w:rsid w:val="00AF35C9"/>
    <w:rsid w:val="00AF39C3"/>
    <w:rsid w:val="00AF3A00"/>
    <w:rsid w:val="00AF3A2A"/>
    <w:rsid w:val="00AF3CCB"/>
    <w:rsid w:val="00AF4266"/>
    <w:rsid w:val="00AF44A5"/>
    <w:rsid w:val="00AF490E"/>
    <w:rsid w:val="00AF4C08"/>
    <w:rsid w:val="00AF4D06"/>
    <w:rsid w:val="00AF4F97"/>
    <w:rsid w:val="00AF5096"/>
    <w:rsid w:val="00AF5122"/>
    <w:rsid w:val="00AF5557"/>
    <w:rsid w:val="00AF55D0"/>
    <w:rsid w:val="00AF5AA9"/>
    <w:rsid w:val="00AF5AAD"/>
    <w:rsid w:val="00AF5BD4"/>
    <w:rsid w:val="00AF5FF8"/>
    <w:rsid w:val="00AF61DB"/>
    <w:rsid w:val="00AF6BCD"/>
    <w:rsid w:val="00AF6CBD"/>
    <w:rsid w:val="00AF701E"/>
    <w:rsid w:val="00AF7501"/>
    <w:rsid w:val="00AF78EB"/>
    <w:rsid w:val="00AF7957"/>
    <w:rsid w:val="00B00417"/>
    <w:rsid w:val="00B0045B"/>
    <w:rsid w:val="00B00915"/>
    <w:rsid w:val="00B010BA"/>
    <w:rsid w:val="00B0113C"/>
    <w:rsid w:val="00B01196"/>
    <w:rsid w:val="00B01657"/>
    <w:rsid w:val="00B017B4"/>
    <w:rsid w:val="00B01801"/>
    <w:rsid w:val="00B01A17"/>
    <w:rsid w:val="00B01A76"/>
    <w:rsid w:val="00B01CA9"/>
    <w:rsid w:val="00B01D29"/>
    <w:rsid w:val="00B01DD9"/>
    <w:rsid w:val="00B01F6C"/>
    <w:rsid w:val="00B0218E"/>
    <w:rsid w:val="00B02585"/>
    <w:rsid w:val="00B026E9"/>
    <w:rsid w:val="00B02757"/>
    <w:rsid w:val="00B02B67"/>
    <w:rsid w:val="00B02E7E"/>
    <w:rsid w:val="00B0310E"/>
    <w:rsid w:val="00B03163"/>
    <w:rsid w:val="00B03419"/>
    <w:rsid w:val="00B03442"/>
    <w:rsid w:val="00B03748"/>
    <w:rsid w:val="00B039EF"/>
    <w:rsid w:val="00B03F94"/>
    <w:rsid w:val="00B04099"/>
    <w:rsid w:val="00B040B5"/>
    <w:rsid w:val="00B04205"/>
    <w:rsid w:val="00B04589"/>
    <w:rsid w:val="00B0458A"/>
    <w:rsid w:val="00B04A80"/>
    <w:rsid w:val="00B05048"/>
    <w:rsid w:val="00B051FE"/>
    <w:rsid w:val="00B05D1A"/>
    <w:rsid w:val="00B05EED"/>
    <w:rsid w:val="00B06336"/>
    <w:rsid w:val="00B063C0"/>
    <w:rsid w:val="00B0668F"/>
    <w:rsid w:val="00B06BBB"/>
    <w:rsid w:val="00B07045"/>
    <w:rsid w:val="00B0734E"/>
    <w:rsid w:val="00B07597"/>
    <w:rsid w:val="00B07951"/>
    <w:rsid w:val="00B0795A"/>
    <w:rsid w:val="00B07DA0"/>
    <w:rsid w:val="00B07FBE"/>
    <w:rsid w:val="00B10071"/>
    <w:rsid w:val="00B10536"/>
    <w:rsid w:val="00B1057D"/>
    <w:rsid w:val="00B10A7E"/>
    <w:rsid w:val="00B10FB8"/>
    <w:rsid w:val="00B112E6"/>
    <w:rsid w:val="00B1134C"/>
    <w:rsid w:val="00B11432"/>
    <w:rsid w:val="00B11598"/>
    <w:rsid w:val="00B1190E"/>
    <w:rsid w:val="00B11951"/>
    <w:rsid w:val="00B11C77"/>
    <w:rsid w:val="00B11E9F"/>
    <w:rsid w:val="00B1203A"/>
    <w:rsid w:val="00B12407"/>
    <w:rsid w:val="00B124D1"/>
    <w:rsid w:val="00B127D4"/>
    <w:rsid w:val="00B12ADE"/>
    <w:rsid w:val="00B12E83"/>
    <w:rsid w:val="00B13076"/>
    <w:rsid w:val="00B1322E"/>
    <w:rsid w:val="00B132DC"/>
    <w:rsid w:val="00B13635"/>
    <w:rsid w:val="00B138D7"/>
    <w:rsid w:val="00B138F2"/>
    <w:rsid w:val="00B13A32"/>
    <w:rsid w:val="00B13A79"/>
    <w:rsid w:val="00B13E91"/>
    <w:rsid w:val="00B13EB6"/>
    <w:rsid w:val="00B13FA6"/>
    <w:rsid w:val="00B1402F"/>
    <w:rsid w:val="00B14068"/>
    <w:rsid w:val="00B14F8E"/>
    <w:rsid w:val="00B14FF7"/>
    <w:rsid w:val="00B150CD"/>
    <w:rsid w:val="00B1521A"/>
    <w:rsid w:val="00B1523E"/>
    <w:rsid w:val="00B15243"/>
    <w:rsid w:val="00B15451"/>
    <w:rsid w:val="00B154CE"/>
    <w:rsid w:val="00B1553A"/>
    <w:rsid w:val="00B155CE"/>
    <w:rsid w:val="00B1585C"/>
    <w:rsid w:val="00B158CD"/>
    <w:rsid w:val="00B15A52"/>
    <w:rsid w:val="00B15D9F"/>
    <w:rsid w:val="00B15E4C"/>
    <w:rsid w:val="00B16243"/>
    <w:rsid w:val="00B16506"/>
    <w:rsid w:val="00B167E4"/>
    <w:rsid w:val="00B16996"/>
    <w:rsid w:val="00B16DAA"/>
    <w:rsid w:val="00B16EF6"/>
    <w:rsid w:val="00B16F06"/>
    <w:rsid w:val="00B16FE2"/>
    <w:rsid w:val="00B1792B"/>
    <w:rsid w:val="00B17AF5"/>
    <w:rsid w:val="00B17C71"/>
    <w:rsid w:val="00B17CA2"/>
    <w:rsid w:val="00B17F3A"/>
    <w:rsid w:val="00B202D5"/>
    <w:rsid w:val="00B20819"/>
    <w:rsid w:val="00B20881"/>
    <w:rsid w:val="00B210A1"/>
    <w:rsid w:val="00B2129A"/>
    <w:rsid w:val="00B2186F"/>
    <w:rsid w:val="00B219CE"/>
    <w:rsid w:val="00B21AF7"/>
    <w:rsid w:val="00B220DB"/>
    <w:rsid w:val="00B221BF"/>
    <w:rsid w:val="00B22256"/>
    <w:rsid w:val="00B22741"/>
    <w:rsid w:val="00B22906"/>
    <w:rsid w:val="00B22F5E"/>
    <w:rsid w:val="00B236EE"/>
    <w:rsid w:val="00B23AC1"/>
    <w:rsid w:val="00B23C54"/>
    <w:rsid w:val="00B23D47"/>
    <w:rsid w:val="00B2403B"/>
    <w:rsid w:val="00B240AD"/>
    <w:rsid w:val="00B24583"/>
    <w:rsid w:val="00B245E9"/>
    <w:rsid w:val="00B2464F"/>
    <w:rsid w:val="00B247EB"/>
    <w:rsid w:val="00B2484F"/>
    <w:rsid w:val="00B2494D"/>
    <w:rsid w:val="00B24B1F"/>
    <w:rsid w:val="00B2523D"/>
    <w:rsid w:val="00B25B8C"/>
    <w:rsid w:val="00B26283"/>
    <w:rsid w:val="00B26398"/>
    <w:rsid w:val="00B265E5"/>
    <w:rsid w:val="00B2661F"/>
    <w:rsid w:val="00B26D3B"/>
    <w:rsid w:val="00B272E1"/>
    <w:rsid w:val="00B273A3"/>
    <w:rsid w:val="00B27C37"/>
    <w:rsid w:val="00B27CE5"/>
    <w:rsid w:val="00B27D1A"/>
    <w:rsid w:val="00B27D35"/>
    <w:rsid w:val="00B27E9D"/>
    <w:rsid w:val="00B302F2"/>
    <w:rsid w:val="00B306CF"/>
    <w:rsid w:val="00B309B6"/>
    <w:rsid w:val="00B30C98"/>
    <w:rsid w:val="00B30F56"/>
    <w:rsid w:val="00B30F8E"/>
    <w:rsid w:val="00B314B6"/>
    <w:rsid w:val="00B31608"/>
    <w:rsid w:val="00B31D45"/>
    <w:rsid w:val="00B31D47"/>
    <w:rsid w:val="00B322C7"/>
    <w:rsid w:val="00B32563"/>
    <w:rsid w:val="00B3275F"/>
    <w:rsid w:val="00B331D6"/>
    <w:rsid w:val="00B33476"/>
    <w:rsid w:val="00B3362C"/>
    <w:rsid w:val="00B337AE"/>
    <w:rsid w:val="00B339C9"/>
    <w:rsid w:val="00B33DE1"/>
    <w:rsid w:val="00B33F64"/>
    <w:rsid w:val="00B3400E"/>
    <w:rsid w:val="00B34392"/>
    <w:rsid w:val="00B3441A"/>
    <w:rsid w:val="00B344EC"/>
    <w:rsid w:val="00B34667"/>
    <w:rsid w:val="00B346D9"/>
    <w:rsid w:val="00B34E92"/>
    <w:rsid w:val="00B3501C"/>
    <w:rsid w:val="00B351B9"/>
    <w:rsid w:val="00B352BE"/>
    <w:rsid w:val="00B354BF"/>
    <w:rsid w:val="00B35612"/>
    <w:rsid w:val="00B35667"/>
    <w:rsid w:val="00B3570B"/>
    <w:rsid w:val="00B35D20"/>
    <w:rsid w:val="00B35D37"/>
    <w:rsid w:val="00B36349"/>
    <w:rsid w:val="00B3649E"/>
    <w:rsid w:val="00B3661A"/>
    <w:rsid w:val="00B36720"/>
    <w:rsid w:val="00B36AA5"/>
    <w:rsid w:val="00B36EB2"/>
    <w:rsid w:val="00B36F51"/>
    <w:rsid w:val="00B36FE9"/>
    <w:rsid w:val="00B37326"/>
    <w:rsid w:val="00B374B1"/>
    <w:rsid w:val="00B3755C"/>
    <w:rsid w:val="00B376CE"/>
    <w:rsid w:val="00B379F6"/>
    <w:rsid w:val="00B37D23"/>
    <w:rsid w:val="00B37D3F"/>
    <w:rsid w:val="00B40220"/>
    <w:rsid w:val="00B404D3"/>
    <w:rsid w:val="00B40619"/>
    <w:rsid w:val="00B40933"/>
    <w:rsid w:val="00B40A7B"/>
    <w:rsid w:val="00B40B0F"/>
    <w:rsid w:val="00B40DD4"/>
    <w:rsid w:val="00B40FB6"/>
    <w:rsid w:val="00B41201"/>
    <w:rsid w:val="00B41450"/>
    <w:rsid w:val="00B41718"/>
    <w:rsid w:val="00B41B78"/>
    <w:rsid w:val="00B41F0A"/>
    <w:rsid w:val="00B4209C"/>
    <w:rsid w:val="00B424F8"/>
    <w:rsid w:val="00B42721"/>
    <w:rsid w:val="00B42C49"/>
    <w:rsid w:val="00B42DE6"/>
    <w:rsid w:val="00B430FF"/>
    <w:rsid w:val="00B4314B"/>
    <w:rsid w:val="00B43254"/>
    <w:rsid w:val="00B433F0"/>
    <w:rsid w:val="00B43655"/>
    <w:rsid w:val="00B43C2A"/>
    <w:rsid w:val="00B43C58"/>
    <w:rsid w:val="00B43DE6"/>
    <w:rsid w:val="00B43FA6"/>
    <w:rsid w:val="00B442C9"/>
    <w:rsid w:val="00B44526"/>
    <w:rsid w:val="00B446D2"/>
    <w:rsid w:val="00B44F81"/>
    <w:rsid w:val="00B452EB"/>
    <w:rsid w:val="00B45524"/>
    <w:rsid w:val="00B456D3"/>
    <w:rsid w:val="00B45AFA"/>
    <w:rsid w:val="00B45BE9"/>
    <w:rsid w:val="00B45C7E"/>
    <w:rsid w:val="00B45DD2"/>
    <w:rsid w:val="00B46147"/>
    <w:rsid w:val="00B46790"/>
    <w:rsid w:val="00B4696B"/>
    <w:rsid w:val="00B469E7"/>
    <w:rsid w:val="00B46AC2"/>
    <w:rsid w:val="00B46CEE"/>
    <w:rsid w:val="00B46D7F"/>
    <w:rsid w:val="00B4714A"/>
    <w:rsid w:val="00B47259"/>
    <w:rsid w:val="00B47289"/>
    <w:rsid w:val="00B47BBD"/>
    <w:rsid w:val="00B47C96"/>
    <w:rsid w:val="00B47EDE"/>
    <w:rsid w:val="00B5006D"/>
    <w:rsid w:val="00B502DA"/>
    <w:rsid w:val="00B504A8"/>
    <w:rsid w:val="00B5072C"/>
    <w:rsid w:val="00B508CE"/>
    <w:rsid w:val="00B50A98"/>
    <w:rsid w:val="00B50BBE"/>
    <w:rsid w:val="00B50C21"/>
    <w:rsid w:val="00B50D23"/>
    <w:rsid w:val="00B5110D"/>
    <w:rsid w:val="00B51333"/>
    <w:rsid w:val="00B51860"/>
    <w:rsid w:val="00B51D25"/>
    <w:rsid w:val="00B522ED"/>
    <w:rsid w:val="00B5234A"/>
    <w:rsid w:val="00B5274C"/>
    <w:rsid w:val="00B5292B"/>
    <w:rsid w:val="00B52AA4"/>
    <w:rsid w:val="00B52FB7"/>
    <w:rsid w:val="00B53056"/>
    <w:rsid w:val="00B53580"/>
    <w:rsid w:val="00B535C8"/>
    <w:rsid w:val="00B538E6"/>
    <w:rsid w:val="00B53E90"/>
    <w:rsid w:val="00B54303"/>
    <w:rsid w:val="00B54450"/>
    <w:rsid w:val="00B5445C"/>
    <w:rsid w:val="00B544E8"/>
    <w:rsid w:val="00B545D6"/>
    <w:rsid w:val="00B545FE"/>
    <w:rsid w:val="00B54645"/>
    <w:rsid w:val="00B549AD"/>
    <w:rsid w:val="00B54DE1"/>
    <w:rsid w:val="00B5526F"/>
    <w:rsid w:val="00B556AF"/>
    <w:rsid w:val="00B55ACC"/>
    <w:rsid w:val="00B55AE0"/>
    <w:rsid w:val="00B55BEF"/>
    <w:rsid w:val="00B560EB"/>
    <w:rsid w:val="00B561CB"/>
    <w:rsid w:val="00B56279"/>
    <w:rsid w:val="00B56528"/>
    <w:rsid w:val="00B56769"/>
    <w:rsid w:val="00B568F1"/>
    <w:rsid w:val="00B569EB"/>
    <w:rsid w:val="00B5702A"/>
    <w:rsid w:val="00B57158"/>
    <w:rsid w:val="00B57162"/>
    <w:rsid w:val="00B57413"/>
    <w:rsid w:val="00B57D04"/>
    <w:rsid w:val="00B57D32"/>
    <w:rsid w:val="00B57FA6"/>
    <w:rsid w:val="00B60120"/>
    <w:rsid w:val="00B6073A"/>
    <w:rsid w:val="00B60A71"/>
    <w:rsid w:val="00B60F6E"/>
    <w:rsid w:val="00B6134B"/>
    <w:rsid w:val="00B6145D"/>
    <w:rsid w:val="00B614A5"/>
    <w:rsid w:val="00B615AC"/>
    <w:rsid w:val="00B615FF"/>
    <w:rsid w:val="00B6167E"/>
    <w:rsid w:val="00B61EA9"/>
    <w:rsid w:val="00B626F6"/>
    <w:rsid w:val="00B62735"/>
    <w:rsid w:val="00B627F9"/>
    <w:rsid w:val="00B62852"/>
    <w:rsid w:val="00B62BDD"/>
    <w:rsid w:val="00B62E28"/>
    <w:rsid w:val="00B6306E"/>
    <w:rsid w:val="00B63BF4"/>
    <w:rsid w:val="00B642AD"/>
    <w:rsid w:val="00B64875"/>
    <w:rsid w:val="00B64907"/>
    <w:rsid w:val="00B64AA0"/>
    <w:rsid w:val="00B64ADA"/>
    <w:rsid w:val="00B6533B"/>
    <w:rsid w:val="00B654D5"/>
    <w:rsid w:val="00B654FB"/>
    <w:rsid w:val="00B65F4E"/>
    <w:rsid w:val="00B65F65"/>
    <w:rsid w:val="00B661D9"/>
    <w:rsid w:val="00B66255"/>
    <w:rsid w:val="00B66623"/>
    <w:rsid w:val="00B6666D"/>
    <w:rsid w:val="00B6699C"/>
    <w:rsid w:val="00B66CB5"/>
    <w:rsid w:val="00B6704D"/>
    <w:rsid w:val="00B67111"/>
    <w:rsid w:val="00B67470"/>
    <w:rsid w:val="00B67639"/>
    <w:rsid w:val="00B67697"/>
    <w:rsid w:val="00B677A5"/>
    <w:rsid w:val="00B6787D"/>
    <w:rsid w:val="00B67E8C"/>
    <w:rsid w:val="00B701E7"/>
    <w:rsid w:val="00B7025D"/>
    <w:rsid w:val="00B7034D"/>
    <w:rsid w:val="00B707E5"/>
    <w:rsid w:val="00B7098A"/>
    <w:rsid w:val="00B70C5A"/>
    <w:rsid w:val="00B70C9B"/>
    <w:rsid w:val="00B712F8"/>
    <w:rsid w:val="00B713D2"/>
    <w:rsid w:val="00B7196E"/>
    <w:rsid w:val="00B71BB9"/>
    <w:rsid w:val="00B71C34"/>
    <w:rsid w:val="00B72371"/>
    <w:rsid w:val="00B725F4"/>
    <w:rsid w:val="00B7291D"/>
    <w:rsid w:val="00B72981"/>
    <w:rsid w:val="00B72D9C"/>
    <w:rsid w:val="00B73451"/>
    <w:rsid w:val="00B73625"/>
    <w:rsid w:val="00B74B28"/>
    <w:rsid w:val="00B74CC5"/>
    <w:rsid w:val="00B7514E"/>
    <w:rsid w:val="00B753B2"/>
    <w:rsid w:val="00B75723"/>
    <w:rsid w:val="00B75975"/>
    <w:rsid w:val="00B75BCF"/>
    <w:rsid w:val="00B75CDD"/>
    <w:rsid w:val="00B75D59"/>
    <w:rsid w:val="00B76213"/>
    <w:rsid w:val="00B76453"/>
    <w:rsid w:val="00B768DD"/>
    <w:rsid w:val="00B768EF"/>
    <w:rsid w:val="00B76951"/>
    <w:rsid w:val="00B769E5"/>
    <w:rsid w:val="00B76D83"/>
    <w:rsid w:val="00B772B5"/>
    <w:rsid w:val="00B775FC"/>
    <w:rsid w:val="00B7760D"/>
    <w:rsid w:val="00B77A3F"/>
    <w:rsid w:val="00B80049"/>
    <w:rsid w:val="00B80232"/>
    <w:rsid w:val="00B803B7"/>
    <w:rsid w:val="00B80530"/>
    <w:rsid w:val="00B8086C"/>
    <w:rsid w:val="00B80BF6"/>
    <w:rsid w:val="00B80E77"/>
    <w:rsid w:val="00B80E8C"/>
    <w:rsid w:val="00B81145"/>
    <w:rsid w:val="00B8168B"/>
    <w:rsid w:val="00B81996"/>
    <w:rsid w:val="00B81E5D"/>
    <w:rsid w:val="00B821F5"/>
    <w:rsid w:val="00B82204"/>
    <w:rsid w:val="00B823AB"/>
    <w:rsid w:val="00B827D4"/>
    <w:rsid w:val="00B8292D"/>
    <w:rsid w:val="00B82AE9"/>
    <w:rsid w:val="00B835FC"/>
    <w:rsid w:val="00B8385B"/>
    <w:rsid w:val="00B83C13"/>
    <w:rsid w:val="00B84286"/>
    <w:rsid w:val="00B848DF"/>
    <w:rsid w:val="00B84B7B"/>
    <w:rsid w:val="00B84BD9"/>
    <w:rsid w:val="00B85333"/>
    <w:rsid w:val="00B85879"/>
    <w:rsid w:val="00B85A8C"/>
    <w:rsid w:val="00B85D98"/>
    <w:rsid w:val="00B85E03"/>
    <w:rsid w:val="00B86156"/>
    <w:rsid w:val="00B861C3"/>
    <w:rsid w:val="00B862F1"/>
    <w:rsid w:val="00B86529"/>
    <w:rsid w:val="00B866EB"/>
    <w:rsid w:val="00B86BF2"/>
    <w:rsid w:val="00B86CBB"/>
    <w:rsid w:val="00B86F40"/>
    <w:rsid w:val="00B8703D"/>
    <w:rsid w:val="00B87121"/>
    <w:rsid w:val="00B872DB"/>
    <w:rsid w:val="00B87B1C"/>
    <w:rsid w:val="00B87E28"/>
    <w:rsid w:val="00B87E9A"/>
    <w:rsid w:val="00B90171"/>
    <w:rsid w:val="00B901EB"/>
    <w:rsid w:val="00B90409"/>
    <w:rsid w:val="00B9066C"/>
    <w:rsid w:val="00B906A1"/>
    <w:rsid w:val="00B90A79"/>
    <w:rsid w:val="00B90C58"/>
    <w:rsid w:val="00B90F16"/>
    <w:rsid w:val="00B9169C"/>
    <w:rsid w:val="00B91799"/>
    <w:rsid w:val="00B917A2"/>
    <w:rsid w:val="00B91F0B"/>
    <w:rsid w:val="00B921F0"/>
    <w:rsid w:val="00B92249"/>
    <w:rsid w:val="00B9249F"/>
    <w:rsid w:val="00B925A2"/>
    <w:rsid w:val="00B925C4"/>
    <w:rsid w:val="00B92B63"/>
    <w:rsid w:val="00B92BB9"/>
    <w:rsid w:val="00B92CF7"/>
    <w:rsid w:val="00B93375"/>
    <w:rsid w:val="00B93571"/>
    <w:rsid w:val="00B935B0"/>
    <w:rsid w:val="00B93985"/>
    <w:rsid w:val="00B93BCB"/>
    <w:rsid w:val="00B93BFC"/>
    <w:rsid w:val="00B93F2F"/>
    <w:rsid w:val="00B9422A"/>
    <w:rsid w:val="00B942D6"/>
    <w:rsid w:val="00B94685"/>
    <w:rsid w:val="00B94789"/>
    <w:rsid w:val="00B94792"/>
    <w:rsid w:val="00B947B6"/>
    <w:rsid w:val="00B94E11"/>
    <w:rsid w:val="00B9504E"/>
    <w:rsid w:val="00B95279"/>
    <w:rsid w:val="00B956E2"/>
    <w:rsid w:val="00B957DF"/>
    <w:rsid w:val="00B95FA3"/>
    <w:rsid w:val="00B96A5E"/>
    <w:rsid w:val="00B96F44"/>
    <w:rsid w:val="00B96FDA"/>
    <w:rsid w:val="00B97A33"/>
    <w:rsid w:val="00B97DB5"/>
    <w:rsid w:val="00BA0402"/>
    <w:rsid w:val="00BA0436"/>
    <w:rsid w:val="00BA08EB"/>
    <w:rsid w:val="00BA104E"/>
    <w:rsid w:val="00BA11D2"/>
    <w:rsid w:val="00BA11EB"/>
    <w:rsid w:val="00BA1799"/>
    <w:rsid w:val="00BA1943"/>
    <w:rsid w:val="00BA1C1C"/>
    <w:rsid w:val="00BA20DF"/>
    <w:rsid w:val="00BA26DA"/>
    <w:rsid w:val="00BA28B5"/>
    <w:rsid w:val="00BA28D7"/>
    <w:rsid w:val="00BA29D9"/>
    <w:rsid w:val="00BA2B58"/>
    <w:rsid w:val="00BA335D"/>
    <w:rsid w:val="00BA34F0"/>
    <w:rsid w:val="00BA3907"/>
    <w:rsid w:val="00BA39A2"/>
    <w:rsid w:val="00BA3AD9"/>
    <w:rsid w:val="00BA3B86"/>
    <w:rsid w:val="00BA3CEE"/>
    <w:rsid w:val="00BA44E1"/>
    <w:rsid w:val="00BA45B5"/>
    <w:rsid w:val="00BA49F1"/>
    <w:rsid w:val="00BA4C31"/>
    <w:rsid w:val="00BA4F79"/>
    <w:rsid w:val="00BA5017"/>
    <w:rsid w:val="00BA54EB"/>
    <w:rsid w:val="00BA5A24"/>
    <w:rsid w:val="00BA5A8B"/>
    <w:rsid w:val="00BA6365"/>
    <w:rsid w:val="00BA6831"/>
    <w:rsid w:val="00BA687D"/>
    <w:rsid w:val="00BA69DC"/>
    <w:rsid w:val="00BA69ED"/>
    <w:rsid w:val="00BA6AD5"/>
    <w:rsid w:val="00BA6BDC"/>
    <w:rsid w:val="00BA6D00"/>
    <w:rsid w:val="00BA7195"/>
    <w:rsid w:val="00BA7746"/>
    <w:rsid w:val="00BA7838"/>
    <w:rsid w:val="00BA78F6"/>
    <w:rsid w:val="00BA7B7E"/>
    <w:rsid w:val="00BA7B80"/>
    <w:rsid w:val="00BA7E03"/>
    <w:rsid w:val="00BA7FCF"/>
    <w:rsid w:val="00BB087A"/>
    <w:rsid w:val="00BB0BEE"/>
    <w:rsid w:val="00BB0BFA"/>
    <w:rsid w:val="00BB15FB"/>
    <w:rsid w:val="00BB16AE"/>
    <w:rsid w:val="00BB172F"/>
    <w:rsid w:val="00BB1B1C"/>
    <w:rsid w:val="00BB1EDF"/>
    <w:rsid w:val="00BB1F05"/>
    <w:rsid w:val="00BB21A6"/>
    <w:rsid w:val="00BB224D"/>
    <w:rsid w:val="00BB2521"/>
    <w:rsid w:val="00BB29C1"/>
    <w:rsid w:val="00BB2E3F"/>
    <w:rsid w:val="00BB300A"/>
    <w:rsid w:val="00BB3024"/>
    <w:rsid w:val="00BB3069"/>
    <w:rsid w:val="00BB31F8"/>
    <w:rsid w:val="00BB3626"/>
    <w:rsid w:val="00BB4643"/>
    <w:rsid w:val="00BB4886"/>
    <w:rsid w:val="00BB48D0"/>
    <w:rsid w:val="00BB4C62"/>
    <w:rsid w:val="00BB4CE5"/>
    <w:rsid w:val="00BB4DA6"/>
    <w:rsid w:val="00BB4F77"/>
    <w:rsid w:val="00BB5321"/>
    <w:rsid w:val="00BB543F"/>
    <w:rsid w:val="00BB580A"/>
    <w:rsid w:val="00BB5A5B"/>
    <w:rsid w:val="00BB5AD9"/>
    <w:rsid w:val="00BB607B"/>
    <w:rsid w:val="00BB612F"/>
    <w:rsid w:val="00BB67A2"/>
    <w:rsid w:val="00BB68EC"/>
    <w:rsid w:val="00BB6A66"/>
    <w:rsid w:val="00BB6F49"/>
    <w:rsid w:val="00BB7008"/>
    <w:rsid w:val="00BB7751"/>
    <w:rsid w:val="00BB79FC"/>
    <w:rsid w:val="00BB7E33"/>
    <w:rsid w:val="00BB7EB5"/>
    <w:rsid w:val="00BC0519"/>
    <w:rsid w:val="00BC0A6E"/>
    <w:rsid w:val="00BC0B44"/>
    <w:rsid w:val="00BC0F9D"/>
    <w:rsid w:val="00BC10B1"/>
    <w:rsid w:val="00BC1432"/>
    <w:rsid w:val="00BC1630"/>
    <w:rsid w:val="00BC1713"/>
    <w:rsid w:val="00BC1A9A"/>
    <w:rsid w:val="00BC1E23"/>
    <w:rsid w:val="00BC2159"/>
    <w:rsid w:val="00BC21C9"/>
    <w:rsid w:val="00BC2873"/>
    <w:rsid w:val="00BC2938"/>
    <w:rsid w:val="00BC2992"/>
    <w:rsid w:val="00BC302F"/>
    <w:rsid w:val="00BC3049"/>
    <w:rsid w:val="00BC3080"/>
    <w:rsid w:val="00BC30E4"/>
    <w:rsid w:val="00BC31D2"/>
    <w:rsid w:val="00BC32FD"/>
    <w:rsid w:val="00BC359D"/>
    <w:rsid w:val="00BC3C0C"/>
    <w:rsid w:val="00BC3E01"/>
    <w:rsid w:val="00BC40C8"/>
    <w:rsid w:val="00BC43FF"/>
    <w:rsid w:val="00BC483A"/>
    <w:rsid w:val="00BC4FCB"/>
    <w:rsid w:val="00BC5199"/>
    <w:rsid w:val="00BC524E"/>
    <w:rsid w:val="00BC53F0"/>
    <w:rsid w:val="00BC5414"/>
    <w:rsid w:val="00BC5989"/>
    <w:rsid w:val="00BC5A50"/>
    <w:rsid w:val="00BC5CED"/>
    <w:rsid w:val="00BC5E87"/>
    <w:rsid w:val="00BC672A"/>
    <w:rsid w:val="00BC6765"/>
    <w:rsid w:val="00BC67EA"/>
    <w:rsid w:val="00BC6AD8"/>
    <w:rsid w:val="00BC6BF0"/>
    <w:rsid w:val="00BC7018"/>
    <w:rsid w:val="00BC734A"/>
    <w:rsid w:val="00BC7659"/>
    <w:rsid w:val="00BC7736"/>
    <w:rsid w:val="00BC7966"/>
    <w:rsid w:val="00BC7A3D"/>
    <w:rsid w:val="00BC7B67"/>
    <w:rsid w:val="00BC7C0B"/>
    <w:rsid w:val="00BD00CE"/>
    <w:rsid w:val="00BD03C1"/>
    <w:rsid w:val="00BD0409"/>
    <w:rsid w:val="00BD04B3"/>
    <w:rsid w:val="00BD0509"/>
    <w:rsid w:val="00BD0B6B"/>
    <w:rsid w:val="00BD0CF1"/>
    <w:rsid w:val="00BD0F4C"/>
    <w:rsid w:val="00BD1028"/>
    <w:rsid w:val="00BD1955"/>
    <w:rsid w:val="00BD1D3A"/>
    <w:rsid w:val="00BD2081"/>
    <w:rsid w:val="00BD2097"/>
    <w:rsid w:val="00BD22B3"/>
    <w:rsid w:val="00BD26FA"/>
    <w:rsid w:val="00BD2711"/>
    <w:rsid w:val="00BD27D7"/>
    <w:rsid w:val="00BD28BE"/>
    <w:rsid w:val="00BD2C5A"/>
    <w:rsid w:val="00BD2C8A"/>
    <w:rsid w:val="00BD32B5"/>
    <w:rsid w:val="00BD34BC"/>
    <w:rsid w:val="00BD354F"/>
    <w:rsid w:val="00BD384E"/>
    <w:rsid w:val="00BD3A82"/>
    <w:rsid w:val="00BD3B8A"/>
    <w:rsid w:val="00BD3DA6"/>
    <w:rsid w:val="00BD3ED0"/>
    <w:rsid w:val="00BD3F59"/>
    <w:rsid w:val="00BD4410"/>
    <w:rsid w:val="00BD47DE"/>
    <w:rsid w:val="00BD4A85"/>
    <w:rsid w:val="00BD4F4B"/>
    <w:rsid w:val="00BD4FE7"/>
    <w:rsid w:val="00BD570C"/>
    <w:rsid w:val="00BD57EF"/>
    <w:rsid w:val="00BD5A75"/>
    <w:rsid w:val="00BD5AA2"/>
    <w:rsid w:val="00BD5DD1"/>
    <w:rsid w:val="00BD5E00"/>
    <w:rsid w:val="00BD5EF1"/>
    <w:rsid w:val="00BD5FCE"/>
    <w:rsid w:val="00BD6034"/>
    <w:rsid w:val="00BD653F"/>
    <w:rsid w:val="00BD6C4D"/>
    <w:rsid w:val="00BD7505"/>
    <w:rsid w:val="00BD7808"/>
    <w:rsid w:val="00BD7BD9"/>
    <w:rsid w:val="00BD7D14"/>
    <w:rsid w:val="00BD7FD2"/>
    <w:rsid w:val="00BE0070"/>
    <w:rsid w:val="00BE0657"/>
    <w:rsid w:val="00BE0ECB"/>
    <w:rsid w:val="00BE0EF3"/>
    <w:rsid w:val="00BE1088"/>
    <w:rsid w:val="00BE15F9"/>
    <w:rsid w:val="00BE1848"/>
    <w:rsid w:val="00BE19A9"/>
    <w:rsid w:val="00BE1B26"/>
    <w:rsid w:val="00BE1E88"/>
    <w:rsid w:val="00BE2058"/>
    <w:rsid w:val="00BE2337"/>
    <w:rsid w:val="00BE25E7"/>
    <w:rsid w:val="00BE2745"/>
    <w:rsid w:val="00BE29D4"/>
    <w:rsid w:val="00BE3188"/>
    <w:rsid w:val="00BE31FC"/>
    <w:rsid w:val="00BE3808"/>
    <w:rsid w:val="00BE3E8F"/>
    <w:rsid w:val="00BE3FF0"/>
    <w:rsid w:val="00BE4004"/>
    <w:rsid w:val="00BE497F"/>
    <w:rsid w:val="00BE4A97"/>
    <w:rsid w:val="00BE4F34"/>
    <w:rsid w:val="00BE5356"/>
    <w:rsid w:val="00BE5BD3"/>
    <w:rsid w:val="00BE5E53"/>
    <w:rsid w:val="00BE628C"/>
    <w:rsid w:val="00BE63E9"/>
    <w:rsid w:val="00BE6418"/>
    <w:rsid w:val="00BE66EA"/>
    <w:rsid w:val="00BE672F"/>
    <w:rsid w:val="00BE6A89"/>
    <w:rsid w:val="00BE6B9B"/>
    <w:rsid w:val="00BE6C3A"/>
    <w:rsid w:val="00BE70B5"/>
    <w:rsid w:val="00BE7112"/>
    <w:rsid w:val="00BE7369"/>
    <w:rsid w:val="00BE74C9"/>
    <w:rsid w:val="00BE75EC"/>
    <w:rsid w:val="00BE7763"/>
    <w:rsid w:val="00BE7861"/>
    <w:rsid w:val="00BE7970"/>
    <w:rsid w:val="00BE7AE3"/>
    <w:rsid w:val="00BE7F23"/>
    <w:rsid w:val="00BF0227"/>
    <w:rsid w:val="00BF0587"/>
    <w:rsid w:val="00BF0724"/>
    <w:rsid w:val="00BF0768"/>
    <w:rsid w:val="00BF07D0"/>
    <w:rsid w:val="00BF0AD0"/>
    <w:rsid w:val="00BF1160"/>
    <w:rsid w:val="00BF1633"/>
    <w:rsid w:val="00BF1803"/>
    <w:rsid w:val="00BF18BA"/>
    <w:rsid w:val="00BF1A0D"/>
    <w:rsid w:val="00BF1D83"/>
    <w:rsid w:val="00BF2126"/>
    <w:rsid w:val="00BF2750"/>
    <w:rsid w:val="00BF29E5"/>
    <w:rsid w:val="00BF3189"/>
    <w:rsid w:val="00BF31B4"/>
    <w:rsid w:val="00BF34B3"/>
    <w:rsid w:val="00BF353F"/>
    <w:rsid w:val="00BF3588"/>
    <w:rsid w:val="00BF37E4"/>
    <w:rsid w:val="00BF3BDE"/>
    <w:rsid w:val="00BF3FAF"/>
    <w:rsid w:val="00BF434F"/>
    <w:rsid w:val="00BF45EF"/>
    <w:rsid w:val="00BF487C"/>
    <w:rsid w:val="00BF4BF0"/>
    <w:rsid w:val="00BF4CCC"/>
    <w:rsid w:val="00BF4EB7"/>
    <w:rsid w:val="00BF4FE0"/>
    <w:rsid w:val="00BF50DC"/>
    <w:rsid w:val="00BF510D"/>
    <w:rsid w:val="00BF51C6"/>
    <w:rsid w:val="00BF51ED"/>
    <w:rsid w:val="00BF53E4"/>
    <w:rsid w:val="00BF5DC7"/>
    <w:rsid w:val="00BF5DD1"/>
    <w:rsid w:val="00BF5DE0"/>
    <w:rsid w:val="00BF5E37"/>
    <w:rsid w:val="00BF60F5"/>
    <w:rsid w:val="00BF629A"/>
    <w:rsid w:val="00BF62C3"/>
    <w:rsid w:val="00BF6312"/>
    <w:rsid w:val="00BF64D6"/>
    <w:rsid w:val="00BF657C"/>
    <w:rsid w:val="00BF663E"/>
    <w:rsid w:val="00BF679C"/>
    <w:rsid w:val="00BF67C0"/>
    <w:rsid w:val="00BF6A38"/>
    <w:rsid w:val="00BF6ABD"/>
    <w:rsid w:val="00BF6FDF"/>
    <w:rsid w:val="00BF7106"/>
    <w:rsid w:val="00BF7138"/>
    <w:rsid w:val="00BF7843"/>
    <w:rsid w:val="00BF79E5"/>
    <w:rsid w:val="00BF7AC9"/>
    <w:rsid w:val="00BF7C86"/>
    <w:rsid w:val="00BF7CB9"/>
    <w:rsid w:val="00BF7CF6"/>
    <w:rsid w:val="00BF7E4F"/>
    <w:rsid w:val="00BF7EA7"/>
    <w:rsid w:val="00BF7F49"/>
    <w:rsid w:val="00C00047"/>
    <w:rsid w:val="00C00265"/>
    <w:rsid w:val="00C007E0"/>
    <w:rsid w:val="00C00965"/>
    <w:rsid w:val="00C00A00"/>
    <w:rsid w:val="00C00E7D"/>
    <w:rsid w:val="00C0107B"/>
    <w:rsid w:val="00C01110"/>
    <w:rsid w:val="00C015D8"/>
    <w:rsid w:val="00C01AD5"/>
    <w:rsid w:val="00C01D4D"/>
    <w:rsid w:val="00C02649"/>
    <w:rsid w:val="00C026DD"/>
    <w:rsid w:val="00C02746"/>
    <w:rsid w:val="00C027B4"/>
    <w:rsid w:val="00C02879"/>
    <w:rsid w:val="00C02BBE"/>
    <w:rsid w:val="00C02CD4"/>
    <w:rsid w:val="00C02E1D"/>
    <w:rsid w:val="00C02F9C"/>
    <w:rsid w:val="00C034D8"/>
    <w:rsid w:val="00C039D0"/>
    <w:rsid w:val="00C03A48"/>
    <w:rsid w:val="00C03D5A"/>
    <w:rsid w:val="00C03E6E"/>
    <w:rsid w:val="00C040C3"/>
    <w:rsid w:val="00C046C0"/>
    <w:rsid w:val="00C04934"/>
    <w:rsid w:val="00C04C8A"/>
    <w:rsid w:val="00C04F57"/>
    <w:rsid w:val="00C051FF"/>
    <w:rsid w:val="00C05255"/>
    <w:rsid w:val="00C0580F"/>
    <w:rsid w:val="00C05AE1"/>
    <w:rsid w:val="00C05B1F"/>
    <w:rsid w:val="00C05C5C"/>
    <w:rsid w:val="00C0621D"/>
    <w:rsid w:val="00C06594"/>
    <w:rsid w:val="00C06780"/>
    <w:rsid w:val="00C068A8"/>
    <w:rsid w:val="00C0690A"/>
    <w:rsid w:val="00C06D66"/>
    <w:rsid w:val="00C074DB"/>
    <w:rsid w:val="00C075AE"/>
    <w:rsid w:val="00C076E3"/>
    <w:rsid w:val="00C07D5A"/>
    <w:rsid w:val="00C07F94"/>
    <w:rsid w:val="00C10345"/>
    <w:rsid w:val="00C10350"/>
    <w:rsid w:val="00C10446"/>
    <w:rsid w:val="00C10797"/>
    <w:rsid w:val="00C109CA"/>
    <w:rsid w:val="00C10AD2"/>
    <w:rsid w:val="00C10AE1"/>
    <w:rsid w:val="00C10F60"/>
    <w:rsid w:val="00C10FE4"/>
    <w:rsid w:val="00C11110"/>
    <w:rsid w:val="00C11261"/>
    <w:rsid w:val="00C113E4"/>
    <w:rsid w:val="00C11581"/>
    <w:rsid w:val="00C115AE"/>
    <w:rsid w:val="00C1184D"/>
    <w:rsid w:val="00C118BB"/>
    <w:rsid w:val="00C129B7"/>
    <w:rsid w:val="00C12CDE"/>
    <w:rsid w:val="00C12F1F"/>
    <w:rsid w:val="00C13456"/>
    <w:rsid w:val="00C1357A"/>
    <w:rsid w:val="00C136BF"/>
    <w:rsid w:val="00C13D30"/>
    <w:rsid w:val="00C13E70"/>
    <w:rsid w:val="00C14291"/>
    <w:rsid w:val="00C146AB"/>
    <w:rsid w:val="00C14AB7"/>
    <w:rsid w:val="00C150B4"/>
    <w:rsid w:val="00C15159"/>
    <w:rsid w:val="00C153EE"/>
    <w:rsid w:val="00C15907"/>
    <w:rsid w:val="00C15E48"/>
    <w:rsid w:val="00C15F15"/>
    <w:rsid w:val="00C15F27"/>
    <w:rsid w:val="00C16234"/>
    <w:rsid w:val="00C163FB"/>
    <w:rsid w:val="00C16634"/>
    <w:rsid w:val="00C16A46"/>
    <w:rsid w:val="00C16B4D"/>
    <w:rsid w:val="00C16C30"/>
    <w:rsid w:val="00C16CC6"/>
    <w:rsid w:val="00C16F4A"/>
    <w:rsid w:val="00C170D3"/>
    <w:rsid w:val="00C17175"/>
    <w:rsid w:val="00C1743A"/>
    <w:rsid w:val="00C1770F"/>
    <w:rsid w:val="00C1784E"/>
    <w:rsid w:val="00C178BF"/>
    <w:rsid w:val="00C202AF"/>
    <w:rsid w:val="00C2038D"/>
    <w:rsid w:val="00C20464"/>
    <w:rsid w:val="00C208B2"/>
    <w:rsid w:val="00C20AA1"/>
    <w:rsid w:val="00C20C42"/>
    <w:rsid w:val="00C20CC0"/>
    <w:rsid w:val="00C21260"/>
    <w:rsid w:val="00C2128A"/>
    <w:rsid w:val="00C214F1"/>
    <w:rsid w:val="00C2175B"/>
    <w:rsid w:val="00C2190D"/>
    <w:rsid w:val="00C21C58"/>
    <w:rsid w:val="00C21F85"/>
    <w:rsid w:val="00C225DB"/>
    <w:rsid w:val="00C2262C"/>
    <w:rsid w:val="00C2287E"/>
    <w:rsid w:val="00C22B2A"/>
    <w:rsid w:val="00C232DA"/>
    <w:rsid w:val="00C23542"/>
    <w:rsid w:val="00C23706"/>
    <w:rsid w:val="00C2395A"/>
    <w:rsid w:val="00C23EDC"/>
    <w:rsid w:val="00C24118"/>
    <w:rsid w:val="00C2466E"/>
    <w:rsid w:val="00C246A0"/>
    <w:rsid w:val="00C24CA0"/>
    <w:rsid w:val="00C24FBE"/>
    <w:rsid w:val="00C25205"/>
    <w:rsid w:val="00C25232"/>
    <w:rsid w:val="00C255AB"/>
    <w:rsid w:val="00C25867"/>
    <w:rsid w:val="00C25966"/>
    <w:rsid w:val="00C25AC7"/>
    <w:rsid w:val="00C26003"/>
    <w:rsid w:val="00C2626A"/>
    <w:rsid w:val="00C2642C"/>
    <w:rsid w:val="00C26612"/>
    <w:rsid w:val="00C26ACC"/>
    <w:rsid w:val="00C26C88"/>
    <w:rsid w:val="00C26D77"/>
    <w:rsid w:val="00C270E2"/>
    <w:rsid w:val="00C271C2"/>
    <w:rsid w:val="00C27638"/>
    <w:rsid w:val="00C2763F"/>
    <w:rsid w:val="00C27A44"/>
    <w:rsid w:val="00C27B08"/>
    <w:rsid w:val="00C27D2E"/>
    <w:rsid w:val="00C27D9B"/>
    <w:rsid w:val="00C300F3"/>
    <w:rsid w:val="00C3019E"/>
    <w:rsid w:val="00C3074D"/>
    <w:rsid w:val="00C30998"/>
    <w:rsid w:val="00C30BBD"/>
    <w:rsid w:val="00C30C7D"/>
    <w:rsid w:val="00C30CB2"/>
    <w:rsid w:val="00C30EBC"/>
    <w:rsid w:val="00C30FFB"/>
    <w:rsid w:val="00C313DB"/>
    <w:rsid w:val="00C31A4A"/>
    <w:rsid w:val="00C31E52"/>
    <w:rsid w:val="00C325C3"/>
    <w:rsid w:val="00C326F0"/>
    <w:rsid w:val="00C32819"/>
    <w:rsid w:val="00C328B2"/>
    <w:rsid w:val="00C33102"/>
    <w:rsid w:val="00C33283"/>
    <w:rsid w:val="00C33478"/>
    <w:rsid w:val="00C334AC"/>
    <w:rsid w:val="00C33BA3"/>
    <w:rsid w:val="00C33BC5"/>
    <w:rsid w:val="00C33FA7"/>
    <w:rsid w:val="00C34685"/>
    <w:rsid w:val="00C34CCE"/>
    <w:rsid w:val="00C34E7F"/>
    <w:rsid w:val="00C3554F"/>
    <w:rsid w:val="00C355B4"/>
    <w:rsid w:val="00C356BB"/>
    <w:rsid w:val="00C357F7"/>
    <w:rsid w:val="00C36193"/>
    <w:rsid w:val="00C361C6"/>
    <w:rsid w:val="00C36535"/>
    <w:rsid w:val="00C36760"/>
    <w:rsid w:val="00C367A0"/>
    <w:rsid w:val="00C3690F"/>
    <w:rsid w:val="00C36AA9"/>
    <w:rsid w:val="00C36AD8"/>
    <w:rsid w:val="00C36D7A"/>
    <w:rsid w:val="00C36E48"/>
    <w:rsid w:val="00C36F70"/>
    <w:rsid w:val="00C37113"/>
    <w:rsid w:val="00C3757E"/>
    <w:rsid w:val="00C3760E"/>
    <w:rsid w:val="00C3792C"/>
    <w:rsid w:val="00C37F12"/>
    <w:rsid w:val="00C4034E"/>
    <w:rsid w:val="00C40453"/>
    <w:rsid w:val="00C406BE"/>
    <w:rsid w:val="00C41870"/>
    <w:rsid w:val="00C418F3"/>
    <w:rsid w:val="00C41A73"/>
    <w:rsid w:val="00C41D01"/>
    <w:rsid w:val="00C41E72"/>
    <w:rsid w:val="00C41EE8"/>
    <w:rsid w:val="00C42208"/>
    <w:rsid w:val="00C422FC"/>
    <w:rsid w:val="00C42628"/>
    <w:rsid w:val="00C42752"/>
    <w:rsid w:val="00C4279C"/>
    <w:rsid w:val="00C42A2E"/>
    <w:rsid w:val="00C42C68"/>
    <w:rsid w:val="00C430FB"/>
    <w:rsid w:val="00C43124"/>
    <w:rsid w:val="00C4319D"/>
    <w:rsid w:val="00C4341A"/>
    <w:rsid w:val="00C4355F"/>
    <w:rsid w:val="00C438F8"/>
    <w:rsid w:val="00C43955"/>
    <w:rsid w:val="00C43C68"/>
    <w:rsid w:val="00C43EE4"/>
    <w:rsid w:val="00C43F2B"/>
    <w:rsid w:val="00C43F50"/>
    <w:rsid w:val="00C443A3"/>
    <w:rsid w:val="00C44A57"/>
    <w:rsid w:val="00C44A65"/>
    <w:rsid w:val="00C44B3B"/>
    <w:rsid w:val="00C45270"/>
    <w:rsid w:val="00C452A0"/>
    <w:rsid w:val="00C453C4"/>
    <w:rsid w:val="00C455A3"/>
    <w:rsid w:val="00C45624"/>
    <w:rsid w:val="00C45943"/>
    <w:rsid w:val="00C45BA5"/>
    <w:rsid w:val="00C45C14"/>
    <w:rsid w:val="00C45CBD"/>
    <w:rsid w:val="00C45D5F"/>
    <w:rsid w:val="00C45E3A"/>
    <w:rsid w:val="00C4653F"/>
    <w:rsid w:val="00C465A7"/>
    <w:rsid w:val="00C46754"/>
    <w:rsid w:val="00C4679B"/>
    <w:rsid w:val="00C46909"/>
    <w:rsid w:val="00C46C39"/>
    <w:rsid w:val="00C46F00"/>
    <w:rsid w:val="00C471D8"/>
    <w:rsid w:val="00C47659"/>
    <w:rsid w:val="00C47A12"/>
    <w:rsid w:val="00C47F5E"/>
    <w:rsid w:val="00C5002D"/>
    <w:rsid w:val="00C502B5"/>
    <w:rsid w:val="00C50538"/>
    <w:rsid w:val="00C505AD"/>
    <w:rsid w:val="00C506A4"/>
    <w:rsid w:val="00C5093D"/>
    <w:rsid w:val="00C50993"/>
    <w:rsid w:val="00C50C70"/>
    <w:rsid w:val="00C50F7A"/>
    <w:rsid w:val="00C514AF"/>
    <w:rsid w:val="00C515A7"/>
    <w:rsid w:val="00C519EB"/>
    <w:rsid w:val="00C520E2"/>
    <w:rsid w:val="00C524FA"/>
    <w:rsid w:val="00C528E3"/>
    <w:rsid w:val="00C52971"/>
    <w:rsid w:val="00C52DB3"/>
    <w:rsid w:val="00C53844"/>
    <w:rsid w:val="00C5399F"/>
    <w:rsid w:val="00C53B00"/>
    <w:rsid w:val="00C53DD9"/>
    <w:rsid w:val="00C53DF2"/>
    <w:rsid w:val="00C54136"/>
    <w:rsid w:val="00C54218"/>
    <w:rsid w:val="00C542CB"/>
    <w:rsid w:val="00C544F7"/>
    <w:rsid w:val="00C548C7"/>
    <w:rsid w:val="00C54905"/>
    <w:rsid w:val="00C54A41"/>
    <w:rsid w:val="00C54AD2"/>
    <w:rsid w:val="00C54B5B"/>
    <w:rsid w:val="00C55703"/>
    <w:rsid w:val="00C558C9"/>
    <w:rsid w:val="00C559D5"/>
    <w:rsid w:val="00C559DB"/>
    <w:rsid w:val="00C5625E"/>
    <w:rsid w:val="00C566A8"/>
    <w:rsid w:val="00C56A80"/>
    <w:rsid w:val="00C57508"/>
    <w:rsid w:val="00C57518"/>
    <w:rsid w:val="00C5789B"/>
    <w:rsid w:val="00C57AF5"/>
    <w:rsid w:val="00C57B90"/>
    <w:rsid w:val="00C57BE4"/>
    <w:rsid w:val="00C57ED6"/>
    <w:rsid w:val="00C60058"/>
    <w:rsid w:val="00C60201"/>
    <w:rsid w:val="00C60244"/>
    <w:rsid w:val="00C6034F"/>
    <w:rsid w:val="00C604C8"/>
    <w:rsid w:val="00C604D4"/>
    <w:rsid w:val="00C609D6"/>
    <w:rsid w:val="00C609F5"/>
    <w:rsid w:val="00C60C42"/>
    <w:rsid w:val="00C60D54"/>
    <w:rsid w:val="00C611FF"/>
    <w:rsid w:val="00C61722"/>
    <w:rsid w:val="00C618B8"/>
    <w:rsid w:val="00C619DF"/>
    <w:rsid w:val="00C61C36"/>
    <w:rsid w:val="00C6236F"/>
    <w:rsid w:val="00C62898"/>
    <w:rsid w:val="00C62CA4"/>
    <w:rsid w:val="00C62D64"/>
    <w:rsid w:val="00C63496"/>
    <w:rsid w:val="00C6386E"/>
    <w:rsid w:val="00C639F5"/>
    <w:rsid w:val="00C63AD8"/>
    <w:rsid w:val="00C63CD0"/>
    <w:rsid w:val="00C63DE2"/>
    <w:rsid w:val="00C63FD3"/>
    <w:rsid w:val="00C6419F"/>
    <w:rsid w:val="00C64896"/>
    <w:rsid w:val="00C64B04"/>
    <w:rsid w:val="00C64C39"/>
    <w:rsid w:val="00C64F5B"/>
    <w:rsid w:val="00C6512A"/>
    <w:rsid w:val="00C65221"/>
    <w:rsid w:val="00C659F7"/>
    <w:rsid w:val="00C65C84"/>
    <w:rsid w:val="00C668B7"/>
    <w:rsid w:val="00C66927"/>
    <w:rsid w:val="00C66D79"/>
    <w:rsid w:val="00C66E90"/>
    <w:rsid w:val="00C66EC2"/>
    <w:rsid w:val="00C67220"/>
    <w:rsid w:val="00C6735C"/>
    <w:rsid w:val="00C676C7"/>
    <w:rsid w:val="00C67724"/>
    <w:rsid w:val="00C6781F"/>
    <w:rsid w:val="00C6788D"/>
    <w:rsid w:val="00C67B60"/>
    <w:rsid w:val="00C67B7D"/>
    <w:rsid w:val="00C70092"/>
    <w:rsid w:val="00C704E9"/>
    <w:rsid w:val="00C706E9"/>
    <w:rsid w:val="00C70712"/>
    <w:rsid w:val="00C70772"/>
    <w:rsid w:val="00C70951"/>
    <w:rsid w:val="00C70B10"/>
    <w:rsid w:val="00C70B2A"/>
    <w:rsid w:val="00C70FFB"/>
    <w:rsid w:val="00C71241"/>
    <w:rsid w:val="00C71617"/>
    <w:rsid w:val="00C71AFA"/>
    <w:rsid w:val="00C71C0D"/>
    <w:rsid w:val="00C720AF"/>
    <w:rsid w:val="00C722F2"/>
    <w:rsid w:val="00C7234B"/>
    <w:rsid w:val="00C724A5"/>
    <w:rsid w:val="00C724F2"/>
    <w:rsid w:val="00C7267D"/>
    <w:rsid w:val="00C72974"/>
    <w:rsid w:val="00C729EC"/>
    <w:rsid w:val="00C72A32"/>
    <w:rsid w:val="00C72CE9"/>
    <w:rsid w:val="00C72EEF"/>
    <w:rsid w:val="00C7313E"/>
    <w:rsid w:val="00C7314C"/>
    <w:rsid w:val="00C731DF"/>
    <w:rsid w:val="00C7346F"/>
    <w:rsid w:val="00C735A7"/>
    <w:rsid w:val="00C7392B"/>
    <w:rsid w:val="00C73960"/>
    <w:rsid w:val="00C73F1F"/>
    <w:rsid w:val="00C740B5"/>
    <w:rsid w:val="00C740FB"/>
    <w:rsid w:val="00C7413F"/>
    <w:rsid w:val="00C74463"/>
    <w:rsid w:val="00C74484"/>
    <w:rsid w:val="00C744EA"/>
    <w:rsid w:val="00C7467A"/>
    <w:rsid w:val="00C74846"/>
    <w:rsid w:val="00C74C6A"/>
    <w:rsid w:val="00C74FED"/>
    <w:rsid w:val="00C750D8"/>
    <w:rsid w:val="00C754DD"/>
    <w:rsid w:val="00C756B5"/>
    <w:rsid w:val="00C7578A"/>
    <w:rsid w:val="00C75845"/>
    <w:rsid w:val="00C7599A"/>
    <w:rsid w:val="00C75A79"/>
    <w:rsid w:val="00C75A8F"/>
    <w:rsid w:val="00C75AE3"/>
    <w:rsid w:val="00C75D76"/>
    <w:rsid w:val="00C7613A"/>
    <w:rsid w:val="00C761D0"/>
    <w:rsid w:val="00C76590"/>
    <w:rsid w:val="00C767D8"/>
    <w:rsid w:val="00C76E32"/>
    <w:rsid w:val="00C77169"/>
    <w:rsid w:val="00C77222"/>
    <w:rsid w:val="00C773F5"/>
    <w:rsid w:val="00C77710"/>
    <w:rsid w:val="00C7797C"/>
    <w:rsid w:val="00C779FC"/>
    <w:rsid w:val="00C8016E"/>
    <w:rsid w:val="00C80280"/>
    <w:rsid w:val="00C8028D"/>
    <w:rsid w:val="00C80747"/>
    <w:rsid w:val="00C80AB1"/>
    <w:rsid w:val="00C80DA5"/>
    <w:rsid w:val="00C80F96"/>
    <w:rsid w:val="00C80FB9"/>
    <w:rsid w:val="00C8119C"/>
    <w:rsid w:val="00C81BE0"/>
    <w:rsid w:val="00C81ED2"/>
    <w:rsid w:val="00C81EE6"/>
    <w:rsid w:val="00C82098"/>
    <w:rsid w:val="00C8210C"/>
    <w:rsid w:val="00C8234B"/>
    <w:rsid w:val="00C8255B"/>
    <w:rsid w:val="00C82676"/>
    <w:rsid w:val="00C8316B"/>
    <w:rsid w:val="00C83B22"/>
    <w:rsid w:val="00C83B48"/>
    <w:rsid w:val="00C83C20"/>
    <w:rsid w:val="00C83ED3"/>
    <w:rsid w:val="00C84161"/>
    <w:rsid w:val="00C84251"/>
    <w:rsid w:val="00C84600"/>
    <w:rsid w:val="00C84838"/>
    <w:rsid w:val="00C84A67"/>
    <w:rsid w:val="00C85338"/>
    <w:rsid w:val="00C85918"/>
    <w:rsid w:val="00C85D10"/>
    <w:rsid w:val="00C85F3E"/>
    <w:rsid w:val="00C86979"/>
    <w:rsid w:val="00C87084"/>
    <w:rsid w:val="00C875CC"/>
    <w:rsid w:val="00C8781E"/>
    <w:rsid w:val="00C87A87"/>
    <w:rsid w:val="00C87E59"/>
    <w:rsid w:val="00C902BC"/>
    <w:rsid w:val="00C904D9"/>
    <w:rsid w:val="00C90710"/>
    <w:rsid w:val="00C908AB"/>
    <w:rsid w:val="00C90931"/>
    <w:rsid w:val="00C90D5F"/>
    <w:rsid w:val="00C90D6F"/>
    <w:rsid w:val="00C9111B"/>
    <w:rsid w:val="00C91146"/>
    <w:rsid w:val="00C913B6"/>
    <w:rsid w:val="00C918C8"/>
    <w:rsid w:val="00C91B12"/>
    <w:rsid w:val="00C91B70"/>
    <w:rsid w:val="00C91E94"/>
    <w:rsid w:val="00C91F27"/>
    <w:rsid w:val="00C920DB"/>
    <w:rsid w:val="00C9259D"/>
    <w:rsid w:val="00C92B17"/>
    <w:rsid w:val="00C92CE8"/>
    <w:rsid w:val="00C92E5C"/>
    <w:rsid w:val="00C93412"/>
    <w:rsid w:val="00C935C6"/>
    <w:rsid w:val="00C936DA"/>
    <w:rsid w:val="00C93725"/>
    <w:rsid w:val="00C93B38"/>
    <w:rsid w:val="00C93CD4"/>
    <w:rsid w:val="00C93E4B"/>
    <w:rsid w:val="00C9449F"/>
    <w:rsid w:val="00C94508"/>
    <w:rsid w:val="00C94710"/>
    <w:rsid w:val="00C94851"/>
    <w:rsid w:val="00C94A36"/>
    <w:rsid w:val="00C94D27"/>
    <w:rsid w:val="00C94D95"/>
    <w:rsid w:val="00C94DA8"/>
    <w:rsid w:val="00C9507E"/>
    <w:rsid w:val="00C95151"/>
    <w:rsid w:val="00C95313"/>
    <w:rsid w:val="00C955E2"/>
    <w:rsid w:val="00C95ED6"/>
    <w:rsid w:val="00C95EFC"/>
    <w:rsid w:val="00C95FFC"/>
    <w:rsid w:val="00C96054"/>
    <w:rsid w:val="00C96858"/>
    <w:rsid w:val="00C969A9"/>
    <w:rsid w:val="00C96DB4"/>
    <w:rsid w:val="00C96F9A"/>
    <w:rsid w:val="00C97016"/>
    <w:rsid w:val="00C9722F"/>
    <w:rsid w:val="00C97482"/>
    <w:rsid w:val="00C9774C"/>
    <w:rsid w:val="00C977C9"/>
    <w:rsid w:val="00C978A6"/>
    <w:rsid w:val="00C979AE"/>
    <w:rsid w:val="00C979FB"/>
    <w:rsid w:val="00C97A1C"/>
    <w:rsid w:val="00C97EB6"/>
    <w:rsid w:val="00CA0194"/>
    <w:rsid w:val="00CA037F"/>
    <w:rsid w:val="00CA03D5"/>
    <w:rsid w:val="00CA0458"/>
    <w:rsid w:val="00CA06A9"/>
    <w:rsid w:val="00CA0826"/>
    <w:rsid w:val="00CA0D28"/>
    <w:rsid w:val="00CA0DD3"/>
    <w:rsid w:val="00CA0E58"/>
    <w:rsid w:val="00CA0E74"/>
    <w:rsid w:val="00CA16B0"/>
    <w:rsid w:val="00CA170C"/>
    <w:rsid w:val="00CA18DA"/>
    <w:rsid w:val="00CA1B88"/>
    <w:rsid w:val="00CA1BA2"/>
    <w:rsid w:val="00CA1C67"/>
    <w:rsid w:val="00CA1F90"/>
    <w:rsid w:val="00CA20C6"/>
    <w:rsid w:val="00CA22C1"/>
    <w:rsid w:val="00CA24E5"/>
    <w:rsid w:val="00CA262F"/>
    <w:rsid w:val="00CA2681"/>
    <w:rsid w:val="00CA278A"/>
    <w:rsid w:val="00CA2A5B"/>
    <w:rsid w:val="00CA2DC4"/>
    <w:rsid w:val="00CA303C"/>
    <w:rsid w:val="00CA3B37"/>
    <w:rsid w:val="00CA3E7C"/>
    <w:rsid w:val="00CA4663"/>
    <w:rsid w:val="00CA467A"/>
    <w:rsid w:val="00CA4713"/>
    <w:rsid w:val="00CA4A8A"/>
    <w:rsid w:val="00CA4BAD"/>
    <w:rsid w:val="00CA5180"/>
    <w:rsid w:val="00CA5200"/>
    <w:rsid w:val="00CA5218"/>
    <w:rsid w:val="00CA5247"/>
    <w:rsid w:val="00CA52B7"/>
    <w:rsid w:val="00CA567B"/>
    <w:rsid w:val="00CA58D7"/>
    <w:rsid w:val="00CA5B1E"/>
    <w:rsid w:val="00CA5C8D"/>
    <w:rsid w:val="00CA5CBD"/>
    <w:rsid w:val="00CA5EDA"/>
    <w:rsid w:val="00CA60E2"/>
    <w:rsid w:val="00CA6674"/>
    <w:rsid w:val="00CA66B8"/>
    <w:rsid w:val="00CA6D6A"/>
    <w:rsid w:val="00CA6DB6"/>
    <w:rsid w:val="00CA77D3"/>
    <w:rsid w:val="00CA7DB3"/>
    <w:rsid w:val="00CA7DEB"/>
    <w:rsid w:val="00CA7E5E"/>
    <w:rsid w:val="00CA7FF2"/>
    <w:rsid w:val="00CB0158"/>
    <w:rsid w:val="00CB02FC"/>
    <w:rsid w:val="00CB099B"/>
    <w:rsid w:val="00CB09D3"/>
    <w:rsid w:val="00CB1086"/>
    <w:rsid w:val="00CB1670"/>
    <w:rsid w:val="00CB1734"/>
    <w:rsid w:val="00CB1D3F"/>
    <w:rsid w:val="00CB1F92"/>
    <w:rsid w:val="00CB227D"/>
    <w:rsid w:val="00CB2853"/>
    <w:rsid w:val="00CB28F1"/>
    <w:rsid w:val="00CB29BC"/>
    <w:rsid w:val="00CB2BCD"/>
    <w:rsid w:val="00CB30BB"/>
    <w:rsid w:val="00CB3328"/>
    <w:rsid w:val="00CB380E"/>
    <w:rsid w:val="00CB385A"/>
    <w:rsid w:val="00CB3AA6"/>
    <w:rsid w:val="00CB4268"/>
    <w:rsid w:val="00CB4371"/>
    <w:rsid w:val="00CB44F0"/>
    <w:rsid w:val="00CB458D"/>
    <w:rsid w:val="00CB45CB"/>
    <w:rsid w:val="00CB45E3"/>
    <w:rsid w:val="00CB4607"/>
    <w:rsid w:val="00CB488A"/>
    <w:rsid w:val="00CB496E"/>
    <w:rsid w:val="00CB4DDA"/>
    <w:rsid w:val="00CB5285"/>
    <w:rsid w:val="00CB556A"/>
    <w:rsid w:val="00CB5803"/>
    <w:rsid w:val="00CB5849"/>
    <w:rsid w:val="00CB58A3"/>
    <w:rsid w:val="00CB5964"/>
    <w:rsid w:val="00CB62CD"/>
    <w:rsid w:val="00CB63A0"/>
    <w:rsid w:val="00CB70F1"/>
    <w:rsid w:val="00CB7221"/>
    <w:rsid w:val="00CB7575"/>
    <w:rsid w:val="00CB75BD"/>
    <w:rsid w:val="00CB7659"/>
    <w:rsid w:val="00CB789E"/>
    <w:rsid w:val="00CB7AB8"/>
    <w:rsid w:val="00CB7AC7"/>
    <w:rsid w:val="00CB7C3A"/>
    <w:rsid w:val="00CB7CBE"/>
    <w:rsid w:val="00CC01E7"/>
    <w:rsid w:val="00CC0587"/>
    <w:rsid w:val="00CC06EE"/>
    <w:rsid w:val="00CC0E69"/>
    <w:rsid w:val="00CC1062"/>
    <w:rsid w:val="00CC11B1"/>
    <w:rsid w:val="00CC14F8"/>
    <w:rsid w:val="00CC1522"/>
    <w:rsid w:val="00CC15B1"/>
    <w:rsid w:val="00CC160C"/>
    <w:rsid w:val="00CC19E6"/>
    <w:rsid w:val="00CC1BC1"/>
    <w:rsid w:val="00CC2188"/>
    <w:rsid w:val="00CC267B"/>
    <w:rsid w:val="00CC2827"/>
    <w:rsid w:val="00CC2E57"/>
    <w:rsid w:val="00CC320F"/>
    <w:rsid w:val="00CC325B"/>
    <w:rsid w:val="00CC36D5"/>
    <w:rsid w:val="00CC39B1"/>
    <w:rsid w:val="00CC39DC"/>
    <w:rsid w:val="00CC40DF"/>
    <w:rsid w:val="00CC4DE4"/>
    <w:rsid w:val="00CC4E80"/>
    <w:rsid w:val="00CC4F72"/>
    <w:rsid w:val="00CC5022"/>
    <w:rsid w:val="00CC523D"/>
    <w:rsid w:val="00CC52BA"/>
    <w:rsid w:val="00CC561A"/>
    <w:rsid w:val="00CC56C2"/>
    <w:rsid w:val="00CC5A07"/>
    <w:rsid w:val="00CC5A44"/>
    <w:rsid w:val="00CC5C3B"/>
    <w:rsid w:val="00CC5CC5"/>
    <w:rsid w:val="00CC5D25"/>
    <w:rsid w:val="00CC5DE9"/>
    <w:rsid w:val="00CC5E0A"/>
    <w:rsid w:val="00CC5E47"/>
    <w:rsid w:val="00CC60EB"/>
    <w:rsid w:val="00CC60F0"/>
    <w:rsid w:val="00CC62C8"/>
    <w:rsid w:val="00CC6464"/>
    <w:rsid w:val="00CC6855"/>
    <w:rsid w:val="00CC6AA1"/>
    <w:rsid w:val="00CC772B"/>
    <w:rsid w:val="00CC78AC"/>
    <w:rsid w:val="00CC79DB"/>
    <w:rsid w:val="00CC7AEB"/>
    <w:rsid w:val="00CC7C91"/>
    <w:rsid w:val="00CC7F73"/>
    <w:rsid w:val="00CD040D"/>
    <w:rsid w:val="00CD04F0"/>
    <w:rsid w:val="00CD08C5"/>
    <w:rsid w:val="00CD08E9"/>
    <w:rsid w:val="00CD099D"/>
    <w:rsid w:val="00CD0CF3"/>
    <w:rsid w:val="00CD0EBB"/>
    <w:rsid w:val="00CD168F"/>
    <w:rsid w:val="00CD1893"/>
    <w:rsid w:val="00CD1A96"/>
    <w:rsid w:val="00CD1ADC"/>
    <w:rsid w:val="00CD235B"/>
    <w:rsid w:val="00CD2B84"/>
    <w:rsid w:val="00CD2E65"/>
    <w:rsid w:val="00CD2ED8"/>
    <w:rsid w:val="00CD2F9E"/>
    <w:rsid w:val="00CD3659"/>
    <w:rsid w:val="00CD385B"/>
    <w:rsid w:val="00CD3B0B"/>
    <w:rsid w:val="00CD3C4E"/>
    <w:rsid w:val="00CD3E33"/>
    <w:rsid w:val="00CD3FB3"/>
    <w:rsid w:val="00CD4288"/>
    <w:rsid w:val="00CD4601"/>
    <w:rsid w:val="00CD4878"/>
    <w:rsid w:val="00CD48B5"/>
    <w:rsid w:val="00CD4AFC"/>
    <w:rsid w:val="00CD4DA5"/>
    <w:rsid w:val="00CD4EA6"/>
    <w:rsid w:val="00CD4EB5"/>
    <w:rsid w:val="00CD52A6"/>
    <w:rsid w:val="00CD5335"/>
    <w:rsid w:val="00CD5427"/>
    <w:rsid w:val="00CD54DB"/>
    <w:rsid w:val="00CD5738"/>
    <w:rsid w:val="00CD584D"/>
    <w:rsid w:val="00CD5894"/>
    <w:rsid w:val="00CD5A10"/>
    <w:rsid w:val="00CD5AEA"/>
    <w:rsid w:val="00CD5E3B"/>
    <w:rsid w:val="00CD5F85"/>
    <w:rsid w:val="00CD614B"/>
    <w:rsid w:val="00CD6698"/>
    <w:rsid w:val="00CD669C"/>
    <w:rsid w:val="00CD6A8C"/>
    <w:rsid w:val="00CD6C93"/>
    <w:rsid w:val="00CD6F92"/>
    <w:rsid w:val="00CD7156"/>
    <w:rsid w:val="00CD71C8"/>
    <w:rsid w:val="00CD7793"/>
    <w:rsid w:val="00CD7C14"/>
    <w:rsid w:val="00CD7C3E"/>
    <w:rsid w:val="00CD7E37"/>
    <w:rsid w:val="00CE00D9"/>
    <w:rsid w:val="00CE023D"/>
    <w:rsid w:val="00CE02B9"/>
    <w:rsid w:val="00CE0438"/>
    <w:rsid w:val="00CE0763"/>
    <w:rsid w:val="00CE0882"/>
    <w:rsid w:val="00CE0EDE"/>
    <w:rsid w:val="00CE0FD6"/>
    <w:rsid w:val="00CE1647"/>
    <w:rsid w:val="00CE1754"/>
    <w:rsid w:val="00CE1833"/>
    <w:rsid w:val="00CE228D"/>
    <w:rsid w:val="00CE24AC"/>
    <w:rsid w:val="00CE24FE"/>
    <w:rsid w:val="00CE28D6"/>
    <w:rsid w:val="00CE2C7C"/>
    <w:rsid w:val="00CE2FC6"/>
    <w:rsid w:val="00CE3381"/>
    <w:rsid w:val="00CE3470"/>
    <w:rsid w:val="00CE377E"/>
    <w:rsid w:val="00CE390E"/>
    <w:rsid w:val="00CE3E93"/>
    <w:rsid w:val="00CE40C4"/>
    <w:rsid w:val="00CE40EC"/>
    <w:rsid w:val="00CE4505"/>
    <w:rsid w:val="00CE4B15"/>
    <w:rsid w:val="00CE503E"/>
    <w:rsid w:val="00CE5478"/>
    <w:rsid w:val="00CE5E03"/>
    <w:rsid w:val="00CE5EA1"/>
    <w:rsid w:val="00CE6314"/>
    <w:rsid w:val="00CE69F7"/>
    <w:rsid w:val="00CE6D37"/>
    <w:rsid w:val="00CE6EEB"/>
    <w:rsid w:val="00CE6F2E"/>
    <w:rsid w:val="00CE78D0"/>
    <w:rsid w:val="00CE7C5B"/>
    <w:rsid w:val="00CF065A"/>
    <w:rsid w:val="00CF07F9"/>
    <w:rsid w:val="00CF0914"/>
    <w:rsid w:val="00CF0CE1"/>
    <w:rsid w:val="00CF116C"/>
    <w:rsid w:val="00CF12ED"/>
    <w:rsid w:val="00CF156A"/>
    <w:rsid w:val="00CF15DF"/>
    <w:rsid w:val="00CF1773"/>
    <w:rsid w:val="00CF1AD2"/>
    <w:rsid w:val="00CF2179"/>
    <w:rsid w:val="00CF247D"/>
    <w:rsid w:val="00CF256A"/>
    <w:rsid w:val="00CF2A17"/>
    <w:rsid w:val="00CF2D3E"/>
    <w:rsid w:val="00CF2DC3"/>
    <w:rsid w:val="00CF3D43"/>
    <w:rsid w:val="00CF3E28"/>
    <w:rsid w:val="00CF3F84"/>
    <w:rsid w:val="00CF40DD"/>
    <w:rsid w:val="00CF41C3"/>
    <w:rsid w:val="00CF44E9"/>
    <w:rsid w:val="00CF45A5"/>
    <w:rsid w:val="00CF4AD1"/>
    <w:rsid w:val="00CF4BE6"/>
    <w:rsid w:val="00CF4C3C"/>
    <w:rsid w:val="00CF4F5F"/>
    <w:rsid w:val="00CF5796"/>
    <w:rsid w:val="00CF5F9B"/>
    <w:rsid w:val="00CF6843"/>
    <w:rsid w:val="00CF68F5"/>
    <w:rsid w:val="00CF6912"/>
    <w:rsid w:val="00CF6E05"/>
    <w:rsid w:val="00CF72DB"/>
    <w:rsid w:val="00CF72E2"/>
    <w:rsid w:val="00CF745C"/>
    <w:rsid w:val="00CF75FA"/>
    <w:rsid w:val="00CF7A19"/>
    <w:rsid w:val="00CF7AE6"/>
    <w:rsid w:val="00CF7B37"/>
    <w:rsid w:val="00D00144"/>
    <w:rsid w:val="00D0034D"/>
    <w:rsid w:val="00D0049B"/>
    <w:rsid w:val="00D0059B"/>
    <w:rsid w:val="00D00BE2"/>
    <w:rsid w:val="00D00D10"/>
    <w:rsid w:val="00D00E6E"/>
    <w:rsid w:val="00D011A5"/>
    <w:rsid w:val="00D014DC"/>
    <w:rsid w:val="00D01AB8"/>
    <w:rsid w:val="00D01CE3"/>
    <w:rsid w:val="00D020B8"/>
    <w:rsid w:val="00D0222F"/>
    <w:rsid w:val="00D026A9"/>
    <w:rsid w:val="00D02DA9"/>
    <w:rsid w:val="00D0325D"/>
    <w:rsid w:val="00D0332B"/>
    <w:rsid w:val="00D0359C"/>
    <w:rsid w:val="00D0386A"/>
    <w:rsid w:val="00D03885"/>
    <w:rsid w:val="00D03972"/>
    <w:rsid w:val="00D03AB0"/>
    <w:rsid w:val="00D03CBC"/>
    <w:rsid w:val="00D03FCF"/>
    <w:rsid w:val="00D0434A"/>
    <w:rsid w:val="00D04509"/>
    <w:rsid w:val="00D0456D"/>
    <w:rsid w:val="00D04A07"/>
    <w:rsid w:val="00D04AF3"/>
    <w:rsid w:val="00D04FE9"/>
    <w:rsid w:val="00D05460"/>
    <w:rsid w:val="00D054A0"/>
    <w:rsid w:val="00D0558E"/>
    <w:rsid w:val="00D0574B"/>
    <w:rsid w:val="00D05AB1"/>
    <w:rsid w:val="00D05B77"/>
    <w:rsid w:val="00D0668D"/>
    <w:rsid w:val="00D067F1"/>
    <w:rsid w:val="00D06983"/>
    <w:rsid w:val="00D06C0E"/>
    <w:rsid w:val="00D07122"/>
    <w:rsid w:val="00D071CC"/>
    <w:rsid w:val="00D073BD"/>
    <w:rsid w:val="00D076A7"/>
    <w:rsid w:val="00D0773A"/>
    <w:rsid w:val="00D077F3"/>
    <w:rsid w:val="00D077F4"/>
    <w:rsid w:val="00D07C51"/>
    <w:rsid w:val="00D102E3"/>
    <w:rsid w:val="00D103C4"/>
    <w:rsid w:val="00D10548"/>
    <w:rsid w:val="00D1127B"/>
    <w:rsid w:val="00D11288"/>
    <w:rsid w:val="00D117DA"/>
    <w:rsid w:val="00D11887"/>
    <w:rsid w:val="00D11894"/>
    <w:rsid w:val="00D11ADA"/>
    <w:rsid w:val="00D11B5F"/>
    <w:rsid w:val="00D11DFF"/>
    <w:rsid w:val="00D11EE8"/>
    <w:rsid w:val="00D12365"/>
    <w:rsid w:val="00D12651"/>
    <w:rsid w:val="00D12674"/>
    <w:rsid w:val="00D127B4"/>
    <w:rsid w:val="00D128FD"/>
    <w:rsid w:val="00D12905"/>
    <w:rsid w:val="00D129AF"/>
    <w:rsid w:val="00D12B82"/>
    <w:rsid w:val="00D12BF9"/>
    <w:rsid w:val="00D12CEB"/>
    <w:rsid w:val="00D12E15"/>
    <w:rsid w:val="00D13405"/>
    <w:rsid w:val="00D134CC"/>
    <w:rsid w:val="00D13CC6"/>
    <w:rsid w:val="00D13FE6"/>
    <w:rsid w:val="00D1425A"/>
    <w:rsid w:val="00D1445B"/>
    <w:rsid w:val="00D1467F"/>
    <w:rsid w:val="00D1495E"/>
    <w:rsid w:val="00D14DAC"/>
    <w:rsid w:val="00D152FF"/>
    <w:rsid w:val="00D153E1"/>
    <w:rsid w:val="00D15453"/>
    <w:rsid w:val="00D156AB"/>
    <w:rsid w:val="00D157BD"/>
    <w:rsid w:val="00D15921"/>
    <w:rsid w:val="00D15A75"/>
    <w:rsid w:val="00D15DA8"/>
    <w:rsid w:val="00D16486"/>
    <w:rsid w:val="00D16925"/>
    <w:rsid w:val="00D16AE1"/>
    <w:rsid w:val="00D16E80"/>
    <w:rsid w:val="00D17297"/>
    <w:rsid w:val="00D172BB"/>
    <w:rsid w:val="00D174FD"/>
    <w:rsid w:val="00D175A7"/>
    <w:rsid w:val="00D17B31"/>
    <w:rsid w:val="00D17FF5"/>
    <w:rsid w:val="00D209D2"/>
    <w:rsid w:val="00D210BC"/>
    <w:rsid w:val="00D210D4"/>
    <w:rsid w:val="00D212A7"/>
    <w:rsid w:val="00D2137B"/>
    <w:rsid w:val="00D213FC"/>
    <w:rsid w:val="00D21C96"/>
    <w:rsid w:val="00D21E11"/>
    <w:rsid w:val="00D220FF"/>
    <w:rsid w:val="00D22269"/>
    <w:rsid w:val="00D22546"/>
    <w:rsid w:val="00D22834"/>
    <w:rsid w:val="00D22880"/>
    <w:rsid w:val="00D22A7E"/>
    <w:rsid w:val="00D2303F"/>
    <w:rsid w:val="00D230F7"/>
    <w:rsid w:val="00D23187"/>
    <w:rsid w:val="00D2367B"/>
    <w:rsid w:val="00D23762"/>
    <w:rsid w:val="00D243B5"/>
    <w:rsid w:val="00D24ECD"/>
    <w:rsid w:val="00D24F56"/>
    <w:rsid w:val="00D2507E"/>
    <w:rsid w:val="00D25111"/>
    <w:rsid w:val="00D25AC9"/>
    <w:rsid w:val="00D25AFB"/>
    <w:rsid w:val="00D25C2F"/>
    <w:rsid w:val="00D26027"/>
    <w:rsid w:val="00D260EC"/>
    <w:rsid w:val="00D26137"/>
    <w:rsid w:val="00D26256"/>
    <w:rsid w:val="00D2630F"/>
    <w:rsid w:val="00D265EC"/>
    <w:rsid w:val="00D26720"/>
    <w:rsid w:val="00D267EF"/>
    <w:rsid w:val="00D26A5F"/>
    <w:rsid w:val="00D270BA"/>
    <w:rsid w:val="00D270C2"/>
    <w:rsid w:val="00D27128"/>
    <w:rsid w:val="00D2725F"/>
    <w:rsid w:val="00D276A1"/>
    <w:rsid w:val="00D27851"/>
    <w:rsid w:val="00D278E3"/>
    <w:rsid w:val="00D27A07"/>
    <w:rsid w:val="00D27AD8"/>
    <w:rsid w:val="00D27D57"/>
    <w:rsid w:val="00D27EA9"/>
    <w:rsid w:val="00D3037F"/>
    <w:rsid w:val="00D3059B"/>
    <w:rsid w:val="00D3083E"/>
    <w:rsid w:val="00D30B3B"/>
    <w:rsid w:val="00D30D25"/>
    <w:rsid w:val="00D30EDE"/>
    <w:rsid w:val="00D311F1"/>
    <w:rsid w:val="00D312CF"/>
    <w:rsid w:val="00D31369"/>
    <w:rsid w:val="00D31855"/>
    <w:rsid w:val="00D318CC"/>
    <w:rsid w:val="00D31A99"/>
    <w:rsid w:val="00D329DB"/>
    <w:rsid w:val="00D32FDC"/>
    <w:rsid w:val="00D33140"/>
    <w:rsid w:val="00D33159"/>
    <w:rsid w:val="00D33166"/>
    <w:rsid w:val="00D33348"/>
    <w:rsid w:val="00D33378"/>
    <w:rsid w:val="00D333E2"/>
    <w:rsid w:val="00D33F06"/>
    <w:rsid w:val="00D33F9D"/>
    <w:rsid w:val="00D34644"/>
    <w:rsid w:val="00D347E1"/>
    <w:rsid w:val="00D3482A"/>
    <w:rsid w:val="00D34A4C"/>
    <w:rsid w:val="00D34EA6"/>
    <w:rsid w:val="00D351F6"/>
    <w:rsid w:val="00D35215"/>
    <w:rsid w:val="00D35437"/>
    <w:rsid w:val="00D35BB8"/>
    <w:rsid w:val="00D36073"/>
    <w:rsid w:val="00D36297"/>
    <w:rsid w:val="00D36326"/>
    <w:rsid w:val="00D36531"/>
    <w:rsid w:val="00D3688D"/>
    <w:rsid w:val="00D36A18"/>
    <w:rsid w:val="00D36EF6"/>
    <w:rsid w:val="00D37075"/>
    <w:rsid w:val="00D3763F"/>
    <w:rsid w:val="00D3776F"/>
    <w:rsid w:val="00D37A38"/>
    <w:rsid w:val="00D37A62"/>
    <w:rsid w:val="00D37B6D"/>
    <w:rsid w:val="00D37DE6"/>
    <w:rsid w:val="00D401D9"/>
    <w:rsid w:val="00D40580"/>
    <w:rsid w:val="00D4087D"/>
    <w:rsid w:val="00D40C6C"/>
    <w:rsid w:val="00D413A2"/>
    <w:rsid w:val="00D41695"/>
    <w:rsid w:val="00D41954"/>
    <w:rsid w:val="00D41CA2"/>
    <w:rsid w:val="00D422B1"/>
    <w:rsid w:val="00D4234B"/>
    <w:rsid w:val="00D42563"/>
    <w:rsid w:val="00D42723"/>
    <w:rsid w:val="00D42A7A"/>
    <w:rsid w:val="00D42BB5"/>
    <w:rsid w:val="00D42F4F"/>
    <w:rsid w:val="00D4312A"/>
    <w:rsid w:val="00D435A4"/>
    <w:rsid w:val="00D436E3"/>
    <w:rsid w:val="00D438E7"/>
    <w:rsid w:val="00D43B82"/>
    <w:rsid w:val="00D43C1A"/>
    <w:rsid w:val="00D43E57"/>
    <w:rsid w:val="00D43F91"/>
    <w:rsid w:val="00D443FB"/>
    <w:rsid w:val="00D44447"/>
    <w:rsid w:val="00D44BC7"/>
    <w:rsid w:val="00D44D74"/>
    <w:rsid w:val="00D4504A"/>
    <w:rsid w:val="00D45299"/>
    <w:rsid w:val="00D4575A"/>
    <w:rsid w:val="00D45BB2"/>
    <w:rsid w:val="00D45C6F"/>
    <w:rsid w:val="00D46694"/>
    <w:rsid w:val="00D46822"/>
    <w:rsid w:val="00D46897"/>
    <w:rsid w:val="00D469CD"/>
    <w:rsid w:val="00D46AF3"/>
    <w:rsid w:val="00D46FFC"/>
    <w:rsid w:val="00D478DA"/>
    <w:rsid w:val="00D47947"/>
    <w:rsid w:val="00D479D4"/>
    <w:rsid w:val="00D47A01"/>
    <w:rsid w:val="00D50281"/>
    <w:rsid w:val="00D5067B"/>
    <w:rsid w:val="00D50819"/>
    <w:rsid w:val="00D50F41"/>
    <w:rsid w:val="00D51002"/>
    <w:rsid w:val="00D5126A"/>
    <w:rsid w:val="00D514C3"/>
    <w:rsid w:val="00D51765"/>
    <w:rsid w:val="00D51861"/>
    <w:rsid w:val="00D51A16"/>
    <w:rsid w:val="00D51E25"/>
    <w:rsid w:val="00D520A2"/>
    <w:rsid w:val="00D520C2"/>
    <w:rsid w:val="00D52190"/>
    <w:rsid w:val="00D526F3"/>
    <w:rsid w:val="00D52978"/>
    <w:rsid w:val="00D52C4B"/>
    <w:rsid w:val="00D52C7D"/>
    <w:rsid w:val="00D52E84"/>
    <w:rsid w:val="00D5318A"/>
    <w:rsid w:val="00D5323D"/>
    <w:rsid w:val="00D532FC"/>
    <w:rsid w:val="00D5331C"/>
    <w:rsid w:val="00D53371"/>
    <w:rsid w:val="00D53B94"/>
    <w:rsid w:val="00D53BBB"/>
    <w:rsid w:val="00D54098"/>
    <w:rsid w:val="00D54270"/>
    <w:rsid w:val="00D543D8"/>
    <w:rsid w:val="00D543E9"/>
    <w:rsid w:val="00D5454D"/>
    <w:rsid w:val="00D5461A"/>
    <w:rsid w:val="00D54723"/>
    <w:rsid w:val="00D54B86"/>
    <w:rsid w:val="00D5531B"/>
    <w:rsid w:val="00D55444"/>
    <w:rsid w:val="00D5573D"/>
    <w:rsid w:val="00D55769"/>
    <w:rsid w:val="00D56217"/>
    <w:rsid w:val="00D5672F"/>
    <w:rsid w:val="00D568BB"/>
    <w:rsid w:val="00D56AEF"/>
    <w:rsid w:val="00D56DAD"/>
    <w:rsid w:val="00D570F7"/>
    <w:rsid w:val="00D5722F"/>
    <w:rsid w:val="00D57739"/>
    <w:rsid w:val="00D57A17"/>
    <w:rsid w:val="00D57B63"/>
    <w:rsid w:val="00D57D58"/>
    <w:rsid w:val="00D57E96"/>
    <w:rsid w:val="00D60280"/>
    <w:rsid w:val="00D602C6"/>
    <w:rsid w:val="00D603FD"/>
    <w:rsid w:val="00D604E7"/>
    <w:rsid w:val="00D60882"/>
    <w:rsid w:val="00D60F2B"/>
    <w:rsid w:val="00D61011"/>
    <w:rsid w:val="00D612DD"/>
    <w:rsid w:val="00D61AD5"/>
    <w:rsid w:val="00D61EFC"/>
    <w:rsid w:val="00D6200E"/>
    <w:rsid w:val="00D62041"/>
    <w:rsid w:val="00D62053"/>
    <w:rsid w:val="00D62129"/>
    <w:rsid w:val="00D621F3"/>
    <w:rsid w:val="00D6259F"/>
    <w:rsid w:val="00D62A7B"/>
    <w:rsid w:val="00D62AB2"/>
    <w:rsid w:val="00D62B00"/>
    <w:rsid w:val="00D62C69"/>
    <w:rsid w:val="00D62E49"/>
    <w:rsid w:val="00D630DC"/>
    <w:rsid w:val="00D6345A"/>
    <w:rsid w:val="00D636E0"/>
    <w:rsid w:val="00D639BB"/>
    <w:rsid w:val="00D640D6"/>
    <w:rsid w:val="00D642B1"/>
    <w:rsid w:val="00D6450E"/>
    <w:rsid w:val="00D64624"/>
    <w:rsid w:val="00D64637"/>
    <w:rsid w:val="00D646C4"/>
    <w:rsid w:val="00D647BE"/>
    <w:rsid w:val="00D64B41"/>
    <w:rsid w:val="00D64D69"/>
    <w:rsid w:val="00D650D4"/>
    <w:rsid w:val="00D65217"/>
    <w:rsid w:val="00D662E0"/>
    <w:rsid w:val="00D66322"/>
    <w:rsid w:val="00D663EA"/>
    <w:rsid w:val="00D6706B"/>
    <w:rsid w:val="00D672B0"/>
    <w:rsid w:val="00D672B7"/>
    <w:rsid w:val="00D675C9"/>
    <w:rsid w:val="00D67AC8"/>
    <w:rsid w:val="00D67B60"/>
    <w:rsid w:val="00D67C84"/>
    <w:rsid w:val="00D706A3"/>
    <w:rsid w:val="00D70968"/>
    <w:rsid w:val="00D70A1C"/>
    <w:rsid w:val="00D710CD"/>
    <w:rsid w:val="00D7131A"/>
    <w:rsid w:val="00D716FC"/>
    <w:rsid w:val="00D71AD5"/>
    <w:rsid w:val="00D71AD8"/>
    <w:rsid w:val="00D71C5C"/>
    <w:rsid w:val="00D721FB"/>
    <w:rsid w:val="00D72301"/>
    <w:rsid w:val="00D72472"/>
    <w:rsid w:val="00D72612"/>
    <w:rsid w:val="00D72C78"/>
    <w:rsid w:val="00D72D6D"/>
    <w:rsid w:val="00D7300E"/>
    <w:rsid w:val="00D7305E"/>
    <w:rsid w:val="00D735AE"/>
    <w:rsid w:val="00D73668"/>
    <w:rsid w:val="00D736C3"/>
    <w:rsid w:val="00D73967"/>
    <w:rsid w:val="00D74A50"/>
    <w:rsid w:val="00D74D68"/>
    <w:rsid w:val="00D7508F"/>
    <w:rsid w:val="00D751BE"/>
    <w:rsid w:val="00D751C3"/>
    <w:rsid w:val="00D7560A"/>
    <w:rsid w:val="00D7587B"/>
    <w:rsid w:val="00D75A4E"/>
    <w:rsid w:val="00D75D0F"/>
    <w:rsid w:val="00D75DC7"/>
    <w:rsid w:val="00D75F00"/>
    <w:rsid w:val="00D761A8"/>
    <w:rsid w:val="00D7660D"/>
    <w:rsid w:val="00D7674C"/>
    <w:rsid w:val="00D768BD"/>
    <w:rsid w:val="00D76A28"/>
    <w:rsid w:val="00D76C93"/>
    <w:rsid w:val="00D76CE0"/>
    <w:rsid w:val="00D76D22"/>
    <w:rsid w:val="00D76EA8"/>
    <w:rsid w:val="00D77002"/>
    <w:rsid w:val="00D77FB1"/>
    <w:rsid w:val="00D8018B"/>
    <w:rsid w:val="00D802B5"/>
    <w:rsid w:val="00D803C9"/>
    <w:rsid w:val="00D80663"/>
    <w:rsid w:val="00D807B5"/>
    <w:rsid w:val="00D809B9"/>
    <w:rsid w:val="00D80B35"/>
    <w:rsid w:val="00D81468"/>
    <w:rsid w:val="00D81A14"/>
    <w:rsid w:val="00D81DC3"/>
    <w:rsid w:val="00D81F2B"/>
    <w:rsid w:val="00D82086"/>
    <w:rsid w:val="00D821A0"/>
    <w:rsid w:val="00D82361"/>
    <w:rsid w:val="00D82430"/>
    <w:rsid w:val="00D825E6"/>
    <w:rsid w:val="00D82A77"/>
    <w:rsid w:val="00D82C40"/>
    <w:rsid w:val="00D8302D"/>
    <w:rsid w:val="00D835FD"/>
    <w:rsid w:val="00D83BAC"/>
    <w:rsid w:val="00D83C15"/>
    <w:rsid w:val="00D83C8C"/>
    <w:rsid w:val="00D8481C"/>
    <w:rsid w:val="00D84F2B"/>
    <w:rsid w:val="00D84FDE"/>
    <w:rsid w:val="00D85220"/>
    <w:rsid w:val="00D8522D"/>
    <w:rsid w:val="00D8528E"/>
    <w:rsid w:val="00D8541B"/>
    <w:rsid w:val="00D8542D"/>
    <w:rsid w:val="00D8578C"/>
    <w:rsid w:val="00D85A48"/>
    <w:rsid w:val="00D85B88"/>
    <w:rsid w:val="00D8603C"/>
    <w:rsid w:val="00D861BB"/>
    <w:rsid w:val="00D863EA"/>
    <w:rsid w:val="00D865CE"/>
    <w:rsid w:val="00D86A5F"/>
    <w:rsid w:val="00D86A62"/>
    <w:rsid w:val="00D86C29"/>
    <w:rsid w:val="00D871E3"/>
    <w:rsid w:val="00D873AE"/>
    <w:rsid w:val="00D87671"/>
    <w:rsid w:val="00D8797C"/>
    <w:rsid w:val="00D87A30"/>
    <w:rsid w:val="00D87AD0"/>
    <w:rsid w:val="00D87B3A"/>
    <w:rsid w:val="00D87B3C"/>
    <w:rsid w:val="00D901CF"/>
    <w:rsid w:val="00D9031E"/>
    <w:rsid w:val="00D9040A"/>
    <w:rsid w:val="00D9058B"/>
    <w:rsid w:val="00D9080D"/>
    <w:rsid w:val="00D90C19"/>
    <w:rsid w:val="00D91056"/>
    <w:rsid w:val="00D91FF5"/>
    <w:rsid w:val="00D9227C"/>
    <w:rsid w:val="00D92382"/>
    <w:rsid w:val="00D92397"/>
    <w:rsid w:val="00D9264E"/>
    <w:rsid w:val="00D9279E"/>
    <w:rsid w:val="00D92804"/>
    <w:rsid w:val="00D92866"/>
    <w:rsid w:val="00D93022"/>
    <w:rsid w:val="00D93080"/>
    <w:rsid w:val="00D938DE"/>
    <w:rsid w:val="00D93AB1"/>
    <w:rsid w:val="00D93FE1"/>
    <w:rsid w:val="00D941B1"/>
    <w:rsid w:val="00D94227"/>
    <w:rsid w:val="00D942EF"/>
    <w:rsid w:val="00D94413"/>
    <w:rsid w:val="00D9480D"/>
    <w:rsid w:val="00D94A99"/>
    <w:rsid w:val="00D94B5C"/>
    <w:rsid w:val="00D94D2B"/>
    <w:rsid w:val="00D95267"/>
    <w:rsid w:val="00D953EC"/>
    <w:rsid w:val="00D9553C"/>
    <w:rsid w:val="00D95B96"/>
    <w:rsid w:val="00D9625D"/>
    <w:rsid w:val="00D96278"/>
    <w:rsid w:val="00D9636E"/>
    <w:rsid w:val="00D96435"/>
    <w:rsid w:val="00D968DE"/>
    <w:rsid w:val="00D96DED"/>
    <w:rsid w:val="00D97601"/>
    <w:rsid w:val="00D97722"/>
    <w:rsid w:val="00D97E76"/>
    <w:rsid w:val="00D97FFA"/>
    <w:rsid w:val="00DA0766"/>
    <w:rsid w:val="00DA0A94"/>
    <w:rsid w:val="00DA0C51"/>
    <w:rsid w:val="00DA0CDF"/>
    <w:rsid w:val="00DA0E7C"/>
    <w:rsid w:val="00DA1340"/>
    <w:rsid w:val="00DA148D"/>
    <w:rsid w:val="00DA15E0"/>
    <w:rsid w:val="00DA1C92"/>
    <w:rsid w:val="00DA200E"/>
    <w:rsid w:val="00DA2360"/>
    <w:rsid w:val="00DA240B"/>
    <w:rsid w:val="00DA2897"/>
    <w:rsid w:val="00DA2C81"/>
    <w:rsid w:val="00DA32AF"/>
    <w:rsid w:val="00DA3C33"/>
    <w:rsid w:val="00DA4120"/>
    <w:rsid w:val="00DA4280"/>
    <w:rsid w:val="00DA4359"/>
    <w:rsid w:val="00DA487F"/>
    <w:rsid w:val="00DA48D1"/>
    <w:rsid w:val="00DA49D4"/>
    <w:rsid w:val="00DA4D19"/>
    <w:rsid w:val="00DA4F8E"/>
    <w:rsid w:val="00DA5436"/>
    <w:rsid w:val="00DA59CA"/>
    <w:rsid w:val="00DA5A0D"/>
    <w:rsid w:val="00DA5DF9"/>
    <w:rsid w:val="00DA5F6D"/>
    <w:rsid w:val="00DA5F78"/>
    <w:rsid w:val="00DA60CA"/>
    <w:rsid w:val="00DA6570"/>
    <w:rsid w:val="00DA692D"/>
    <w:rsid w:val="00DA6C72"/>
    <w:rsid w:val="00DA6E86"/>
    <w:rsid w:val="00DA6F7C"/>
    <w:rsid w:val="00DA74F7"/>
    <w:rsid w:val="00DA76C0"/>
    <w:rsid w:val="00DA77C2"/>
    <w:rsid w:val="00DA78C8"/>
    <w:rsid w:val="00DA78E8"/>
    <w:rsid w:val="00DB01A2"/>
    <w:rsid w:val="00DB028A"/>
    <w:rsid w:val="00DB1295"/>
    <w:rsid w:val="00DB1412"/>
    <w:rsid w:val="00DB155D"/>
    <w:rsid w:val="00DB15E3"/>
    <w:rsid w:val="00DB16E0"/>
    <w:rsid w:val="00DB1B63"/>
    <w:rsid w:val="00DB1C5B"/>
    <w:rsid w:val="00DB1CA6"/>
    <w:rsid w:val="00DB1D68"/>
    <w:rsid w:val="00DB2030"/>
    <w:rsid w:val="00DB21DE"/>
    <w:rsid w:val="00DB23A6"/>
    <w:rsid w:val="00DB26BC"/>
    <w:rsid w:val="00DB27D2"/>
    <w:rsid w:val="00DB28A1"/>
    <w:rsid w:val="00DB2978"/>
    <w:rsid w:val="00DB2A20"/>
    <w:rsid w:val="00DB2A30"/>
    <w:rsid w:val="00DB2EBB"/>
    <w:rsid w:val="00DB2F9C"/>
    <w:rsid w:val="00DB310E"/>
    <w:rsid w:val="00DB3926"/>
    <w:rsid w:val="00DB3D8A"/>
    <w:rsid w:val="00DB4078"/>
    <w:rsid w:val="00DB42EC"/>
    <w:rsid w:val="00DB4937"/>
    <w:rsid w:val="00DB4BD8"/>
    <w:rsid w:val="00DB4F2B"/>
    <w:rsid w:val="00DB514D"/>
    <w:rsid w:val="00DB53B8"/>
    <w:rsid w:val="00DB56DE"/>
    <w:rsid w:val="00DB60B2"/>
    <w:rsid w:val="00DB6B65"/>
    <w:rsid w:val="00DB6B74"/>
    <w:rsid w:val="00DB6BFE"/>
    <w:rsid w:val="00DB6DED"/>
    <w:rsid w:val="00DB7118"/>
    <w:rsid w:val="00DB7608"/>
    <w:rsid w:val="00DB761B"/>
    <w:rsid w:val="00DB76D9"/>
    <w:rsid w:val="00DB778F"/>
    <w:rsid w:val="00DB79A6"/>
    <w:rsid w:val="00DB7A33"/>
    <w:rsid w:val="00DB7A38"/>
    <w:rsid w:val="00DB7DA0"/>
    <w:rsid w:val="00DB7FCE"/>
    <w:rsid w:val="00DC0166"/>
    <w:rsid w:val="00DC01C7"/>
    <w:rsid w:val="00DC035B"/>
    <w:rsid w:val="00DC0B2B"/>
    <w:rsid w:val="00DC0BCF"/>
    <w:rsid w:val="00DC10D8"/>
    <w:rsid w:val="00DC12C1"/>
    <w:rsid w:val="00DC1696"/>
    <w:rsid w:val="00DC169B"/>
    <w:rsid w:val="00DC1DA6"/>
    <w:rsid w:val="00DC1ED1"/>
    <w:rsid w:val="00DC1EDD"/>
    <w:rsid w:val="00DC1EFC"/>
    <w:rsid w:val="00DC2205"/>
    <w:rsid w:val="00DC23CF"/>
    <w:rsid w:val="00DC2ABE"/>
    <w:rsid w:val="00DC30AE"/>
    <w:rsid w:val="00DC3237"/>
    <w:rsid w:val="00DC3669"/>
    <w:rsid w:val="00DC3A3C"/>
    <w:rsid w:val="00DC3DDE"/>
    <w:rsid w:val="00DC3ED8"/>
    <w:rsid w:val="00DC4194"/>
    <w:rsid w:val="00DC42A8"/>
    <w:rsid w:val="00DC43BD"/>
    <w:rsid w:val="00DC45CE"/>
    <w:rsid w:val="00DC46A8"/>
    <w:rsid w:val="00DC46BB"/>
    <w:rsid w:val="00DC4D6E"/>
    <w:rsid w:val="00DC5407"/>
    <w:rsid w:val="00DC583E"/>
    <w:rsid w:val="00DC6194"/>
    <w:rsid w:val="00DC65DF"/>
    <w:rsid w:val="00DC67A5"/>
    <w:rsid w:val="00DC68C9"/>
    <w:rsid w:val="00DC6C5F"/>
    <w:rsid w:val="00DC6D88"/>
    <w:rsid w:val="00DC7261"/>
    <w:rsid w:val="00DC751F"/>
    <w:rsid w:val="00DC789E"/>
    <w:rsid w:val="00DC7EE9"/>
    <w:rsid w:val="00DD01CD"/>
    <w:rsid w:val="00DD039F"/>
    <w:rsid w:val="00DD046D"/>
    <w:rsid w:val="00DD0D5A"/>
    <w:rsid w:val="00DD0ECA"/>
    <w:rsid w:val="00DD0ED0"/>
    <w:rsid w:val="00DD11E4"/>
    <w:rsid w:val="00DD18C4"/>
    <w:rsid w:val="00DD18F2"/>
    <w:rsid w:val="00DD1B56"/>
    <w:rsid w:val="00DD1C2A"/>
    <w:rsid w:val="00DD1E7B"/>
    <w:rsid w:val="00DD269E"/>
    <w:rsid w:val="00DD26F6"/>
    <w:rsid w:val="00DD2852"/>
    <w:rsid w:val="00DD2D39"/>
    <w:rsid w:val="00DD3238"/>
    <w:rsid w:val="00DD33AC"/>
    <w:rsid w:val="00DD350F"/>
    <w:rsid w:val="00DD39F7"/>
    <w:rsid w:val="00DD3A66"/>
    <w:rsid w:val="00DD3CC1"/>
    <w:rsid w:val="00DD3EBB"/>
    <w:rsid w:val="00DD40F4"/>
    <w:rsid w:val="00DD4202"/>
    <w:rsid w:val="00DD4388"/>
    <w:rsid w:val="00DD455F"/>
    <w:rsid w:val="00DD4573"/>
    <w:rsid w:val="00DD45A1"/>
    <w:rsid w:val="00DD461C"/>
    <w:rsid w:val="00DD4687"/>
    <w:rsid w:val="00DD471E"/>
    <w:rsid w:val="00DD48F0"/>
    <w:rsid w:val="00DD4C5E"/>
    <w:rsid w:val="00DD5008"/>
    <w:rsid w:val="00DD5141"/>
    <w:rsid w:val="00DD51D5"/>
    <w:rsid w:val="00DD5245"/>
    <w:rsid w:val="00DD5512"/>
    <w:rsid w:val="00DD5683"/>
    <w:rsid w:val="00DD5D9F"/>
    <w:rsid w:val="00DD6205"/>
    <w:rsid w:val="00DD665A"/>
    <w:rsid w:val="00DD6D6D"/>
    <w:rsid w:val="00DD6DCE"/>
    <w:rsid w:val="00DD72D4"/>
    <w:rsid w:val="00DD7365"/>
    <w:rsid w:val="00DD7463"/>
    <w:rsid w:val="00DD7B13"/>
    <w:rsid w:val="00DD7B26"/>
    <w:rsid w:val="00DD7B63"/>
    <w:rsid w:val="00DD7FA2"/>
    <w:rsid w:val="00DE0342"/>
    <w:rsid w:val="00DE0612"/>
    <w:rsid w:val="00DE072A"/>
    <w:rsid w:val="00DE0A3D"/>
    <w:rsid w:val="00DE0B2B"/>
    <w:rsid w:val="00DE0D6B"/>
    <w:rsid w:val="00DE0DDF"/>
    <w:rsid w:val="00DE0E3A"/>
    <w:rsid w:val="00DE0E8A"/>
    <w:rsid w:val="00DE0EEE"/>
    <w:rsid w:val="00DE0FC9"/>
    <w:rsid w:val="00DE11BC"/>
    <w:rsid w:val="00DE15DF"/>
    <w:rsid w:val="00DE1861"/>
    <w:rsid w:val="00DE1D7D"/>
    <w:rsid w:val="00DE2060"/>
    <w:rsid w:val="00DE29C0"/>
    <w:rsid w:val="00DE2E99"/>
    <w:rsid w:val="00DE3255"/>
    <w:rsid w:val="00DE3595"/>
    <w:rsid w:val="00DE3D5F"/>
    <w:rsid w:val="00DE3EFA"/>
    <w:rsid w:val="00DE4109"/>
    <w:rsid w:val="00DE447F"/>
    <w:rsid w:val="00DE44FA"/>
    <w:rsid w:val="00DE4561"/>
    <w:rsid w:val="00DE4800"/>
    <w:rsid w:val="00DE48EE"/>
    <w:rsid w:val="00DE4A8E"/>
    <w:rsid w:val="00DE4AA6"/>
    <w:rsid w:val="00DE4BDC"/>
    <w:rsid w:val="00DE4C02"/>
    <w:rsid w:val="00DE504F"/>
    <w:rsid w:val="00DE50A1"/>
    <w:rsid w:val="00DE5105"/>
    <w:rsid w:val="00DE5350"/>
    <w:rsid w:val="00DE5779"/>
    <w:rsid w:val="00DE5A65"/>
    <w:rsid w:val="00DE5C32"/>
    <w:rsid w:val="00DE5C5E"/>
    <w:rsid w:val="00DE5C84"/>
    <w:rsid w:val="00DE5FDE"/>
    <w:rsid w:val="00DE647C"/>
    <w:rsid w:val="00DE6485"/>
    <w:rsid w:val="00DE6502"/>
    <w:rsid w:val="00DE65BF"/>
    <w:rsid w:val="00DE6736"/>
    <w:rsid w:val="00DE6741"/>
    <w:rsid w:val="00DE68C3"/>
    <w:rsid w:val="00DE6AFA"/>
    <w:rsid w:val="00DE6E39"/>
    <w:rsid w:val="00DE6F70"/>
    <w:rsid w:val="00DE72B5"/>
    <w:rsid w:val="00DE7420"/>
    <w:rsid w:val="00DE77EE"/>
    <w:rsid w:val="00DE7908"/>
    <w:rsid w:val="00DE7CAD"/>
    <w:rsid w:val="00DE7E46"/>
    <w:rsid w:val="00DF0384"/>
    <w:rsid w:val="00DF068A"/>
    <w:rsid w:val="00DF07C0"/>
    <w:rsid w:val="00DF07E2"/>
    <w:rsid w:val="00DF084D"/>
    <w:rsid w:val="00DF0F17"/>
    <w:rsid w:val="00DF1306"/>
    <w:rsid w:val="00DF1941"/>
    <w:rsid w:val="00DF1A72"/>
    <w:rsid w:val="00DF1AEA"/>
    <w:rsid w:val="00DF2527"/>
    <w:rsid w:val="00DF255E"/>
    <w:rsid w:val="00DF2687"/>
    <w:rsid w:val="00DF3530"/>
    <w:rsid w:val="00DF36C2"/>
    <w:rsid w:val="00DF398E"/>
    <w:rsid w:val="00DF3A60"/>
    <w:rsid w:val="00DF3AE2"/>
    <w:rsid w:val="00DF3F31"/>
    <w:rsid w:val="00DF3F4D"/>
    <w:rsid w:val="00DF43E7"/>
    <w:rsid w:val="00DF4D0E"/>
    <w:rsid w:val="00DF4DC6"/>
    <w:rsid w:val="00DF509F"/>
    <w:rsid w:val="00DF52B2"/>
    <w:rsid w:val="00DF52F1"/>
    <w:rsid w:val="00DF55EB"/>
    <w:rsid w:val="00DF57FF"/>
    <w:rsid w:val="00DF5A99"/>
    <w:rsid w:val="00DF605D"/>
    <w:rsid w:val="00DF60AE"/>
    <w:rsid w:val="00DF617E"/>
    <w:rsid w:val="00DF6654"/>
    <w:rsid w:val="00DF6C61"/>
    <w:rsid w:val="00DF6DB1"/>
    <w:rsid w:val="00DF6DB9"/>
    <w:rsid w:val="00DF6FC3"/>
    <w:rsid w:val="00DF700C"/>
    <w:rsid w:val="00DF73F9"/>
    <w:rsid w:val="00DF7553"/>
    <w:rsid w:val="00DF763E"/>
    <w:rsid w:val="00DF786F"/>
    <w:rsid w:val="00DF7BC3"/>
    <w:rsid w:val="00DF7D52"/>
    <w:rsid w:val="00E000FB"/>
    <w:rsid w:val="00E00D28"/>
    <w:rsid w:val="00E00DD2"/>
    <w:rsid w:val="00E00F81"/>
    <w:rsid w:val="00E01421"/>
    <w:rsid w:val="00E015A5"/>
    <w:rsid w:val="00E01952"/>
    <w:rsid w:val="00E01B4F"/>
    <w:rsid w:val="00E01CCB"/>
    <w:rsid w:val="00E01DDF"/>
    <w:rsid w:val="00E01E45"/>
    <w:rsid w:val="00E02193"/>
    <w:rsid w:val="00E0225E"/>
    <w:rsid w:val="00E0234A"/>
    <w:rsid w:val="00E02978"/>
    <w:rsid w:val="00E02C83"/>
    <w:rsid w:val="00E02EA2"/>
    <w:rsid w:val="00E02EE3"/>
    <w:rsid w:val="00E0318E"/>
    <w:rsid w:val="00E034B6"/>
    <w:rsid w:val="00E03F45"/>
    <w:rsid w:val="00E0442C"/>
    <w:rsid w:val="00E044E9"/>
    <w:rsid w:val="00E04527"/>
    <w:rsid w:val="00E046A9"/>
    <w:rsid w:val="00E04A1E"/>
    <w:rsid w:val="00E04C58"/>
    <w:rsid w:val="00E04F21"/>
    <w:rsid w:val="00E05116"/>
    <w:rsid w:val="00E0538E"/>
    <w:rsid w:val="00E05432"/>
    <w:rsid w:val="00E05A5D"/>
    <w:rsid w:val="00E05C23"/>
    <w:rsid w:val="00E05F4C"/>
    <w:rsid w:val="00E0685A"/>
    <w:rsid w:val="00E06A09"/>
    <w:rsid w:val="00E06CCB"/>
    <w:rsid w:val="00E06E3C"/>
    <w:rsid w:val="00E0732A"/>
    <w:rsid w:val="00E07343"/>
    <w:rsid w:val="00E07390"/>
    <w:rsid w:val="00E07396"/>
    <w:rsid w:val="00E073DE"/>
    <w:rsid w:val="00E0764D"/>
    <w:rsid w:val="00E07A0F"/>
    <w:rsid w:val="00E07BAC"/>
    <w:rsid w:val="00E07C65"/>
    <w:rsid w:val="00E07CCD"/>
    <w:rsid w:val="00E102C1"/>
    <w:rsid w:val="00E10616"/>
    <w:rsid w:val="00E1096A"/>
    <w:rsid w:val="00E10B22"/>
    <w:rsid w:val="00E10B23"/>
    <w:rsid w:val="00E10F58"/>
    <w:rsid w:val="00E11033"/>
    <w:rsid w:val="00E11164"/>
    <w:rsid w:val="00E1146D"/>
    <w:rsid w:val="00E11773"/>
    <w:rsid w:val="00E11BCB"/>
    <w:rsid w:val="00E11CA9"/>
    <w:rsid w:val="00E11D99"/>
    <w:rsid w:val="00E11ED1"/>
    <w:rsid w:val="00E11F20"/>
    <w:rsid w:val="00E120DD"/>
    <w:rsid w:val="00E122BA"/>
    <w:rsid w:val="00E12733"/>
    <w:rsid w:val="00E12B9D"/>
    <w:rsid w:val="00E12F1D"/>
    <w:rsid w:val="00E12F3F"/>
    <w:rsid w:val="00E12F43"/>
    <w:rsid w:val="00E13161"/>
    <w:rsid w:val="00E13414"/>
    <w:rsid w:val="00E1362B"/>
    <w:rsid w:val="00E13854"/>
    <w:rsid w:val="00E141C6"/>
    <w:rsid w:val="00E1422E"/>
    <w:rsid w:val="00E1427E"/>
    <w:rsid w:val="00E144CD"/>
    <w:rsid w:val="00E14E4C"/>
    <w:rsid w:val="00E1583B"/>
    <w:rsid w:val="00E159A5"/>
    <w:rsid w:val="00E15BDA"/>
    <w:rsid w:val="00E15CDB"/>
    <w:rsid w:val="00E15CE1"/>
    <w:rsid w:val="00E16505"/>
    <w:rsid w:val="00E166C1"/>
    <w:rsid w:val="00E16930"/>
    <w:rsid w:val="00E16A28"/>
    <w:rsid w:val="00E16B52"/>
    <w:rsid w:val="00E16C3D"/>
    <w:rsid w:val="00E16DB6"/>
    <w:rsid w:val="00E17247"/>
    <w:rsid w:val="00E17859"/>
    <w:rsid w:val="00E17CD0"/>
    <w:rsid w:val="00E200FD"/>
    <w:rsid w:val="00E20367"/>
    <w:rsid w:val="00E20742"/>
    <w:rsid w:val="00E20833"/>
    <w:rsid w:val="00E20851"/>
    <w:rsid w:val="00E20D58"/>
    <w:rsid w:val="00E20D68"/>
    <w:rsid w:val="00E20D96"/>
    <w:rsid w:val="00E20DD9"/>
    <w:rsid w:val="00E20DEB"/>
    <w:rsid w:val="00E212DC"/>
    <w:rsid w:val="00E215F5"/>
    <w:rsid w:val="00E21A73"/>
    <w:rsid w:val="00E21C63"/>
    <w:rsid w:val="00E21C68"/>
    <w:rsid w:val="00E21D3E"/>
    <w:rsid w:val="00E220DF"/>
    <w:rsid w:val="00E222BD"/>
    <w:rsid w:val="00E22AAC"/>
    <w:rsid w:val="00E22C46"/>
    <w:rsid w:val="00E22E5D"/>
    <w:rsid w:val="00E23081"/>
    <w:rsid w:val="00E232D4"/>
    <w:rsid w:val="00E23764"/>
    <w:rsid w:val="00E23B92"/>
    <w:rsid w:val="00E248FA"/>
    <w:rsid w:val="00E249EC"/>
    <w:rsid w:val="00E24A03"/>
    <w:rsid w:val="00E24FBC"/>
    <w:rsid w:val="00E24FE5"/>
    <w:rsid w:val="00E25184"/>
    <w:rsid w:val="00E251FD"/>
    <w:rsid w:val="00E25490"/>
    <w:rsid w:val="00E26111"/>
    <w:rsid w:val="00E26339"/>
    <w:rsid w:val="00E26852"/>
    <w:rsid w:val="00E26A96"/>
    <w:rsid w:val="00E27089"/>
    <w:rsid w:val="00E27214"/>
    <w:rsid w:val="00E27530"/>
    <w:rsid w:val="00E27589"/>
    <w:rsid w:val="00E27622"/>
    <w:rsid w:val="00E276AA"/>
    <w:rsid w:val="00E276DE"/>
    <w:rsid w:val="00E27762"/>
    <w:rsid w:val="00E277F0"/>
    <w:rsid w:val="00E27C18"/>
    <w:rsid w:val="00E27E99"/>
    <w:rsid w:val="00E30091"/>
    <w:rsid w:val="00E30199"/>
    <w:rsid w:val="00E3063B"/>
    <w:rsid w:val="00E306E9"/>
    <w:rsid w:val="00E30DBA"/>
    <w:rsid w:val="00E312C9"/>
    <w:rsid w:val="00E31397"/>
    <w:rsid w:val="00E313C3"/>
    <w:rsid w:val="00E31878"/>
    <w:rsid w:val="00E3189C"/>
    <w:rsid w:val="00E32011"/>
    <w:rsid w:val="00E32184"/>
    <w:rsid w:val="00E32EF0"/>
    <w:rsid w:val="00E33027"/>
    <w:rsid w:val="00E334B6"/>
    <w:rsid w:val="00E33B89"/>
    <w:rsid w:val="00E33CF5"/>
    <w:rsid w:val="00E33D17"/>
    <w:rsid w:val="00E33DDA"/>
    <w:rsid w:val="00E33EB2"/>
    <w:rsid w:val="00E3471D"/>
    <w:rsid w:val="00E34D49"/>
    <w:rsid w:val="00E35210"/>
    <w:rsid w:val="00E3539C"/>
    <w:rsid w:val="00E35A72"/>
    <w:rsid w:val="00E36173"/>
    <w:rsid w:val="00E36590"/>
    <w:rsid w:val="00E369FC"/>
    <w:rsid w:val="00E36A0F"/>
    <w:rsid w:val="00E36DE6"/>
    <w:rsid w:val="00E36F58"/>
    <w:rsid w:val="00E36FD6"/>
    <w:rsid w:val="00E37123"/>
    <w:rsid w:val="00E373EC"/>
    <w:rsid w:val="00E37763"/>
    <w:rsid w:val="00E37E19"/>
    <w:rsid w:val="00E401FA"/>
    <w:rsid w:val="00E404B4"/>
    <w:rsid w:val="00E407AD"/>
    <w:rsid w:val="00E4088E"/>
    <w:rsid w:val="00E40ADD"/>
    <w:rsid w:val="00E40D0E"/>
    <w:rsid w:val="00E41CFE"/>
    <w:rsid w:val="00E42031"/>
    <w:rsid w:val="00E427BB"/>
    <w:rsid w:val="00E4294F"/>
    <w:rsid w:val="00E42B7F"/>
    <w:rsid w:val="00E43617"/>
    <w:rsid w:val="00E4386B"/>
    <w:rsid w:val="00E4418F"/>
    <w:rsid w:val="00E44516"/>
    <w:rsid w:val="00E4452A"/>
    <w:rsid w:val="00E445F4"/>
    <w:rsid w:val="00E445F8"/>
    <w:rsid w:val="00E44BFA"/>
    <w:rsid w:val="00E44E7C"/>
    <w:rsid w:val="00E44F65"/>
    <w:rsid w:val="00E4506B"/>
    <w:rsid w:val="00E450BF"/>
    <w:rsid w:val="00E454B1"/>
    <w:rsid w:val="00E45CE9"/>
    <w:rsid w:val="00E45EFC"/>
    <w:rsid w:val="00E462B4"/>
    <w:rsid w:val="00E46729"/>
    <w:rsid w:val="00E46A0D"/>
    <w:rsid w:val="00E46A2D"/>
    <w:rsid w:val="00E46A43"/>
    <w:rsid w:val="00E472C3"/>
    <w:rsid w:val="00E472D3"/>
    <w:rsid w:val="00E477D1"/>
    <w:rsid w:val="00E478DD"/>
    <w:rsid w:val="00E47AD4"/>
    <w:rsid w:val="00E47C29"/>
    <w:rsid w:val="00E47E8A"/>
    <w:rsid w:val="00E5015D"/>
    <w:rsid w:val="00E50813"/>
    <w:rsid w:val="00E50991"/>
    <w:rsid w:val="00E50A6C"/>
    <w:rsid w:val="00E50BCB"/>
    <w:rsid w:val="00E50D5D"/>
    <w:rsid w:val="00E50EF2"/>
    <w:rsid w:val="00E5121E"/>
    <w:rsid w:val="00E51383"/>
    <w:rsid w:val="00E5151D"/>
    <w:rsid w:val="00E51888"/>
    <w:rsid w:val="00E51A7D"/>
    <w:rsid w:val="00E51BE2"/>
    <w:rsid w:val="00E51E0F"/>
    <w:rsid w:val="00E5243A"/>
    <w:rsid w:val="00E527ED"/>
    <w:rsid w:val="00E529B9"/>
    <w:rsid w:val="00E52A66"/>
    <w:rsid w:val="00E52B00"/>
    <w:rsid w:val="00E52C56"/>
    <w:rsid w:val="00E52F1B"/>
    <w:rsid w:val="00E537D3"/>
    <w:rsid w:val="00E537DF"/>
    <w:rsid w:val="00E537E0"/>
    <w:rsid w:val="00E538D7"/>
    <w:rsid w:val="00E53B0F"/>
    <w:rsid w:val="00E53D0D"/>
    <w:rsid w:val="00E53F71"/>
    <w:rsid w:val="00E5402E"/>
    <w:rsid w:val="00E540D7"/>
    <w:rsid w:val="00E5470A"/>
    <w:rsid w:val="00E54929"/>
    <w:rsid w:val="00E5496B"/>
    <w:rsid w:val="00E549E7"/>
    <w:rsid w:val="00E54C6A"/>
    <w:rsid w:val="00E54D08"/>
    <w:rsid w:val="00E55135"/>
    <w:rsid w:val="00E554B8"/>
    <w:rsid w:val="00E554BC"/>
    <w:rsid w:val="00E554E2"/>
    <w:rsid w:val="00E556E7"/>
    <w:rsid w:val="00E559BA"/>
    <w:rsid w:val="00E55C62"/>
    <w:rsid w:val="00E5605C"/>
    <w:rsid w:val="00E56200"/>
    <w:rsid w:val="00E562B2"/>
    <w:rsid w:val="00E5680F"/>
    <w:rsid w:val="00E568AD"/>
    <w:rsid w:val="00E568CE"/>
    <w:rsid w:val="00E5694B"/>
    <w:rsid w:val="00E57371"/>
    <w:rsid w:val="00E575D7"/>
    <w:rsid w:val="00E57627"/>
    <w:rsid w:val="00E57947"/>
    <w:rsid w:val="00E579BF"/>
    <w:rsid w:val="00E57A15"/>
    <w:rsid w:val="00E57AD4"/>
    <w:rsid w:val="00E57C11"/>
    <w:rsid w:val="00E57D04"/>
    <w:rsid w:val="00E57E3C"/>
    <w:rsid w:val="00E60299"/>
    <w:rsid w:val="00E6064C"/>
    <w:rsid w:val="00E6067E"/>
    <w:rsid w:val="00E607F8"/>
    <w:rsid w:val="00E60B2A"/>
    <w:rsid w:val="00E60B84"/>
    <w:rsid w:val="00E60E53"/>
    <w:rsid w:val="00E60FBE"/>
    <w:rsid w:val="00E61236"/>
    <w:rsid w:val="00E6172C"/>
    <w:rsid w:val="00E617DE"/>
    <w:rsid w:val="00E617FC"/>
    <w:rsid w:val="00E61865"/>
    <w:rsid w:val="00E61AC4"/>
    <w:rsid w:val="00E6231C"/>
    <w:rsid w:val="00E62462"/>
    <w:rsid w:val="00E62983"/>
    <w:rsid w:val="00E62C3F"/>
    <w:rsid w:val="00E62C57"/>
    <w:rsid w:val="00E631DB"/>
    <w:rsid w:val="00E63510"/>
    <w:rsid w:val="00E63D6F"/>
    <w:rsid w:val="00E64196"/>
    <w:rsid w:val="00E64325"/>
    <w:rsid w:val="00E645B9"/>
    <w:rsid w:val="00E64CA9"/>
    <w:rsid w:val="00E6511A"/>
    <w:rsid w:val="00E651E7"/>
    <w:rsid w:val="00E65C2A"/>
    <w:rsid w:val="00E660DE"/>
    <w:rsid w:val="00E6636C"/>
    <w:rsid w:val="00E664A1"/>
    <w:rsid w:val="00E667F3"/>
    <w:rsid w:val="00E66F19"/>
    <w:rsid w:val="00E678A6"/>
    <w:rsid w:val="00E67A0B"/>
    <w:rsid w:val="00E67B0E"/>
    <w:rsid w:val="00E67F3F"/>
    <w:rsid w:val="00E70072"/>
    <w:rsid w:val="00E7009A"/>
    <w:rsid w:val="00E701B5"/>
    <w:rsid w:val="00E7048E"/>
    <w:rsid w:val="00E7081F"/>
    <w:rsid w:val="00E70CCB"/>
    <w:rsid w:val="00E70E6A"/>
    <w:rsid w:val="00E71034"/>
    <w:rsid w:val="00E71077"/>
    <w:rsid w:val="00E711CA"/>
    <w:rsid w:val="00E7121E"/>
    <w:rsid w:val="00E714F1"/>
    <w:rsid w:val="00E715CB"/>
    <w:rsid w:val="00E7161B"/>
    <w:rsid w:val="00E7167E"/>
    <w:rsid w:val="00E71683"/>
    <w:rsid w:val="00E71CD7"/>
    <w:rsid w:val="00E71F9C"/>
    <w:rsid w:val="00E71FCF"/>
    <w:rsid w:val="00E726BA"/>
    <w:rsid w:val="00E72781"/>
    <w:rsid w:val="00E73148"/>
    <w:rsid w:val="00E73455"/>
    <w:rsid w:val="00E73B57"/>
    <w:rsid w:val="00E73CC4"/>
    <w:rsid w:val="00E7400F"/>
    <w:rsid w:val="00E7413A"/>
    <w:rsid w:val="00E741D5"/>
    <w:rsid w:val="00E7421E"/>
    <w:rsid w:val="00E742F2"/>
    <w:rsid w:val="00E746BE"/>
    <w:rsid w:val="00E74875"/>
    <w:rsid w:val="00E74938"/>
    <w:rsid w:val="00E74AFD"/>
    <w:rsid w:val="00E74C52"/>
    <w:rsid w:val="00E74E3E"/>
    <w:rsid w:val="00E755FE"/>
    <w:rsid w:val="00E7580A"/>
    <w:rsid w:val="00E75D91"/>
    <w:rsid w:val="00E76091"/>
    <w:rsid w:val="00E7617C"/>
    <w:rsid w:val="00E76A2E"/>
    <w:rsid w:val="00E76AF7"/>
    <w:rsid w:val="00E76DB4"/>
    <w:rsid w:val="00E77195"/>
    <w:rsid w:val="00E771F9"/>
    <w:rsid w:val="00E772E4"/>
    <w:rsid w:val="00E774B5"/>
    <w:rsid w:val="00E7772B"/>
    <w:rsid w:val="00E77911"/>
    <w:rsid w:val="00E77F2F"/>
    <w:rsid w:val="00E80127"/>
    <w:rsid w:val="00E80175"/>
    <w:rsid w:val="00E8052B"/>
    <w:rsid w:val="00E8056E"/>
    <w:rsid w:val="00E8064B"/>
    <w:rsid w:val="00E80C1F"/>
    <w:rsid w:val="00E80F0B"/>
    <w:rsid w:val="00E8115F"/>
    <w:rsid w:val="00E813C4"/>
    <w:rsid w:val="00E814B0"/>
    <w:rsid w:val="00E81578"/>
    <w:rsid w:val="00E815E4"/>
    <w:rsid w:val="00E81A08"/>
    <w:rsid w:val="00E81B29"/>
    <w:rsid w:val="00E81CD5"/>
    <w:rsid w:val="00E82681"/>
    <w:rsid w:val="00E8278B"/>
    <w:rsid w:val="00E8279F"/>
    <w:rsid w:val="00E82C89"/>
    <w:rsid w:val="00E83647"/>
    <w:rsid w:val="00E83A06"/>
    <w:rsid w:val="00E842B5"/>
    <w:rsid w:val="00E842E1"/>
    <w:rsid w:val="00E84DC4"/>
    <w:rsid w:val="00E84E61"/>
    <w:rsid w:val="00E854B5"/>
    <w:rsid w:val="00E857C5"/>
    <w:rsid w:val="00E857E5"/>
    <w:rsid w:val="00E85C1F"/>
    <w:rsid w:val="00E85DE8"/>
    <w:rsid w:val="00E861F5"/>
    <w:rsid w:val="00E863BF"/>
    <w:rsid w:val="00E8683B"/>
    <w:rsid w:val="00E868DF"/>
    <w:rsid w:val="00E869BF"/>
    <w:rsid w:val="00E870D1"/>
    <w:rsid w:val="00E87B9E"/>
    <w:rsid w:val="00E87FD4"/>
    <w:rsid w:val="00E904BD"/>
    <w:rsid w:val="00E90791"/>
    <w:rsid w:val="00E90978"/>
    <w:rsid w:val="00E90B17"/>
    <w:rsid w:val="00E90F61"/>
    <w:rsid w:val="00E91412"/>
    <w:rsid w:val="00E915CD"/>
    <w:rsid w:val="00E91B7D"/>
    <w:rsid w:val="00E91C0E"/>
    <w:rsid w:val="00E91EF5"/>
    <w:rsid w:val="00E922C2"/>
    <w:rsid w:val="00E92526"/>
    <w:rsid w:val="00E925AF"/>
    <w:rsid w:val="00E926B6"/>
    <w:rsid w:val="00E92C84"/>
    <w:rsid w:val="00E92E8A"/>
    <w:rsid w:val="00E92F5E"/>
    <w:rsid w:val="00E932A9"/>
    <w:rsid w:val="00E932C5"/>
    <w:rsid w:val="00E932FF"/>
    <w:rsid w:val="00E9336F"/>
    <w:rsid w:val="00E93604"/>
    <w:rsid w:val="00E93627"/>
    <w:rsid w:val="00E93D78"/>
    <w:rsid w:val="00E946A3"/>
    <w:rsid w:val="00E94716"/>
    <w:rsid w:val="00E94751"/>
    <w:rsid w:val="00E94CC2"/>
    <w:rsid w:val="00E94EE7"/>
    <w:rsid w:val="00E94F19"/>
    <w:rsid w:val="00E94F67"/>
    <w:rsid w:val="00E94FBB"/>
    <w:rsid w:val="00E950A8"/>
    <w:rsid w:val="00E952E7"/>
    <w:rsid w:val="00E95461"/>
    <w:rsid w:val="00E957DB"/>
    <w:rsid w:val="00E95803"/>
    <w:rsid w:val="00E9593C"/>
    <w:rsid w:val="00E95F79"/>
    <w:rsid w:val="00E96735"/>
    <w:rsid w:val="00E96750"/>
    <w:rsid w:val="00E9681A"/>
    <w:rsid w:val="00E96A51"/>
    <w:rsid w:val="00E96BED"/>
    <w:rsid w:val="00E9715E"/>
    <w:rsid w:val="00E971D8"/>
    <w:rsid w:val="00E9722E"/>
    <w:rsid w:val="00E97480"/>
    <w:rsid w:val="00E97484"/>
    <w:rsid w:val="00E97807"/>
    <w:rsid w:val="00EA00FB"/>
    <w:rsid w:val="00EA04B9"/>
    <w:rsid w:val="00EA07C8"/>
    <w:rsid w:val="00EA0906"/>
    <w:rsid w:val="00EA095D"/>
    <w:rsid w:val="00EA0BD3"/>
    <w:rsid w:val="00EA0BFD"/>
    <w:rsid w:val="00EA13DD"/>
    <w:rsid w:val="00EA17F6"/>
    <w:rsid w:val="00EA1B58"/>
    <w:rsid w:val="00EA1D40"/>
    <w:rsid w:val="00EA1E9B"/>
    <w:rsid w:val="00EA23A6"/>
    <w:rsid w:val="00EA23DD"/>
    <w:rsid w:val="00EA2450"/>
    <w:rsid w:val="00EA2455"/>
    <w:rsid w:val="00EA2522"/>
    <w:rsid w:val="00EA2527"/>
    <w:rsid w:val="00EA2672"/>
    <w:rsid w:val="00EA2BE3"/>
    <w:rsid w:val="00EA2D96"/>
    <w:rsid w:val="00EA3002"/>
    <w:rsid w:val="00EA305A"/>
    <w:rsid w:val="00EA3812"/>
    <w:rsid w:val="00EA3BA3"/>
    <w:rsid w:val="00EA3E48"/>
    <w:rsid w:val="00EA411A"/>
    <w:rsid w:val="00EA417D"/>
    <w:rsid w:val="00EA429C"/>
    <w:rsid w:val="00EA4325"/>
    <w:rsid w:val="00EA4571"/>
    <w:rsid w:val="00EA4629"/>
    <w:rsid w:val="00EA49FC"/>
    <w:rsid w:val="00EA4B38"/>
    <w:rsid w:val="00EA4C7F"/>
    <w:rsid w:val="00EA4D55"/>
    <w:rsid w:val="00EA4DED"/>
    <w:rsid w:val="00EA5094"/>
    <w:rsid w:val="00EA50D4"/>
    <w:rsid w:val="00EA5116"/>
    <w:rsid w:val="00EA52C6"/>
    <w:rsid w:val="00EA555A"/>
    <w:rsid w:val="00EA5811"/>
    <w:rsid w:val="00EA598B"/>
    <w:rsid w:val="00EA5CED"/>
    <w:rsid w:val="00EA6280"/>
    <w:rsid w:val="00EA643A"/>
    <w:rsid w:val="00EA67B8"/>
    <w:rsid w:val="00EA70DA"/>
    <w:rsid w:val="00EA70E3"/>
    <w:rsid w:val="00EA71EC"/>
    <w:rsid w:val="00EA7444"/>
    <w:rsid w:val="00EA7979"/>
    <w:rsid w:val="00EA7B8B"/>
    <w:rsid w:val="00EA7D68"/>
    <w:rsid w:val="00EB00F9"/>
    <w:rsid w:val="00EB0342"/>
    <w:rsid w:val="00EB042A"/>
    <w:rsid w:val="00EB0883"/>
    <w:rsid w:val="00EB0BD0"/>
    <w:rsid w:val="00EB1016"/>
    <w:rsid w:val="00EB10F8"/>
    <w:rsid w:val="00EB11E2"/>
    <w:rsid w:val="00EB12B1"/>
    <w:rsid w:val="00EB1616"/>
    <w:rsid w:val="00EB1874"/>
    <w:rsid w:val="00EB1FC0"/>
    <w:rsid w:val="00EB23BE"/>
    <w:rsid w:val="00EB243C"/>
    <w:rsid w:val="00EB2723"/>
    <w:rsid w:val="00EB291D"/>
    <w:rsid w:val="00EB2B12"/>
    <w:rsid w:val="00EB2CE4"/>
    <w:rsid w:val="00EB2ED5"/>
    <w:rsid w:val="00EB2F7B"/>
    <w:rsid w:val="00EB30EE"/>
    <w:rsid w:val="00EB32A5"/>
    <w:rsid w:val="00EB3406"/>
    <w:rsid w:val="00EB349A"/>
    <w:rsid w:val="00EB3D70"/>
    <w:rsid w:val="00EB3E64"/>
    <w:rsid w:val="00EB420E"/>
    <w:rsid w:val="00EB42DC"/>
    <w:rsid w:val="00EB4A3F"/>
    <w:rsid w:val="00EB4BED"/>
    <w:rsid w:val="00EB4E80"/>
    <w:rsid w:val="00EB4FFA"/>
    <w:rsid w:val="00EB57AE"/>
    <w:rsid w:val="00EB5A5E"/>
    <w:rsid w:val="00EB5ACE"/>
    <w:rsid w:val="00EB5B51"/>
    <w:rsid w:val="00EB6038"/>
    <w:rsid w:val="00EB61D1"/>
    <w:rsid w:val="00EB623A"/>
    <w:rsid w:val="00EB6478"/>
    <w:rsid w:val="00EB6A0B"/>
    <w:rsid w:val="00EB6ED1"/>
    <w:rsid w:val="00EB6FDE"/>
    <w:rsid w:val="00EB7A64"/>
    <w:rsid w:val="00EB7B0D"/>
    <w:rsid w:val="00EB7EB1"/>
    <w:rsid w:val="00EB7F37"/>
    <w:rsid w:val="00EC02A1"/>
    <w:rsid w:val="00EC10E0"/>
    <w:rsid w:val="00EC121A"/>
    <w:rsid w:val="00EC1319"/>
    <w:rsid w:val="00EC16B2"/>
    <w:rsid w:val="00EC1943"/>
    <w:rsid w:val="00EC1E2F"/>
    <w:rsid w:val="00EC2420"/>
    <w:rsid w:val="00EC24AA"/>
    <w:rsid w:val="00EC26F3"/>
    <w:rsid w:val="00EC2956"/>
    <w:rsid w:val="00EC2A69"/>
    <w:rsid w:val="00EC2B71"/>
    <w:rsid w:val="00EC2B87"/>
    <w:rsid w:val="00EC2BFA"/>
    <w:rsid w:val="00EC2C8E"/>
    <w:rsid w:val="00EC2D3E"/>
    <w:rsid w:val="00EC2FB3"/>
    <w:rsid w:val="00EC3213"/>
    <w:rsid w:val="00EC328F"/>
    <w:rsid w:val="00EC3820"/>
    <w:rsid w:val="00EC3A51"/>
    <w:rsid w:val="00EC3B35"/>
    <w:rsid w:val="00EC3B52"/>
    <w:rsid w:val="00EC3BEB"/>
    <w:rsid w:val="00EC40B6"/>
    <w:rsid w:val="00EC440B"/>
    <w:rsid w:val="00EC44DC"/>
    <w:rsid w:val="00EC49F5"/>
    <w:rsid w:val="00EC4A90"/>
    <w:rsid w:val="00EC4EF7"/>
    <w:rsid w:val="00EC4F99"/>
    <w:rsid w:val="00EC4FCA"/>
    <w:rsid w:val="00EC5403"/>
    <w:rsid w:val="00EC5565"/>
    <w:rsid w:val="00EC568F"/>
    <w:rsid w:val="00EC5FD0"/>
    <w:rsid w:val="00EC629C"/>
    <w:rsid w:val="00EC670A"/>
    <w:rsid w:val="00EC6974"/>
    <w:rsid w:val="00EC6A0F"/>
    <w:rsid w:val="00EC6AFC"/>
    <w:rsid w:val="00EC6D13"/>
    <w:rsid w:val="00EC6D66"/>
    <w:rsid w:val="00EC6E46"/>
    <w:rsid w:val="00EC6F11"/>
    <w:rsid w:val="00EC6FB9"/>
    <w:rsid w:val="00EC7482"/>
    <w:rsid w:val="00EC7BE8"/>
    <w:rsid w:val="00EC7BF1"/>
    <w:rsid w:val="00EC7CF4"/>
    <w:rsid w:val="00ED096A"/>
    <w:rsid w:val="00ED09EE"/>
    <w:rsid w:val="00ED0AF2"/>
    <w:rsid w:val="00ED0CA5"/>
    <w:rsid w:val="00ED0DEB"/>
    <w:rsid w:val="00ED1070"/>
    <w:rsid w:val="00ED1252"/>
    <w:rsid w:val="00ED14E4"/>
    <w:rsid w:val="00ED1C64"/>
    <w:rsid w:val="00ED1ED9"/>
    <w:rsid w:val="00ED1F53"/>
    <w:rsid w:val="00ED20EB"/>
    <w:rsid w:val="00ED215F"/>
    <w:rsid w:val="00ED26A4"/>
    <w:rsid w:val="00ED28FF"/>
    <w:rsid w:val="00ED2C72"/>
    <w:rsid w:val="00ED349F"/>
    <w:rsid w:val="00ED370D"/>
    <w:rsid w:val="00ED371D"/>
    <w:rsid w:val="00ED3A31"/>
    <w:rsid w:val="00ED3A96"/>
    <w:rsid w:val="00ED3EFC"/>
    <w:rsid w:val="00ED4130"/>
    <w:rsid w:val="00ED416C"/>
    <w:rsid w:val="00ED4A9D"/>
    <w:rsid w:val="00ED4C78"/>
    <w:rsid w:val="00ED5147"/>
    <w:rsid w:val="00ED54A7"/>
    <w:rsid w:val="00ED5F3B"/>
    <w:rsid w:val="00ED642B"/>
    <w:rsid w:val="00ED64BB"/>
    <w:rsid w:val="00ED682C"/>
    <w:rsid w:val="00ED6C9F"/>
    <w:rsid w:val="00ED6F6C"/>
    <w:rsid w:val="00ED737C"/>
    <w:rsid w:val="00ED7476"/>
    <w:rsid w:val="00ED7526"/>
    <w:rsid w:val="00ED7619"/>
    <w:rsid w:val="00ED7657"/>
    <w:rsid w:val="00ED7709"/>
    <w:rsid w:val="00ED794D"/>
    <w:rsid w:val="00ED7B0B"/>
    <w:rsid w:val="00ED7E9C"/>
    <w:rsid w:val="00ED7F41"/>
    <w:rsid w:val="00EE016A"/>
    <w:rsid w:val="00EE05EA"/>
    <w:rsid w:val="00EE0AD9"/>
    <w:rsid w:val="00EE0F5A"/>
    <w:rsid w:val="00EE1216"/>
    <w:rsid w:val="00EE13FB"/>
    <w:rsid w:val="00EE176F"/>
    <w:rsid w:val="00EE17C8"/>
    <w:rsid w:val="00EE1C57"/>
    <w:rsid w:val="00EE1F1E"/>
    <w:rsid w:val="00EE20E1"/>
    <w:rsid w:val="00EE2556"/>
    <w:rsid w:val="00EE25F8"/>
    <w:rsid w:val="00EE2B13"/>
    <w:rsid w:val="00EE2B2C"/>
    <w:rsid w:val="00EE2C81"/>
    <w:rsid w:val="00EE2C87"/>
    <w:rsid w:val="00EE2CB1"/>
    <w:rsid w:val="00EE2D88"/>
    <w:rsid w:val="00EE2DA4"/>
    <w:rsid w:val="00EE2EE2"/>
    <w:rsid w:val="00EE2F5C"/>
    <w:rsid w:val="00EE32F1"/>
    <w:rsid w:val="00EE35DA"/>
    <w:rsid w:val="00EE4078"/>
    <w:rsid w:val="00EE44D9"/>
    <w:rsid w:val="00EE4619"/>
    <w:rsid w:val="00EE4733"/>
    <w:rsid w:val="00EE4C37"/>
    <w:rsid w:val="00EE4D74"/>
    <w:rsid w:val="00EE4D79"/>
    <w:rsid w:val="00EE5055"/>
    <w:rsid w:val="00EE50C4"/>
    <w:rsid w:val="00EE57F5"/>
    <w:rsid w:val="00EE596F"/>
    <w:rsid w:val="00EE6117"/>
    <w:rsid w:val="00EE62D4"/>
    <w:rsid w:val="00EE64DD"/>
    <w:rsid w:val="00EE6BCE"/>
    <w:rsid w:val="00EE6D18"/>
    <w:rsid w:val="00EE729D"/>
    <w:rsid w:val="00EE73CE"/>
    <w:rsid w:val="00EE766E"/>
    <w:rsid w:val="00EE7789"/>
    <w:rsid w:val="00EE77F7"/>
    <w:rsid w:val="00EE78C9"/>
    <w:rsid w:val="00EE78E3"/>
    <w:rsid w:val="00EE7C2F"/>
    <w:rsid w:val="00EE7FDF"/>
    <w:rsid w:val="00EF0402"/>
    <w:rsid w:val="00EF04AA"/>
    <w:rsid w:val="00EF05E4"/>
    <w:rsid w:val="00EF0676"/>
    <w:rsid w:val="00EF069B"/>
    <w:rsid w:val="00EF073E"/>
    <w:rsid w:val="00EF0980"/>
    <w:rsid w:val="00EF0D7C"/>
    <w:rsid w:val="00EF11C4"/>
    <w:rsid w:val="00EF1C6E"/>
    <w:rsid w:val="00EF2371"/>
    <w:rsid w:val="00EF2A87"/>
    <w:rsid w:val="00EF2B31"/>
    <w:rsid w:val="00EF2BB5"/>
    <w:rsid w:val="00EF31DE"/>
    <w:rsid w:val="00EF34B4"/>
    <w:rsid w:val="00EF35FB"/>
    <w:rsid w:val="00EF3870"/>
    <w:rsid w:val="00EF397D"/>
    <w:rsid w:val="00EF3DBE"/>
    <w:rsid w:val="00EF439B"/>
    <w:rsid w:val="00EF43BD"/>
    <w:rsid w:val="00EF43EB"/>
    <w:rsid w:val="00EF4615"/>
    <w:rsid w:val="00EF481D"/>
    <w:rsid w:val="00EF48FA"/>
    <w:rsid w:val="00EF4A8D"/>
    <w:rsid w:val="00EF4EDA"/>
    <w:rsid w:val="00EF4F47"/>
    <w:rsid w:val="00EF5048"/>
    <w:rsid w:val="00EF5849"/>
    <w:rsid w:val="00EF5C53"/>
    <w:rsid w:val="00EF5D42"/>
    <w:rsid w:val="00EF5EF2"/>
    <w:rsid w:val="00EF5FD6"/>
    <w:rsid w:val="00EF62F4"/>
    <w:rsid w:val="00EF6465"/>
    <w:rsid w:val="00EF6469"/>
    <w:rsid w:val="00EF67CF"/>
    <w:rsid w:val="00EF6A7B"/>
    <w:rsid w:val="00EF7856"/>
    <w:rsid w:val="00EF78D1"/>
    <w:rsid w:val="00EF790E"/>
    <w:rsid w:val="00EF7CAA"/>
    <w:rsid w:val="00F001FB"/>
    <w:rsid w:val="00F00546"/>
    <w:rsid w:val="00F00665"/>
    <w:rsid w:val="00F00837"/>
    <w:rsid w:val="00F00A74"/>
    <w:rsid w:val="00F00B53"/>
    <w:rsid w:val="00F00BA2"/>
    <w:rsid w:val="00F010A3"/>
    <w:rsid w:val="00F010E4"/>
    <w:rsid w:val="00F01234"/>
    <w:rsid w:val="00F012CB"/>
    <w:rsid w:val="00F01709"/>
    <w:rsid w:val="00F01802"/>
    <w:rsid w:val="00F01A16"/>
    <w:rsid w:val="00F01A24"/>
    <w:rsid w:val="00F01CF8"/>
    <w:rsid w:val="00F01E6D"/>
    <w:rsid w:val="00F0207A"/>
    <w:rsid w:val="00F0269F"/>
    <w:rsid w:val="00F02777"/>
    <w:rsid w:val="00F02884"/>
    <w:rsid w:val="00F02AAF"/>
    <w:rsid w:val="00F02AB0"/>
    <w:rsid w:val="00F02ACF"/>
    <w:rsid w:val="00F02DE3"/>
    <w:rsid w:val="00F02EEC"/>
    <w:rsid w:val="00F02F9F"/>
    <w:rsid w:val="00F03104"/>
    <w:rsid w:val="00F035A3"/>
    <w:rsid w:val="00F038D2"/>
    <w:rsid w:val="00F038EC"/>
    <w:rsid w:val="00F03BAD"/>
    <w:rsid w:val="00F03BFE"/>
    <w:rsid w:val="00F03E14"/>
    <w:rsid w:val="00F04095"/>
    <w:rsid w:val="00F044DB"/>
    <w:rsid w:val="00F047C8"/>
    <w:rsid w:val="00F048B6"/>
    <w:rsid w:val="00F04AC4"/>
    <w:rsid w:val="00F04DDD"/>
    <w:rsid w:val="00F056B8"/>
    <w:rsid w:val="00F05D13"/>
    <w:rsid w:val="00F069D0"/>
    <w:rsid w:val="00F06ED4"/>
    <w:rsid w:val="00F0709F"/>
    <w:rsid w:val="00F07411"/>
    <w:rsid w:val="00F0765C"/>
    <w:rsid w:val="00F07BFC"/>
    <w:rsid w:val="00F07C26"/>
    <w:rsid w:val="00F10CD5"/>
    <w:rsid w:val="00F10D13"/>
    <w:rsid w:val="00F10DC6"/>
    <w:rsid w:val="00F11288"/>
    <w:rsid w:val="00F113F3"/>
    <w:rsid w:val="00F11582"/>
    <w:rsid w:val="00F1172C"/>
    <w:rsid w:val="00F11770"/>
    <w:rsid w:val="00F11B9D"/>
    <w:rsid w:val="00F11CC2"/>
    <w:rsid w:val="00F12172"/>
    <w:rsid w:val="00F1217E"/>
    <w:rsid w:val="00F122D2"/>
    <w:rsid w:val="00F12921"/>
    <w:rsid w:val="00F1294A"/>
    <w:rsid w:val="00F12A29"/>
    <w:rsid w:val="00F12AC1"/>
    <w:rsid w:val="00F12D33"/>
    <w:rsid w:val="00F13008"/>
    <w:rsid w:val="00F13120"/>
    <w:rsid w:val="00F13140"/>
    <w:rsid w:val="00F13276"/>
    <w:rsid w:val="00F13289"/>
    <w:rsid w:val="00F13426"/>
    <w:rsid w:val="00F135E3"/>
    <w:rsid w:val="00F13FFA"/>
    <w:rsid w:val="00F14415"/>
    <w:rsid w:val="00F144D8"/>
    <w:rsid w:val="00F14545"/>
    <w:rsid w:val="00F14622"/>
    <w:rsid w:val="00F14811"/>
    <w:rsid w:val="00F148B1"/>
    <w:rsid w:val="00F148D2"/>
    <w:rsid w:val="00F1590F"/>
    <w:rsid w:val="00F15AFD"/>
    <w:rsid w:val="00F15E72"/>
    <w:rsid w:val="00F1606E"/>
    <w:rsid w:val="00F161F1"/>
    <w:rsid w:val="00F16299"/>
    <w:rsid w:val="00F1642C"/>
    <w:rsid w:val="00F166FB"/>
    <w:rsid w:val="00F16D39"/>
    <w:rsid w:val="00F16E11"/>
    <w:rsid w:val="00F17187"/>
    <w:rsid w:val="00F171B5"/>
    <w:rsid w:val="00F172AA"/>
    <w:rsid w:val="00F17439"/>
    <w:rsid w:val="00F17518"/>
    <w:rsid w:val="00F1775D"/>
    <w:rsid w:val="00F177A3"/>
    <w:rsid w:val="00F178CB"/>
    <w:rsid w:val="00F17CE5"/>
    <w:rsid w:val="00F20025"/>
    <w:rsid w:val="00F200F0"/>
    <w:rsid w:val="00F20565"/>
    <w:rsid w:val="00F207A1"/>
    <w:rsid w:val="00F207B6"/>
    <w:rsid w:val="00F20936"/>
    <w:rsid w:val="00F20ACE"/>
    <w:rsid w:val="00F20BC7"/>
    <w:rsid w:val="00F20E05"/>
    <w:rsid w:val="00F210CA"/>
    <w:rsid w:val="00F211B9"/>
    <w:rsid w:val="00F2137A"/>
    <w:rsid w:val="00F2150F"/>
    <w:rsid w:val="00F21565"/>
    <w:rsid w:val="00F21781"/>
    <w:rsid w:val="00F21A4C"/>
    <w:rsid w:val="00F21A8E"/>
    <w:rsid w:val="00F21CA1"/>
    <w:rsid w:val="00F21EBF"/>
    <w:rsid w:val="00F220DA"/>
    <w:rsid w:val="00F224E3"/>
    <w:rsid w:val="00F2280A"/>
    <w:rsid w:val="00F23040"/>
    <w:rsid w:val="00F23206"/>
    <w:rsid w:val="00F23353"/>
    <w:rsid w:val="00F234E9"/>
    <w:rsid w:val="00F234FC"/>
    <w:rsid w:val="00F238FA"/>
    <w:rsid w:val="00F23AD9"/>
    <w:rsid w:val="00F23AE4"/>
    <w:rsid w:val="00F23F67"/>
    <w:rsid w:val="00F23FC8"/>
    <w:rsid w:val="00F24062"/>
    <w:rsid w:val="00F241EF"/>
    <w:rsid w:val="00F243F4"/>
    <w:rsid w:val="00F24454"/>
    <w:rsid w:val="00F246E3"/>
    <w:rsid w:val="00F24BAB"/>
    <w:rsid w:val="00F24BFB"/>
    <w:rsid w:val="00F24E5D"/>
    <w:rsid w:val="00F24FED"/>
    <w:rsid w:val="00F2506E"/>
    <w:rsid w:val="00F250F9"/>
    <w:rsid w:val="00F252EC"/>
    <w:rsid w:val="00F2553C"/>
    <w:rsid w:val="00F25885"/>
    <w:rsid w:val="00F25BB4"/>
    <w:rsid w:val="00F25C12"/>
    <w:rsid w:val="00F25D26"/>
    <w:rsid w:val="00F25F89"/>
    <w:rsid w:val="00F26099"/>
    <w:rsid w:val="00F260C1"/>
    <w:rsid w:val="00F261A7"/>
    <w:rsid w:val="00F265A0"/>
    <w:rsid w:val="00F265C9"/>
    <w:rsid w:val="00F265EB"/>
    <w:rsid w:val="00F26B3E"/>
    <w:rsid w:val="00F26BEC"/>
    <w:rsid w:val="00F26FDE"/>
    <w:rsid w:val="00F2718B"/>
    <w:rsid w:val="00F275EA"/>
    <w:rsid w:val="00F27C56"/>
    <w:rsid w:val="00F30086"/>
    <w:rsid w:val="00F307FB"/>
    <w:rsid w:val="00F30806"/>
    <w:rsid w:val="00F30824"/>
    <w:rsid w:val="00F3083A"/>
    <w:rsid w:val="00F3090E"/>
    <w:rsid w:val="00F30A15"/>
    <w:rsid w:val="00F30CAE"/>
    <w:rsid w:val="00F31403"/>
    <w:rsid w:val="00F31436"/>
    <w:rsid w:val="00F31467"/>
    <w:rsid w:val="00F3148A"/>
    <w:rsid w:val="00F31858"/>
    <w:rsid w:val="00F319D8"/>
    <w:rsid w:val="00F31A72"/>
    <w:rsid w:val="00F328FC"/>
    <w:rsid w:val="00F32989"/>
    <w:rsid w:val="00F32DF4"/>
    <w:rsid w:val="00F330E5"/>
    <w:rsid w:val="00F3321B"/>
    <w:rsid w:val="00F333A9"/>
    <w:rsid w:val="00F3352D"/>
    <w:rsid w:val="00F33DAA"/>
    <w:rsid w:val="00F3446F"/>
    <w:rsid w:val="00F3483D"/>
    <w:rsid w:val="00F34ABE"/>
    <w:rsid w:val="00F34CB3"/>
    <w:rsid w:val="00F34E87"/>
    <w:rsid w:val="00F35071"/>
    <w:rsid w:val="00F350AC"/>
    <w:rsid w:val="00F3529F"/>
    <w:rsid w:val="00F35393"/>
    <w:rsid w:val="00F353AC"/>
    <w:rsid w:val="00F353F8"/>
    <w:rsid w:val="00F358DF"/>
    <w:rsid w:val="00F35DB2"/>
    <w:rsid w:val="00F36105"/>
    <w:rsid w:val="00F3685D"/>
    <w:rsid w:val="00F36919"/>
    <w:rsid w:val="00F36CE1"/>
    <w:rsid w:val="00F36DF3"/>
    <w:rsid w:val="00F36F24"/>
    <w:rsid w:val="00F3714C"/>
    <w:rsid w:val="00F37807"/>
    <w:rsid w:val="00F37C61"/>
    <w:rsid w:val="00F37D8A"/>
    <w:rsid w:val="00F37DAE"/>
    <w:rsid w:val="00F37DE1"/>
    <w:rsid w:val="00F40222"/>
    <w:rsid w:val="00F4039D"/>
    <w:rsid w:val="00F403D8"/>
    <w:rsid w:val="00F40A1B"/>
    <w:rsid w:val="00F40B35"/>
    <w:rsid w:val="00F40C38"/>
    <w:rsid w:val="00F40E1E"/>
    <w:rsid w:val="00F40EEF"/>
    <w:rsid w:val="00F4102B"/>
    <w:rsid w:val="00F410CD"/>
    <w:rsid w:val="00F41286"/>
    <w:rsid w:val="00F416A4"/>
    <w:rsid w:val="00F4187F"/>
    <w:rsid w:val="00F4198F"/>
    <w:rsid w:val="00F41B23"/>
    <w:rsid w:val="00F41EEA"/>
    <w:rsid w:val="00F42148"/>
    <w:rsid w:val="00F4237B"/>
    <w:rsid w:val="00F423B4"/>
    <w:rsid w:val="00F4263B"/>
    <w:rsid w:val="00F428D4"/>
    <w:rsid w:val="00F42959"/>
    <w:rsid w:val="00F42D00"/>
    <w:rsid w:val="00F4332D"/>
    <w:rsid w:val="00F434E5"/>
    <w:rsid w:val="00F43911"/>
    <w:rsid w:val="00F4393B"/>
    <w:rsid w:val="00F43FB2"/>
    <w:rsid w:val="00F43FD7"/>
    <w:rsid w:val="00F44A23"/>
    <w:rsid w:val="00F44A9A"/>
    <w:rsid w:val="00F4501E"/>
    <w:rsid w:val="00F450E0"/>
    <w:rsid w:val="00F45387"/>
    <w:rsid w:val="00F45705"/>
    <w:rsid w:val="00F4580B"/>
    <w:rsid w:val="00F45864"/>
    <w:rsid w:val="00F45869"/>
    <w:rsid w:val="00F45A83"/>
    <w:rsid w:val="00F45BAC"/>
    <w:rsid w:val="00F45D9C"/>
    <w:rsid w:val="00F46688"/>
    <w:rsid w:val="00F467B2"/>
    <w:rsid w:val="00F46C11"/>
    <w:rsid w:val="00F47222"/>
    <w:rsid w:val="00F47421"/>
    <w:rsid w:val="00F4797D"/>
    <w:rsid w:val="00F47A86"/>
    <w:rsid w:val="00F47B03"/>
    <w:rsid w:val="00F47C33"/>
    <w:rsid w:val="00F47C70"/>
    <w:rsid w:val="00F50066"/>
    <w:rsid w:val="00F500A0"/>
    <w:rsid w:val="00F503FF"/>
    <w:rsid w:val="00F50863"/>
    <w:rsid w:val="00F508B9"/>
    <w:rsid w:val="00F50A47"/>
    <w:rsid w:val="00F50C7A"/>
    <w:rsid w:val="00F50DC8"/>
    <w:rsid w:val="00F511DD"/>
    <w:rsid w:val="00F513B7"/>
    <w:rsid w:val="00F5154C"/>
    <w:rsid w:val="00F5158E"/>
    <w:rsid w:val="00F51767"/>
    <w:rsid w:val="00F517F8"/>
    <w:rsid w:val="00F518A4"/>
    <w:rsid w:val="00F51E87"/>
    <w:rsid w:val="00F52110"/>
    <w:rsid w:val="00F5268E"/>
    <w:rsid w:val="00F528BC"/>
    <w:rsid w:val="00F52C25"/>
    <w:rsid w:val="00F52D4E"/>
    <w:rsid w:val="00F53712"/>
    <w:rsid w:val="00F53B0E"/>
    <w:rsid w:val="00F53D53"/>
    <w:rsid w:val="00F5446D"/>
    <w:rsid w:val="00F546F3"/>
    <w:rsid w:val="00F54DBB"/>
    <w:rsid w:val="00F54F4C"/>
    <w:rsid w:val="00F551C1"/>
    <w:rsid w:val="00F55517"/>
    <w:rsid w:val="00F5561F"/>
    <w:rsid w:val="00F558F4"/>
    <w:rsid w:val="00F559D5"/>
    <w:rsid w:val="00F55ABB"/>
    <w:rsid w:val="00F55CA3"/>
    <w:rsid w:val="00F55EB7"/>
    <w:rsid w:val="00F55FFB"/>
    <w:rsid w:val="00F563C2"/>
    <w:rsid w:val="00F56626"/>
    <w:rsid w:val="00F566C9"/>
    <w:rsid w:val="00F56A73"/>
    <w:rsid w:val="00F56BB1"/>
    <w:rsid w:val="00F56DD3"/>
    <w:rsid w:val="00F56F2B"/>
    <w:rsid w:val="00F577BC"/>
    <w:rsid w:val="00F57F18"/>
    <w:rsid w:val="00F600B0"/>
    <w:rsid w:val="00F6011E"/>
    <w:rsid w:val="00F60242"/>
    <w:rsid w:val="00F6048A"/>
    <w:rsid w:val="00F60580"/>
    <w:rsid w:val="00F6061D"/>
    <w:rsid w:val="00F60E06"/>
    <w:rsid w:val="00F60E89"/>
    <w:rsid w:val="00F60F7B"/>
    <w:rsid w:val="00F6100C"/>
    <w:rsid w:val="00F61179"/>
    <w:rsid w:val="00F611CC"/>
    <w:rsid w:val="00F61C83"/>
    <w:rsid w:val="00F6206B"/>
    <w:rsid w:val="00F623D4"/>
    <w:rsid w:val="00F628E7"/>
    <w:rsid w:val="00F62983"/>
    <w:rsid w:val="00F62AEE"/>
    <w:rsid w:val="00F62BB4"/>
    <w:rsid w:val="00F62BEE"/>
    <w:rsid w:val="00F62C11"/>
    <w:rsid w:val="00F62C14"/>
    <w:rsid w:val="00F62C44"/>
    <w:rsid w:val="00F62E2A"/>
    <w:rsid w:val="00F62EFF"/>
    <w:rsid w:val="00F63112"/>
    <w:rsid w:val="00F63385"/>
    <w:rsid w:val="00F63614"/>
    <w:rsid w:val="00F6379B"/>
    <w:rsid w:val="00F63830"/>
    <w:rsid w:val="00F63D65"/>
    <w:rsid w:val="00F63F5C"/>
    <w:rsid w:val="00F63FDB"/>
    <w:rsid w:val="00F6415A"/>
    <w:rsid w:val="00F64428"/>
    <w:rsid w:val="00F64498"/>
    <w:rsid w:val="00F644BA"/>
    <w:rsid w:val="00F644F9"/>
    <w:rsid w:val="00F649A6"/>
    <w:rsid w:val="00F64C30"/>
    <w:rsid w:val="00F64E54"/>
    <w:rsid w:val="00F64E72"/>
    <w:rsid w:val="00F64F43"/>
    <w:rsid w:val="00F655F7"/>
    <w:rsid w:val="00F656DC"/>
    <w:rsid w:val="00F657C6"/>
    <w:rsid w:val="00F6632E"/>
    <w:rsid w:val="00F664AA"/>
    <w:rsid w:val="00F6674C"/>
    <w:rsid w:val="00F668EF"/>
    <w:rsid w:val="00F66A32"/>
    <w:rsid w:val="00F67409"/>
    <w:rsid w:val="00F675C8"/>
    <w:rsid w:val="00F67A86"/>
    <w:rsid w:val="00F67F22"/>
    <w:rsid w:val="00F709B3"/>
    <w:rsid w:val="00F70A6C"/>
    <w:rsid w:val="00F70D3E"/>
    <w:rsid w:val="00F70F5E"/>
    <w:rsid w:val="00F70F94"/>
    <w:rsid w:val="00F717AF"/>
    <w:rsid w:val="00F717E0"/>
    <w:rsid w:val="00F71A7A"/>
    <w:rsid w:val="00F71BC6"/>
    <w:rsid w:val="00F71BE5"/>
    <w:rsid w:val="00F71C70"/>
    <w:rsid w:val="00F71CC0"/>
    <w:rsid w:val="00F71FA7"/>
    <w:rsid w:val="00F722DD"/>
    <w:rsid w:val="00F722E4"/>
    <w:rsid w:val="00F7257D"/>
    <w:rsid w:val="00F7274F"/>
    <w:rsid w:val="00F72BAD"/>
    <w:rsid w:val="00F73438"/>
    <w:rsid w:val="00F73490"/>
    <w:rsid w:val="00F73695"/>
    <w:rsid w:val="00F738CD"/>
    <w:rsid w:val="00F73A50"/>
    <w:rsid w:val="00F73DB7"/>
    <w:rsid w:val="00F73F6E"/>
    <w:rsid w:val="00F7437A"/>
    <w:rsid w:val="00F744D9"/>
    <w:rsid w:val="00F74618"/>
    <w:rsid w:val="00F7473A"/>
    <w:rsid w:val="00F7477B"/>
    <w:rsid w:val="00F74B6D"/>
    <w:rsid w:val="00F74BFA"/>
    <w:rsid w:val="00F74F83"/>
    <w:rsid w:val="00F752F8"/>
    <w:rsid w:val="00F75685"/>
    <w:rsid w:val="00F758F7"/>
    <w:rsid w:val="00F75F6F"/>
    <w:rsid w:val="00F75FD2"/>
    <w:rsid w:val="00F76171"/>
    <w:rsid w:val="00F763F8"/>
    <w:rsid w:val="00F76766"/>
    <w:rsid w:val="00F76799"/>
    <w:rsid w:val="00F76BF4"/>
    <w:rsid w:val="00F775A5"/>
    <w:rsid w:val="00F779C6"/>
    <w:rsid w:val="00F77D61"/>
    <w:rsid w:val="00F803C7"/>
    <w:rsid w:val="00F80572"/>
    <w:rsid w:val="00F807DC"/>
    <w:rsid w:val="00F80870"/>
    <w:rsid w:val="00F80AD0"/>
    <w:rsid w:val="00F80C87"/>
    <w:rsid w:val="00F80CAB"/>
    <w:rsid w:val="00F81091"/>
    <w:rsid w:val="00F81570"/>
    <w:rsid w:val="00F816D4"/>
    <w:rsid w:val="00F81788"/>
    <w:rsid w:val="00F81B8A"/>
    <w:rsid w:val="00F81C47"/>
    <w:rsid w:val="00F81CF9"/>
    <w:rsid w:val="00F8221D"/>
    <w:rsid w:val="00F82421"/>
    <w:rsid w:val="00F82430"/>
    <w:rsid w:val="00F8261A"/>
    <w:rsid w:val="00F82B34"/>
    <w:rsid w:val="00F83366"/>
    <w:rsid w:val="00F837A7"/>
    <w:rsid w:val="00F83980"/>
    <w:rsid w:val="00F83A24"/>
    <w:rsid w:val="00F83E14"/>
    <w:rsid w:val="00F8404B"/>
    <w:rsid w:val="00F84104"/>
    <w:rsid w:val="00F842EE"/>
    <w:rsid w:val="00F8457E"/>
    <w:rsid w:val="00F84598"/>
    <w:rsid w:val="00F854F7"/>
    <w:rsid w:val="00F85519"/>
    <w:rsid w:val="00F85A36"/>
    <w:rsid w:val="00F85CD4"/>
    <w:rsid w:val="00F85D0A"/>
    <w:rsid w:val="00F86261"/>
    <w:rsid w:val="00F8648B"/>
    <w:rsid w:val="00F86716"/>
    <w:rsid w:val="00F86C80"/>
    <w:rsid w:val="00F86F8F"/>
    <w:rsid w:val="00F8712A"/>
    <w:rsid w:val="00F8769F"/>
    <w:rsid w:val="00F87780"/>
    <w:rsid w:val="00F879B8"/>
    <w:rsid w:val="00F87B81"/>
    <w:rsid w:val="00F87CF8"/>
    <w:rsid w:val="00F90393"/>
    <w:rsid w:val="00F9041F"/>
    <w:rsid w:val="00F9049B"/>
    <w:rsid w:val="00F904D6"/>
    <w:rsid w:val="00F90532"/>
    <w:rsid w:val="00F90738"/>
    <w:rsid w:val="00F908C4"/>
    <w:rsid w:val="00F90B82"/>
    <w:rsid w:val="00F90DFB"/>
    <w:rsid w:val="00F90E8A"/>
    <w:rsid w:val="00F90F88"/>
    <w:rsid w:val="00F90FBE"/>
    <w:rsid w:val="00F911C7"/>
    <w:rsid w:val="00F91204"/>
    <w:rsid w:val="00F914D1"/>
    <w:rsid w:val="00F9195F"/>
    <w:rsid w:val="00F91AD6"/>
    <w:rsid w:val="00F92291"/>
    <w:rsid w:val="00F92692"/>
    <w:rsid w:val="00F92785"/>
    <w:rsid w:val="00F92BFF"/>
    <w:rsid w:val="00F93237"/>
    <w:rsid w:val="00F93806"/>
    <w:rsid w:val="00F93C5F"/>
    <w:rsid w:val="00F93C6B"/>
    <w:rsid w:val="00F94120"/>
    <w:rsid w:val="00F94208"/>
    <w:rsid w:val="00F945FC"/>
    <w:rsid w:val="00F94A9C"/>
    <w:rsid w:val="00F94C9B"/>
    <w:rsid w:val="00F951C1"/>
    <w:rsid w:val="00F956CD"/>
    <w:rsid w:val="00F95CC1"/>
    <w:rsid w:val="00F95DD9"/>
    <w:rsid w:val="00F95F9A"/>
    <w:rsid w:val="00F95FE7"/>
    <w:rsid w:val="00F95FEA"/>
    <w:rsid w:val="00F9616B"/>
    <w:rsid w:val="00F961A7"/>
    <w:rsid w:val="00F96566"/>
    <w:rsid w:val="00F96B7F"/>
    <w:rsid w:val="00F96CED"/>
    <w:rsid w:val="00F96EB2"/>
    <w:rsid w:val="00F9703F"/>
    <w:rsid w:val="00F97451"/>
    <w:rsid w:val="00F977D6"/>
    <w:rsid w:val="00F9793A"/>
    <w:rsid w:val="00F97A58"/>
    <w:rsid w:val="00F97A9B"/>
    <w:rsid w:val="00FA00A4"/>
    <w:rsid w:val="00FA0229"/>
    <w:rsid w:val="00FA075D"/>
    <w:rsid w:val="00FA07D0"/>
    <w:rsid w:val="00FA0842"/>
    <w:rsid w:val="00FA0A08"/>
    <w:rsid w:val="00FA0A2F"/>
    <w:rsid w:val="00FA0AE8"/>
    <w:rsid w:val="00FA0DF7"/>
    <w:rsid w:val="00FA0E59"/>
    <w:rsid w:val="00FA0E6E"/>
    <w:rsid w:val="00FA0EF6"/>
    <w:rsid w:val="00FA115C"/>
    <w:rsid w:val="00FA14C6"/>
    <w:rsid w:val="00FA1738"/>
    <w:rsid w:val="00FA1963"/>
    <w:rsid w:val="00FA1ACE"/>
    <w:rsid w:val="00FA1D30"/>
    <w:rsid w:val="00FA1F42"/>
    <w:rsid w:val="00FA2C51"/>
    <w:rsid w:val="00FA2DDF"/>
    <w:rsid w:val="00FA2EF5"/>
    <w:rsid w:val="00FA2FC9"/>
    <w:rsid w:val="00FA3129"/>
    <w:rsid w:val="00FA312E"/>
    <w:rsid w:val="00FA3595"/>
    <w:rsid w:val="00FA378C"/>
    <w:rsid w:val="00FA380A"/>
    <w:rsid w:val="00FA3D4A"/>
    <w:rsid w:val="00FA3D96"/>
    <w:rsid w:val="00FA3E58"/>
    <w:rsid w:val="00FA3EF7"/>
    <w:rsid w:val="00FA4044"/>
    <w:rsid w:val="00FA41E2"/>
    <w:rsid w:val="00FA44EE"/>
    <w:rsid w:val="00FA46DA"/>
    <w:rsid w:val="00FA47CA"/>
    <w:rsid w:val="00FA489E"/>
    <w:rsid w:val="00FA4C0E"/>
    <w:rsid w:val="00FA4C10"/>
    <w:rsid w:val="00FA4FE7"/>
    <w:rsid w:val="00FA511D"/>
    <w:rsid w:val="00FA5416"/>
    <w:rsid w:val="00FA5A13"/>
    <w:rsid w:val="00FA5C27"/>
    <w:rsid w:val="00FA60B7"/>
    <w:rsid w:val="00FA61DA"/>
    <w:rsid w:val="00FA65EC"/>
    <w:rsid w:val="00FA6A77"/>
    <w:rsid w:val="00FA6D44"/>
    <w:rsid w:val="00FA6D6C"/>
    <w:rsid w:val="00FA732C"/>
    <w:rsid w:val="00FA765A"/>
    <w:rsid w:val="00FA7A70"/>
    <w:rsid w:val="00FA7D40"/>
    <w:rsid w:val="00FA7D80"/>
    <w:rsid w:val="00FB03D7"/>
    <w:rsid w:val="00FB040D"/>
    <w:rsid w:val="00FB0843"/>
    <w:rsid w:val="00FB0E8B"/>
    <w:rsid w:val="00FB0F04"/>
    <w:rsid w:val="00FB0FBA"/>
    <w:rsid w:val="00FB116F"/>
    <w:rsid w:val="00FB13B6"/>
    <w:rsid w:val="00FB15C6"/>
    <w:rsid w:val="00FB16DC"/>
    <w:rsid w:val="00FB1B6E"/>
    <w:rsid w:val="00FB207F"/>
    <w:rsid w:val="00FB2416"/>
    <w:rsid w:val="00FB2524"/>
    <w:rsid w:val="00FB2898"/>
    <w:rsid w:val="00FB2A1F"/>
    <w:rsid w:val="00FB2B50"/>
    <w:rsid w:val="00FB2FF8"/>
    <w:rsid w:val="00FB3041"/>
    <w:rsid w:val="00FB31CC"/>
    <w:rsid w:val="00FB3372"/>
    <w:rsid w:val="00FB3467"/>
    <w:rsid w:val="00FB37FA"/>
    <w:rsid w:val="00FB39EF"/>
    <w:rsid w:val="00FB3B2A"/>
    <w:rsid w:val="00FB3B39"/>
    <w:rsid w:val="00FB3CC0"/>
    <w:rsid w:val="00FB3DD3"/>
    <w:rsid w:val="00FB3F05"/>
    <w:rsid w:val="00FB42A7"/>
    <w:rsid w:val="00FB4720"/>
    <w:rsid w:val="00FB4FC3"/>
    <w:rsid w:val="00FB50B9"/>
    <w:rsid w:val="00FB5270"/>
    <w:rsid w:val="00FB5318"/>
    <w:rsid w:val="00FB5324"/>
    <w:rsid w:val="00FB53A6"/>
    <w:rsid w:val="00FB582F"/>
    <w:rsid w:val="00FB5832"/>
    <w:rsid w:val="00FB5A3E"/>
    <w:rsid w:val="00FB5A68"/>
    <w:rsid w:val="00FB5F13"/>
    <w:rsid w:val="00FB60A9"/>
    <w:rsid w:val="00FB622D"/>
    <w:rsid w:val="00FB63BD"/>
    <w:rsid w:val="00FB6523"/>
    <w:rsid w:val="00FB67E6"/>
    <w:rsid w:val="00FB6EE5"/>
    <w:rsid w:val="00FB6F3B"/>
    <w:rsid w:val="00FB7144"/>
    <w:rsid w:val="00FB727D"/>
    <w:rsid w:val="00FB72A3"/>
    <w:rsid w:val="00FB74DC"/>
    <w:rsid w:val="00FB7974"/>
    <w:rsid w:val="00FB7BE9"/>
    <w:rsid w:val="00FB7C3A"/>
    <w:rsid w:val="00FC021C"/>
    <w:rsid w:val="00FC04C4"/>
    <w:rsid w:val="00FC0C3C"/>
    <w:rsid w:val="00FC0D2A"/>
    <w:rsid w:val="00FC0DDB"/>
    <w:rsid w:val="00FC10BF"/>
    <w:rsid w:val="00FC1706"/>
    <w:rsid w:val="00FC171F"/>
    <w:rsid w:val="00FC18CC"/>
    <w:rsid w:val="00FC19BB"/>
    <w:rsid w:val="00FC1D70"/>
    <w:rsid w:val="00FC1E82"/>
    <w:rsid w:val="00FC1F2A"/>
    <w:rsid w:val="00FC2515"/>
    <w:rsid w:val="00FC26EE"/>
    <w:rsid w:val="00FC2A1C"/>
    <w:rsid w:val="00FC2B35"/>
    <w:rsid w:val="00FC2D9F"/>
    <w:rsid w:val="00FC2FF1"/>
    <w:rsid w:val="00FC355A"/>
    <w:rsid w:val="00FC3AA3"/>
    <w:rsid w:val="00FC3DC7"/>
    <w:rsid w:val="00FC42F1"/>
    <w:rsid w:val="00FC49D5"/>
    <w:rsid w:val="00FC4C2D"/>
    <w:rsid w:val="00FC4D3C"/>
    <w:rsid w:val="00FC4E96"/>
    <w:rsid w:val="00FC5293"/>
    <w:rsid w:val="00FC533F"/>
    <w:rsid w:val="00FC534D"/>
    <w:rsid w:val="00FC5360"/>
    <w:rsid w:val="00FC569E"/>
    <w:rsid w:val="00FC58BB"/>
    <w:rsid w:val="00FC59C6"/>
    <w:rsid w:val="00FC5F1A"/>
    <w:rsid w:val="00FC6070"/>
    <w:rsid w:val="00FC608A"/>
    <w:rsid w:val="00FC642A"/>
    <w:rsid w:val="00FC66CC"/>
    <w:rsid w:val="00FC67F5"/>
    <w:rsid w:val="00FC685E"/>
    <w:rsid w:val="00FC7191"/>
    <w:rsid w:val="00FC726C"/>
    <w:rsid w:val="00FD01B2"/>
    <w:rsid w:val="00FD0431"/>
    <w:rsid w:val="00FD0536"/>
    <w:rsid w:val="00FD0993"/>
    <w:rsid w:val="00FD0A3F"/>
    <w:rsid w:val="00FD0ADD"/>
    <w:rsid w:val="00FD0D45"/>
    <w:rsid w:val="00FD0F71"/>
    <w:rsid w:val="00FD10B9"/>
    <w:rsid w:val="00FD18AE"/>
    <w:rsid w:val="00FD19B1"/>
    <w:rsid w:val="00FD1CAE"/>
    <w:rsid w:val="00FD1F39"/>
    <w:rsid w:val="00FD27AD"/>
    <w:rsid w:val="00FD280B"/>
    <w:rsid w:val="00FD2DE2"/>
    <w:rsid w:val="00FD2E69"/>
    <w:rsid w:val="00FD33DD"/>
    <w:rsid w:val="00FD3464"/>
    <w:rsid w:val="00FD35D9"/>
    <w:rsid w:val="00FD3614"/>
    <w:rsid w:val="00FD37E0"/>
    <w:rsid w:val="00FD387D"/>
    <w:rsid w:val="00FD38E7"/>
    <w:rsid w:val="00FD3A7E"/>
    <w:rsid w:val="00FD3ECE"/>
    <w:rsid w:val="00FD4079"/>
    <w:rsid w:val="00FD468B"/>
    <w:rsid w:val="00FD4C7C"/>
    <w:rsid w:val="00FD4C85"/>
    <w:rsid w:val="00FD4E70"/>
    <w:rsid w:val="00FD4ED3"/>
    <w:rsid w:val="00FD4F15"/>
    <w:rsid w:val="00FD51FE"/>
    <w:rsid w:val="00FD550D"/>
    <w:rsid w:val="00FD5AC8"/>
    <w:rsid w:val="00FD5E5C"/>
    <w:rsid w:val="00FD5EA6"/>
    <w:rsid w:val="00FD5EB4"/>
    <w:rsid w:val="00FD6701"/>
    <w:rsid w:val="00FD6718"/>
    <w:rsid w:val="00FD69A8"/>
    <w:rsid w:val="00FD6A42"/>
    <w:rsid w:val="00FD6D14"/>
    <w:rsid w:val="00FD6DCB"/>
    <w:rsid w:val="00FD6E7B"/>
    <w:rsid w:val="00FD7251"/>
    <w:rsid w:val="00FD72A1"/>
    <w:rsid w:val="00FD743D"/>
    <w:rsid w:val="00FD74C0"/>
    <w:rsid w:val="00FD7685"/>
    <w:rsid w:val="00FD7697"/>
    <w:rsid w:val="00FD7D34"/>
    <w:rsid w:val="00FE01DB"/>
    <w:rsid w:val="00FE030D"/>
    <w:rsid w:val="00FE03BF"/>
    <w:rsid w:val="00FE067C"/>
    <w:rsid w:val="00FE0738"/>
    <w:rsid w:val="00FE0823"/>
    <w:rsid w:val="00FE0AEB"/>
    <w:rsid w:val="00FE0B09"/>
    <w:rsid w:val="00FE0DD7"/>
    <w:rsid w:val="00FE106D"/>
    <w:rsid w:val="00FE1218"/>
    <w:rsid w:val="00FE135A"/>
    <w:rsid w:val="00FE13EF"/>
    <w:rsid w:val="00FE1765"/>
    <w:rsid w:val="00FE1E30"/>
    <w:rsid w:val="00FE2197"/>
    <w:rsid w:val="00FE2576"/>
    <w:rsid w:val="00FE29AF"/>
    <w:rsid w:val="00FE2D9D"/>
    <w:rsid w:val="00FE2F21"/>
    <w:rsid w:val="00FE3B04"/>
    <w:rsid w:val="00FE3B3B"/>
    <w:rsid w:val="00FE3B83"/>
    <w:rsid w:val="00FE3D59"/>
    <w:rsid w:val="00FE4028"/>
    <w:rsid w:val="00FE4109"/>
    <w:rsid w:val="00FE411B"/>
    <w:rsid w:val="00FE454E"/>
    <w:rsid w:val="00FE46A0"/>
    <w:rsid w:val="00FE4822"/>
    <w:rsid w:val="00FE4D59"/>
    <w:rsid w:val="00FE4E7B"/>
    <w:rsid w:val="00FE5147"/>
    <w:rsid w:val="00FE53ED"/>
    <w:rsid w:val="00FE5636"/>
    <w:rsid w:val="00FE57D6"/>
    <w:rsid w:val="00FE5A2C"/>
    <w:rsid w:val="00FE5CE4"/>
    <w:rsid w:val="00FE618D"/>
    <w:rsid w:val="00FE65CD"/>
    <w:rsid w:val="00FE677A"/>
    <w:rsid w:val="00FE6FDC"/>
    <w:rsid w:val="00FE70DB"/>
    <w:rsid w:val="00FE70F2"/>
    <w:rsid w:val="00FE71B7"/>
    <w:rsid w:val="00FE73C3"/>
    <w:rsid w:val="00FF0568"/>
    <w:rsid w:val="00FF0585"/>
    <w:rsid w:val="00FF0FD2"/>
    <w:rsid w:val="00FF1058"/>
    <w:rsid w:val="00FF1247"/>
    <w:rsid w:val="00FF1462"/>
    <w:rsid w:val="00FF2108"/>
    <w:rsid w:val="00FF213D"/>
    <w:rsid w:val="00FF2174"/>
    <w:rsid w:val="00FF287B"/>
    <w:rsid w:val="00FF2AE8"/>
    <w:rsid w:val="00FF3065"/>
    <w:rsid w:val="00FF34C6"/>
    <w:rsid w:val="00FF352C"/>
    <w:rsid w:val="00FF380A"/>
    <w:rsid w:val="00FF3853"/>
    <w:rsid w:val="00FF3BBB"/>
    <w:rsid w:val="00FF3DC5"/>
    <w:rsid w:val="00FF4159"/>
    <w:rsid w:val="00FF42A9"/>
    <w:rsid w:val="00FF4306"/>
    <w:rsid w:val="00FF4677"/>
    <w:rsid w:val="00FF49C2"/>
    <w:rsid w:val="00FF4AE4"/>
    <w:rsid w:val="00FF4BE4"/>
    <w:rsid w:val="00FF4C12"/>
    <w:rsid w:val="00FF4D49"/>
    <w:rsid w:val="00FF4FD7"/>
    <w:rsid w:val="00FF51E6"/>
    <w:rsid w:val="00FF5246"/>
    <w:rsid w:val="00FF5A1B"/>
    <w:rsid w:val="00FF5E62"/>
    <w:rsid w:val="00FF61B9"/>
    <w:rsid w:val="00FF71FD"/>
    <w:rsid w:val="00FF7422"/>
    <w:rsid w:val="00FF7446"/>
    <w:rsid w:val="00FF763F"/>
    <w:rsid w:val="00FF796F"/>
    <w:rsid w:val="05E5240F"/>
    <w:rsid w:val="0798B7A6"/>
    <w:rsid w:val="083879D1"/>
    <w:rsid w:val="09FF1DB4"/>
    <w:rsid w:val="0C21C637"/>
    <w:rsid w:val="11136A87"/>
    <w:rsid w:val="18A9AFA5"/>
    <w:rsid w:val="1A7487C1"/>
    <w:rsid w:val="1E5FB783"/>
    <w:rsid w:val="20296501"/>
    <w:rsid w:val="24DEEDE9"/>
    <w:rsid w:val="250BE43D"/>
    <w:rsid w:val="27152142"/>
    <w:rsid w:val="2A3B2814"/>
    <w:rsid w:val="2D9A67CF"/>
    <w:rsid w:val="2EA7DABD"/>
    <w:rsid w:val="2F9E2E97"/>
    <w:rsid w:val="369424D6"/>
    <w:rsid w:val="380EDC75"/>
    <w:rsid w:val="398DF3E8"/>
    <w:rsid w:val="3A32E9C0"/>
    <w:rsid w:val="3BF2455E"/>
    <w:rsid w:val="3C95FB0C"/>
    <w:rsid w:val="4008C2C4"/>
    <w:rsid w:val="40598EB5"/>
    <w:rsid w:val="412E1029"/>
    <w:rsid w:val="424333B2"/>
    <w:rsid w:val="4447915B"/>
    <w:rsid w:val="4649960A"/>
    <w:rsid w:val="481D1A2F"/>
    <w:rsid w:val="4B6DBB17"/>
    <w:rsid w:val="4C76A8BD"/>
    <w:rsid w:val="4D170F44"/>
    <w:rsid w:val="5611F71D"/>
    <w:rsid w:val="56EACD40"/>
    <w:rsid w:val="5A81D816"/>
    <w:rsid w:val="5D21C480"/>
    <w:rsid w:val="5E6A87EB"/>
    <w:rsid w:val="5FAEAE46"/>
    <w:rsid w:val="69916298"/>
    <w:rsid w:val="6A810BE8"/>
    <w:rsid w:val="6B298E38"/>
    <w:rsid w:val="6F121495"/>
    <w:rsid w:val="70065607"/>
    <w:rsid w:val="77BBE9E8"/>
    <w:rsid w:val="77E02039"/>
    <w:rsid w:val="7A6A62C9"/>
    <w:rsid w:val="7C73950F"/>
    <w:rsid w:val="7F20AFA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60"/>
    <o:shapelayout v:ext="edit">
      <o:idmap v:ext="edit" data="2"/>
    </o:shapelayout>
  </w:shapeDefaults>
  <w:decimalSymbol w:val="."/>
  <w:listSeparator w:val=","/>
  <w14:docId w14:val="36DA0312"/>
  <w14:defaultImageDpi w14:val="96"/>
  <w15:docId w15:val="{D162C026-E853-4E50-A41E-77E187016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5"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5" w:unhideWhenUsed="1" w:qFormat="1"/>
    <w:lsdException w:name="heading 8" w:semiHidden="1" w:uiPriority="5" w:unhideWhenUsed="1" w:qFormat="1"/>
    <w:lsdException w:name="heading 9" w:semiHidden="1" w:uiPriority="5"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6"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FD6"/>
    <w:rPr>
      <w:rFonts w:ascii="Arial" w:hAnsi="Arial"/>
    </w:rPr>
  </w:style>
  <w:style w:type="paragraph" w:styleId="Heading1">
    <w:name w:val="heading 1"/>
    <w:basedOn w:val="Normal"/>
    <w:next w:val="Normal"/>
    <w:link w:val="Heading1Char"/>
    <w:uiPriority w:val="1"/>
    <w:qFormat/>
    <w:rsid w:val="00D6259F"/>
    <w:pPr>
      <w:keepNext/>
      <w:keepLines/>
      <w:pBdr>
        <w:bottom w:val="single" w:sz="18" w:space="1" w:color="auto"/>
      </w:pBdr>
      <w:spacing w:before="480" w:after="0"/>
      <w:outlineLvl w:val="0"/>
    </w:pPr>
    <w:rPr>
      <w:rFonts w:ascii="Guardian Sans Semibold" w:eastAsiaTheme="majorEastAsia" w:hAnsi="Guardian Sans Semibold"/>
      <w:b/>
      <w:bCs/>
      <w:color w:val="000000" w:themeColor="text1"/>
      <w:sz w:val="60"/>
      <w:szCs w:val="60"/>
    </w:rPr>
  </w:style>
  <w:style w:type="paragraph" w:styleId="Heading2">
    <w:name w:val="heading 2"/>
    <w:basedOn w:val="Normal"/>
    <w:next w:val="Normal"/>
    <w:link w:val="Heading2Char"/>
    <w:uiPriority w:val="5"/>
    <w:unhideWhenUsed/>
    <w:qFormat/>
    <w:rsid w:val="00D6259F"/>
    <w:pPr>
      <w:keepNext/>
      <w:keepLines/>
      <w:spacing w:before="200" w:after="240" w:line="240" w:lineRule="auto"/>
      <w:outlineLvl w:val="1"/>
    </w:pPr>
    <w:rPr>
      <w:rFonts w:ascii="Guardian Sans Semibold" w:eastAsiaTheme="majorEastAsia" w:hAnsi="Guardian Sans Semibold"/>
      <w:bCs/>
      <w:color w:val="000000" w:themeColor="text1"/>
      <w:sz w:val="44"/>
      <w:szCs w:val="40"/>
    </w:rPr>
  </w:style>
  <w:style w:type="paragraph" w:styleId="Heading3">
    <w:name w:val="heading 3"/>
    <w:basedOn w:val="Normal"/>
    <w:next w:val="Normal"/>
    <w:link w:val="Heading3Char"/>
    <w:uiPriority w:val="5"/>
    <w:unhideWhenUsed/>
    <w:qFormat/>
    <w:rsid w:val="00D6259F"/>
    <w:pPr>
      <w:keepNext/>
      <w:keepLines/>
      <w:spacing w:before="200" w:after="0"/>
      <w:outlineLvl w:val="2"/>
    </w:pPr>
    <w:rPr>
      <w:rFonts w:ascii="Guardian Sans Semibold" w:hAnsi="Guardian Sans Semibold" w:cs="Calibri"/>
      <w:b/>
      <w:bCs/>
      <w:color w:val="000000" w:themeColor="text1"/>
      <w:sz w:val="36"/>
      <w:szCs w:val="40"/>
      <w:lang w:eastAsia="en-NZ"/>
    </w:rPr>
  </w:style>
  <w:style w:type="paragraph" w:styleId="Heading4">
    <w:name w:val="heading 4"/>
    <w:basedOn w:val="Normal"/>
    <w:next w:val="Normal"/>
    <w:link w:val="Heading4Char"/>
    <w:uiPriority w:val="5"/>
    <w:unhideWhenUsed/>
    <w:qFormat/>
    <w:rsid w:val="00AD0827"/>
    <w:pPr>
      <w:keepNext/>
      <w:keepLines/>
      <w:spacing w:before="240" w:after="80"/>
      <w:outlineLvl w:val="3"/>
    </w:pPr>
    <w:rPr>
      <w:rFonts w:eastAsiaTheme="majorEastAsia" w:cs="Calibri"/>
      <w:b/>
      <w:bCs/>
      <w:i/>
      <w:iCs/>
      <w:color w:val="000000" w:themeColor="text1"/>
      <w:sz w:val="28"/>
      <w:szCs w:val="28"/>
      <w:lang w:eastAsia="en-NZ"/>
    </w:rPr>
  </w:style>
  <w:style w:type="paragraph" w:styleId="Heading5">
    <w:name w:val="heading 5"/>
    <w:basedOn w:val="Normal"/>
    <w:next w:val="Normal"/>
    <w:link w:val="Heading5Char"/>
    <w:uiPriority w:val="5"/>
    <w:unhideWhenUsed/>
    <w:qFormat/>
    <w:rsid w:val="006B2295"/>
    <w:pPr>
      <w:keepNext/>
      <w:keepLines/>
      <w:spacing w:before="120" w:after="0"/>
      <w:outlineLvl w:val="4"/>
    </w:pPr>
    <w:rPr>
      <w:rFonts w:eastAsiaTheme="majorEastAsia" w:cs="Calibri"/>
      <w:b/>
      <w:i/>
      <w:iCs/>
      <w:color w:val="1485A4" w:themeColor="text2"/>
      <w:sz w:val="26"/>
      <w:szCs w:val="26"/>
      <w:lang w:eastAsia="en-GB"/>
    </w:rPr>
  </w:style>
  <w:style w:type="paragraph" w:styleId="Heading6">
    <w:name w:val="heading 6"/>
    <w:basedOn w:val="Normal"/>
    <w:next w:val="Normal"/>
    <w:link w:val="Heading6Char"/>
    <w:uiPriority w:val="9"/>
    <w:unhideWhenUsed/>
    <w:qFormat/>
    <w:rsid w:val="00FA6D44"/>
    <w:pPr>
      <w:keepNext/>
      <w:keepLines/>
      <w:spacing w:before="200" w:after="0"/>
      <w:outlineLvl w:val="5"/>
    </w:pPr>
    <w:rPr>
      <w:rFonts w:eastAsiaTheme="majorEastAsia" w:cs="Calibri"/>
      <w:b/>
      <w:lang w:eastAsia="en-GB"/>
    </w:rPr>
  </w:style>
  <w:style w:type="paragraph" w:styleId="Heading7">
    <w:name w:val="heading 7"/>
    <w:basedOn w:val="Normal"/>
    <w:next w:val="Normal"/>
    <w:link w:val="Heading7Char"/>
    <w:uiPriority w:val="5"/>
    <w:unhideWhenUsed/>
    <w:qFormat/>
    <w:rsid w:val="007A6336"/>
    <w:pPr>
      <w:keepNext/>
      <w:keepLines/>
      <w:spacing w:before="200" w:after="0" w:line="240" w:lineRule="auto"/>
      <w:outlineLvl w:val="6"/>
    </w:pPr>
    <w:rPr>
      <w:rFonts w:eastAsiaTheme="majorEastAsia" w:cs="Calibri"/>
      <w:b/>
      <w:bCs/>
      <w:i/>
      <w:lang w:eastAsia="en-GB"/>
    </w:rPr>
  </w:style>
  <w:style w:type="paragraph" w:styleId="Heading8">
    <w:name w:val="heading 8"/>
    <w:basedOn w:val="Normal"/>
    <w:next w:val="Normal"/>
    <w:link w:val="Heading8Char"/>
    <w:uiPriority w:val="5"/>
    <w:unhideWhenUsed/>
    <w:qFormat/>
    <w:rsid w:val="00B8703D"/>
    <w:pPr>
      <w:keepNext/>
      <w:keepLines/>
      <w:spacing w:before="200" w:after="0"/>
      <w:outlineLvl w:val="7"/>
    </w:pPr>
    <w:rPr>
      <w:rFonts w:asciiTheme="majorHAnsi" w:eastAsiaTheme="majorEastAsia" w:hAnsiTheme="majorHAnsi"/>
      <w:color w:val="1CADE4" w:themeColor="accent1"/>
      <w:sz w:val="20"/>
      <w:szCs w:val="20"/>
    </w:rPr>
  </w:style>
  <w:style w:type="paragraph" w:styleId="Heading9">
    <w:name w:val="heading 9"/>
    <w:basedOn w:val="Normal"/>
    <w:next w:val="Normal"/>
    <w:link w:val="Heading9Char"/>
    <w:uiPriority w:val="5"/>
    <w:unhideWhenUsed/>
    <w:qFormat/>
    <w:rsid w:val="00B8703D"/>
    <w:pPr>
      <w:keepNext/>
      <w:keepLines/>
      <w:spacing w:before="200" w:after="0"/>
      <w:outlineLvl w:val="8"/>
    </w:pPr>
    <w:rPr>
      <w:rFonts w:asciiTheme="majorHAnsi" w:eastAsiaTheme="majorEastAsia" w:hAnsiTheme="majorHAns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D6259F"/>
    <w:rPr>
      <w:rFonts w:ascii="Guardian Sans Semibold" w:eastAsiaTheme="majorEastAsia" w:hAnsi="Guardian Sans Semibold"/>
      <w:b/>
      <w:bCs/>
      <w:color w:val="000000" w:themeColor="text1"/>
      <w:sz w:val="60"/>
      <w:szCs w:val="60"/>
    </w:rPr>
  </w:style>
  <w:style w:type="character" w:customStyle="1" w:styleId="Heading2Char">
    <w:name w:val="Heading 2 Char"/>
    <w:basedOn w:val="DefaultParagraphFont"/>
    <w:link w:val="Heading2"/>
    <w:uiPriority w:val="5"/>
    <w:locked/>
    <w:rsid w:val="00D6259F"/>
    <w:rPr>
      <w:rFonts w:ascii="Guardian Sans Semibold" w:eastAsiaTheme="majorEastAsia" w:hAnsi="Guardian Sans Semibold"/>
      <w:bCs/>
      <w:color w:val="000000" w:themeColor="text1"/>
      <w:sz w:val="44"/>
      <w:szCs w:val="40"/>
    </w:rPr>
  </w:style>
  <w:style w:type="character" w:customStyle="1" w:styleId="Heading3Char">
    <w:name w:val="Heading 3 Char"/>
    <w:basedOn w:val="DefaultParagraphFont"/>
    <w:link w:val="Heading3"/>
    <w:uiPriority w:val="5"/>
    <w:locked/>
    <w:rsid w:val="00D6259F"/>
    <w:rPr>
      <w:rFonts w:ascii="Guardian Sans Semibold" w:hAnsi="Guardian Sans Semibold" w:cs="Calibri"/>
      <w:b/>
      <w:bCs/>
      <w:color w:val="000000" w:themeColor="text1"/>
      <w:sz w:val="36"/>
      <w:szCs w:val="40"/>
      <w:lang w:eastAsia="en-NZ"/>
    </w:rPr>
  </w:style>
  <w:style w:type="character" w:customStyle="1" w:styleId="Heading4Char">
    <w:name w:val="Heading 4 Char"/>
    <w:basedOn w:val="DefaultParagraphFont"/>
    <w:link w:val="Heading4"/>
    <w:uiPriority w:val="5"/>
    <w:locked/>
    <w:rsid w:val="00AD0827"/>
    <w:rPr>
      <w:rFonts w:ascii="Arial" w:eastAsiaTheme="majorEastAsia" w:hAnsi="Arial" w:cs="Calibri"/>
      <w:b/>
      <w:bCs/>
      <w:i/>
      <w:iCs/>
      <w:color w:val="000000" w:themeColor="text1"/>
      <w:sz w:val="28"/>
      <w:szCs w:val="28"/>
      <w:lang w:val="x-none" w:eastAsia="en-NZ"/>
    </w:rPr>
  </w:style>
  <w:style w:type="character" w:customStyle="1" w:styleId="Heading5Char">
    <w:name w:val="Heading 5 Char"/>
    <w:basedOn w:val="DefaultParagraphFont"/>
    <w:link w:val="Heading5"/>
    <w:uiPriority w:val="5"/>
    <w:locked/>
    <w:rsid w:val="006B2295"/>
    <w:rPr>
      <w:rFonts w:ascii="Arial" w:eastAsiaTheme="majorEastAsia" w:hAnsi="Arial" w:cs="Calibri"/>
      <w:b/>
      <w:i/>
      <w:iCs/>
      <w:color w:val="1485A4" w:themeColor="text2"/>
      <w:sz w:val="26"/>
      <w:szCs w:val="26"/>
      <w:lang w:val="x-none" w:eastAsia="en-GB"/>
    </w:rPr>
  </w:style>
  <w:style w:type="character" w:customStyle="1" w:styleId="Heading6Char">
    <w:name w:val="Heading 6 Char"/>
    <w:basedOn w:val="DefaultParagraphFont"/>
    <w:link w:val="Heading6"/>
    <w:uiPriority w:val="9"/>
    <w:locked/>
    <w:rsid w:val="00FA6D44"/>
    <w:rPr>
      <w:rFonts w:eastAsiaTheme="majorEastAsia" w:cs="Calibri"/>
      <w:b/>
      <w:lang w:val="x-none" w:eastAsia="en-GB"/>
    </w:rPr>
  </w:style>
  <w:style w:type="character" w:customStyle="1" w:styleId="Heading7Char">
    <w:name w:val="Heading 7 Char"/>
    <w:basedOn w:val="DefaultParagraphFont"/>
    <w:link w:val="Heading7"/>
    <w:uiPriority w:val="5"/>
    <w:locked/>
    <w:rsid w:val="0079048D"/>
    <w:rPr>
      <w:rFonts w:eastAsiaTheme="majorEastAsia" w:cs="Calibri"/>
      <w:b/>
      <w:bCs/>
      <w:i/>
      <w:lang w:val="x-none" w:eastAsia="en-GB"/>
    </w:rPr>
  </w:style>
  <w:style w:type="character" w:customStyle="1" w:styleId="Heading8Char">
    <w:name w:val="Heading 8 Char"/>
    <w:basedOn w:val="DefaultParagraphFont"/>
    <w:link w:val="Heading8"/>
    <w:uiPriority w:val="5"/>
    <w:locked/>
    <w:rsid w:val="00B8703D"/>
    <w:rPr>
      <w:rFonts w:asciiTheme="majorHAnsi" w:eastAsiaTheme="majorEastAsia" w:hAnsiTheme="majorHAnsi" w:cs="Times New Roman"/>
      <w:color w:val="1CADE4" w:themeColor="accent1"/>
      <w:sz w:val="20"/>
      <w:szCs w:val="20"/>
      <w:lang w:bidi="ar-SA"/>
    </w:rPr>
  </w:style>
  <w:style w:type="character" w:customStyle="1" w:styleId="Heading9Char">
    <w:name w:val="Heading 9 Char"/>
    <w:basedOn w:val="DefaultParagraphFont"/>
    <w:link w:val="Heading9"/>
    <w:uiPriority w:val="5"/>
    <w:locked/>
    <w:rsid w:val="00B8703D"/>
    <w:rPr>
      <w:rFonts w:asciiTheme="majorHAnsi" w:eastAsiaTheme="majorEastAsia" w:hAnsiTheme="majorHAnsi" w:cs="Times New Roman"/>
      <w:i/>
      <w:iCs/>
      <w:color w:val="404040" w:themeColor="text1" w:themeTint="BF"/>
      <w:sz w:val="20"/>
      <w:szCs w:val="20"/>
      <w:lang w:bidi="ar-SA"/>
    </w:rPr>
  </w:style>
  <w:style w:type="paragraph" w:customStyle="1" w:styleId="Para001">
    <w:name w:val="Para 001"/>
    <w:basedOn w:val="Normal"/>
    <w:rPr>
      <w:rFonts w:cs="Helvetica Neue"/>
    </w:rPr>
  </w:style>
  <w:style w:type="paragraph" w:customStyle="1" w:styleId="Para002">
    <w:name w:val="Para 002"/>
    <w:basedOn w:val="Normal"/>
    <w:rPr>
      <w:rFonts w:cs="Helvetica Neue"/>
    </w:rPr>
  </w:style>
  <w:style w:type="paragraph" w:customStyle="1" w:styleId="Para003">
    <w:name w:val="Para 003"/>
    <w:basedOn w:val="Normal"/>
    <w:pPr>
      <w:pBdr>
        <w:top w:val="none" w:sz="8" w:space="0" w:color="auto"/>
        <w:left w:val="none" w:sz="8" w:space="0" w:color="auto"/>
        <w:bottom w:val="none" w:sz="8" w:space="0" w:color="auto"/>
        <w:right w:val="none" w:sz="8" w:space="0" w:color="auto"/>
      </w:pBdr>
      <w:spacing w:beforeLines="100" w:after="109" w:line="411" w:lineRule="atLeast"/>
    </w:pPr>
  </w:style>
  <w:style w:type="paragraph" w:customStyle="1" w:styleId="Para004">
    <w:name w:val="Para 004"/>
    <w:basedOn w:val="Normal"/>
    <w:rPr>
      <w:b/>
      <w:bCs/>
    </w:rPr>
  </w:style>
  <w:style w:type="paragraph" w:customStyle="1" w:styleId="Para005">
    <w:name w:val="Para 005"/>
    <w:basedOn w:val="Normal"/>
    <w:rPr>
      <w:b/>
      <w:bCs/>
      <w:caps/>
      <w:sz w:val="18"/>
      <w:szCs w:val="18"/>
    </w:rPr>
  </w:style>
  <w:style w:type="paragraph" w:customStyle="1" w:styleId="Para006">
    <w:name w:val="Para 006"/>
    <w:basedOn w:val="Normal"/>
    <w:rPr>
      <w:b/>
      <w:bCs/>
    </w:rPr>
  </w:style>
  <w:style w:type="paragraph" w:customStyle="1" w:styleId="Para007">
    <w:name w:val="Para 007"/>
    <w:basedOn w:val="Normal"/>
    <w:rPr>
      <w:rFonts w:cs="Helvetica Neue"/>
    </w:rPr>
  </w:style>
  <w:style w:type="paragraph" w:customStyle="1" w:styleId="Para008">
    <w:name w:val="Para 008"/>
    <w:basedOn w:val="Normal"/>
    <w:rPr>
      <w:b/>
      <w:bCs/>
    </w:rPr>
  </w:style>
  <w:style w:type="paragraph" w:customStyle="1" w:styleId="Para009">
    <w:name w:val="Para 009"/>
    <w:basedOn w:val="Normal"/>
    <w:rPr>
      <w:rFonts w:cs="Helvetica Neue"/>
    </w:rPr>
  </w:style>
  <w:style w:type="paragraph" w:customStyle="1" w:styleId="Para010">
    <w:name w:val="Para 010"/>
    <w:basedOn w:val="Normal"/>
    <w:pPr>
      <w:numPr>
        <w:numId w:val="1"/>
      </w:numPr>
      <w:pBdr>
        <w:top w:val="none" w:sz="8" w:space="0" w:color="auto"/>
        <w:left w:val="none" w:sz="8" w:space="0" w:color="auto"/>
        <w:bottom w:val="none" w:sz="8" w:space="0" w:color="auto"/>
        <w:right w:val="none" w:sz="8" w:space="0" w:color="auto"/>
      </w:pBdr>
      <w:spacing w:after="109" w:line="411" w:lineRule="atLeast"/>
    </w:pPr>
  </w:style>
  <w:style w:type="paragraph" w:customStyle="1" w:styleId="Para011">
    <w:name w:val="Para 011"/>
    <w:basedOn w:val="Normal"/>
    <w:rPr>
      <w:bdr w:val="none" w:sz="0" w:space="2" w:color="auto"/>
    </w:rPr>
  </w:style>
  <w:style w:type="paragraph" w:customStyle="1" w:styleId="Para012">
    <w:name w:val="Para 012"/>
    <w:basedOn w:val="Normal"/>
    <w:rPr>
      <w:b/>
      <w:bCs/>
    </w:rPr>
  </w:style>
  <w:style w:type="paragraph" w:customStyle="1" w:styleId="Para013">
    <w:name w:val="Para 013"/>
    <w:basedOn w:val="Normal"/>
    <w:rPr>
      <w:b/>
      <w:bCs/>
      <w:caps/>
      <w:sz w:val="18"/>
      <w:szCs w:val="18"/>
    </w:rPr>
  </w:style>
  <w:style w:type="paragraph" w:customStyle="1" w:styleId="Para014">
    <w:name w:val="Para 014"/>
    <w:basedOn w:val="Normal"/>
    <w:pPr>
      <w:jc w:val="center"/>
    </w:pPr>
    <w:rPr>
      <w:b/>
      <w:bCs/>
      <w:caps/>
      <w:sz w:val="18"/>
      <w:szCs w:val="18"/>
    </w:rPr>
  </w:style>
  <w:style w:type="paragraph" w:customStyle="1" w:styleId="Para015">
    <w:name w:val="Para 015"/>
    <w:basedOn w:val="Normal"/>
    <w:pPr>
      <w:jc w:val="center"/>
    </w:pPr>
  </w:style>
  <w:style w:type="paragraph" w:customStyle="1" w:styleId="Para016">
    <w:name w:val="Para 016"/>
    <w:basedOn w:val="Normal"/>
    <w:rPr>
      <w:b/>
      <w:bCs/>
    </w:rPr>
  </w:style>
  <w:style w:type="paragraph" w:customStyle="1" w:styleId="Para017">
    <w:name w:val="Para 017"/>
    <w:basedOn w:val="Normal"/>
  </w:style>
  <w:style w:type="paragraph" w:customStyle="1" w:styleId="Para018">
    <w:name w:val="Para 018"/>
    <w:basedOn w:val="Normal"/>
    <w:rPr>
      <w:b/>
      <w:bCs/>
      <w:caps/>
      <w:sz w:val="18"/>
      <w:szCs w:val="18"/>
    </w:rPr>
  </w:style>
  <w:style w:type="paragraph" w:customStyle="1" w:styleId="Para019">
    <w:name w:val="Para 019"/>
    <w:basedOn w:val="Normal"/>
    <w:pPr>
      <w:jc w:val="center"/>
    </w:pPr>
    <w:rPr>
      <w:color w:val="000000"/>
    </w:rPr>
  </w:style>
  <w:style w:type="paragraph" w:customStyle="1" w:styleId="Para020">
    <w:name w:val="Para 020"/>
    <w:basedOn w:val="Normal"/>
    <w:pPr>
      <w:pBdr>
        <w:top w:val="none" w:sz="8" w:space="0" w:color="auto"/>
        <w:left w:val="none" w:sz="8" w:space="0" w:color="auto"/>
        <w:bottom w:val="none" w:sz="8" w:space="0" w:color="auto"/>
        <w:right w:val="none" w:sz="8" w:space="0" w:color="auto"/>
      </w:pBdr>
      <w:spacing w:beforeLines="100" w:after="109" w:line="411" w:lineRule="atLeast"/>
    </w:pPr>
    <w:rPr>
      <w:i/>
      <w:iCs/>
    </w:rPr>
  </w:style>
  <w:style w:type="paragraph" w:customStyle="1" w:styleId="Para022">
    <w:name w:val="Para 022"/>
    <w:basedOn w:val="Normal"/>
    <w:rPr>
      <w:rFonts w:cs="Helvetica Neue"/>
    </w:rPr>
  </w:style>
  <w:style w:type="paragraph" w:customStyle="1" w:styleId="Para023">
    <w:name w:val="Para 023"/>
    <w:basedOn w:val="Normal"/>
    <w:rPr>
      <w:rFonts w:cs="Helvetica Neue"/>
    </w:rPr>
  </w:style>
  <w:style w:type="paragraph" w:customStyle="1" w:styleId="Para024">
    <w:name w:val="Para 024"/>
    <w:basedOn w:val="Normal"/>
    <w:rPr>
      <w:b/>
      <w:bCs/>
    </w:rPr>
  </w:style>
  <w:style w:type="paragraph" w:customStyle="1" w:styleId="Para025">
    <w:name w:val="Para 025"/>
    <w:basedOn w:val="Normal"/>
    <w:rPr>
      <w:b/>
      <w:bCs/>
    </w:rPr>
  </w:style>
  <w:style w:type="paragraph" w:customStyle="1" w:styleId="Para026">
    <w:name w:val="Para 026"/>
    <w:basedOn w:val="Normal"/>
    <w:pPr>
      <w:pBdr>
        <w:top w:val="none" w:sz="8" w:space="0" w:color="auto"/>
        <w:left w:val="none" w:sz="8" w:space="0" w:color="auto"/>
        <w:bottom w:val="none" w:sz="8" w:space="0" w:color="auto"/>
        <w:right w:val="none" w:sz="8" w:space="0" w:color="auto"/>
      </w:pBdr>
      <w:spacing w:beforeLines="100" w:line="411" w:lineRule="atLeast"/>
    </w:pPr>
  </w:style>
  <w:style w:type="paragraph" w:customStyle="1" w:styleId="Para028">
    <w:name w:val="Para 028"/>
    <w:basedOn w:val="Normal"/>
    <w:rPr>
      <w:b/>
      <w:bCs/>
      <w:caps/>
      <w:sz w:val="18"/>
      <w:szCs w:val="18"/>
    </w:rPr>
  </w:style>
  <w:style w:type="paragraph" w:customStyle="1" w:styleId="Para029">
    <w:name w:val="Para 029"/>
    <w:basedOn w:val="Normal"/>
    <w:pPr>
      <w:pBdr>
        <w:top w:val="none" w:sz="8" w:space="0" w:color="auto"/>
        <w:left w:val="none" w:sz="8" w:space="0" w:color="auto"/>
        <w:bottom w:val="none" w:sz="8" w:space="0" w:color="auto"/>
        <w:right w:val="none" w:sz="8" w:space="0" w:color="auto"/>
      </w:pBdr>
      <w:spacing w:before="109"/>
    </w:pPr>
    <w:rPr>
      <w:b/>
      <w:bCs/>
    </w:rPr>
  </w:style>
  <w:style w:type="paragraph" w:customStyle="1" w:styleId="Para031">
    <w:name w:val="Para 031"/>
    <w:basedOn w:val="Normal"/>
    <w:pPr>
      <w:pBdr>
        <w:top w:val="none" w:sz="8" w:space="0" w:color="auto"/>
        <w:left w:val="none" w:sz="8" w:space="0" w:color="auto"/>
        <w:bottom w:val="none" w:sz="8" w:space="0" w:color="auto"/>
        <w:right w:val="none" w:sz="8" w:space="0" w:color="auto"/>
      </w:pBdr>
      <w:spacing w:beforeLines="100" w:after="109" w:line="411" w:lineRule="atLeast"/>
      <w:jc w:val="center"/>
    </w:pPr>
    <w:rPr>
      <w:b/>
      <w:bCs/>
    </w:rPr>
  </w:style>
  <w:style w:type="paragraph" w:customStyle="1" w:styleId="Para032">
    <w:name w:val="Para 032"/>
    <w:basedOn w:val="Normal"/>
    <w:rPr>
      <w:i/>
      <w:iCs/>
    </w:rPr>
  </w:style>
  <w:style w:type="paragraph" w:customStyle="1" w:styleId="Para033">
    <w:name w:val="Para 033"/>
    <w:basedOn w:val="Normal"/>
    <w:pPr>
      <w:jc w:val="center"/>
    </w:pPr>
    <w:rPr>
      <w:b/>
      <w:bCs/>
    </w:rPr>
  </w:style>
  <w:style w:type="paragraph" w:customStyle="1" w:styleId="Para034">
    <w:name w:val="Para 034"/>
    <w:basedOn w:val="Normal"/>
    <w:pPr>
      <w:pBdr>
        <w:top w:val="none" w:sz="8" w:space="0" w:color="auto"/>
        <w:left w:val="none" w:sz="8" w:space="0" w:color="auto"/>
        <w:bottom w:val="none" w:sz="8" w:space="0" w:color="auto"/>
        <w:right w:val="none" w:sz="8" w:space="0" w:color="auto"/>
      </w:pBdr>
      <w:spacing w:before="109" w:line="411" w:lineRule="atLeast"/>
    </w:pPr>
  </w:style>
  <w:style w:type="paragraph" w:customStyle="1" w:styleId="Para035">
    <w:name w:val="Para 035"/>
    <w:basedOn w:val="Normal"/>
    <w:pPr>
      <w:pBdr>
        <w:top w:val="none" w:sz="8" w:space="0" w:color="auto"/>
        <w:left w:val="none" w:sz="8" w:space="0" w:color="auto"/>
        <w:bottom w:val="none" w:sz="8" w:space="0" w:color="auto"/>
        <w:right w:val="none" w:sz="8" w:space="0" w:color="auto"/>
      </w:pBdr>
      <w:spacing w:beforeLines="100" w:after="109" w:line="411" w:lineRule="atLeast"/>
      <w:jc w:val="center"/>
    </w:pPr>
  </w:style>
  <w:style w:type="paragraph" w:customStyle="1" w:styleId="Para036">
    <w:name w:val="Para 036"/>
    <w:basedOn w:val="Normal"/>
    <w:pPr>
      <w:pBdr>
        <w:top w:val="none" w:sz="8" w:space="0" w:color="auto"/>
        <w:left w:val="none" w:sz="8" w:space="0" w:color="auto"/>
        <w:bottom w:val="none" w:sz="8" w:space="0" w:color="auto"/>
        <w:right w:val="none" w:sz="8" w:space="0" w:color="auto"/>
      </w:pBdr>
      <w:spacing w:beforeLines="100" w:after="109" w:line="408" w:lineRule="atLeast"/>
      <w:jc w:val="center"/>
    </w:pPr>
    <w:rPr>
      <w:b/>
      <w:bCs/>
      <w:sz w:val="34"/>
      <w:szCs w:val="34"/>
    </w:rPr>
  </w:style>
  <w:style w:type="paragraph" w:customStyle="1" w:styleId="Para038">
    <w:name w:val="Para 038"/>
    <w:basedOn w:val="Normal"/>
    <w:rPr>
      <w:b/>
      <w:bCs/>
      <w:i/>
      <w:iCs/>
    </w:rPr>
  </w:style>
  <w:style w:type="paragraph" w:customStyle="1" w:styleId="Para039">
    <w:name w:val="Para 039"/>
    <w:basedOn w:val="Normal"/>
    <w:rPr>
      <w:sz w:val="18"/>
      <w:szCs w:val="18"/>
    </w:rPr>
  </w:style>
  <w:style w:type="paragraph" w:customStyle="1" w:styleId="Para040">
    <w:name w:val="Para 040"/>
    <w:basedOn w:val="Normal"/>
    <w:pPr>
      <w:jc w:val="center"/>
    </w:pPr>
    <w:rPr>
      <w:b/>
      <w:bCs/>
      <w:caps/>
      <w:sz w:val="18"/>
      <w:szCs w:val="18"/>
    </w:rPr>
  </w:style>
  <w:style w:type="paragraph" w:customStyle="1" w:styleId="Para041">
    <w:name w:val="Para 041"/>
    <w:basedOn w:val="Normal"/>
    <w:pPr>
      <w:pBdr>
        <w:top w:val="none" w:sz="8" w:space="0" w:color="auto"/>
        <w:left w:val="none" w:sz="8" w:space="15" w:color="auto"/>
        <w:bottom w:val="none" w:sz="8" w:space="0" w:color="auto"/>
        <w:right w:val="none" w:sz="8" w:space="0" w:color="auto"/>
      </w:pBdr>
      <w:spacing w:beforeLines="100" w:after="109" w:line="215" w:lineRule="atLeast"/>
    </w:pPr>
    <w:rPr>
      <w:sz w:val="18"/>
      <w:szCs w:val="18"/>
    </w:rPr>
  </w:style>
  <w:style w:type="paragraph" w:customStyle="1" w:styleId="Para042">
    <w:name w:val="Para 042"/>
    <w:basedOn w:val="Normal"/>
    <w:pPr>
      <w:pBdr>
        <w:top w:val="none" w:sz="8" w:space="0" w:color="auto"/>
        <w:left w:val="none" w:sz="8" w:space="0" w:color="auto"/>
        <w:bottom w:val="none" w:sz="8" w:space="0" w:color="auto"/>
        <w:right w:val="none" w:sz="8" w:space="0" w:color="auto"/>
      </w:pBdr>
      <w:spacing w:beforeLines="100" w:after="109" w:line="411" w:lineRule="atLeast"/>
    </w:pPr>
    <w:rPr>
      <w:b/>
      <w:bCs/>
    </w:rPr>
  </w:style>
  <w:style w:type="paragraph" w:customStyle="1" w:styleId="Para043">
    <w:name w:val="Para 043"/>
    <w:basedOn w:val="Normal"/>
    <w:pPr>
      <w:jc w:val="center"/>
    </w:pPr>
    <w:rPr>
      <w:b/>
      <w:bCs/>
      <w:caps/>
      <w:color w:val="000000"/>
      <w:sz w:val="18"/>
      <w:szCs w:val="18"/>
    </w:rPr>
  </w:style>
  <w:style w:type="paragraph" w:customStyle="1" w:styleId="Para044">
    <w:name w:val="Para 044"/>
    <w:basedOn w:val="Normal"/>
    <w:pPr>
      <w:pBdr>
        <w:top w:val="none" w:sz="8" w:space="0" w:color="auto"/>
        <w:left w:val="none" w:sz="8" w:space="0" w:color="auto"/>
        <w:bottom w:val="none" w:sz="8" w:space="0" w:color="auto"/>
        <w:right w:val="none" w:sz="8" w:space="0" w:color="auto"/>
      </w:pBdr>
      <w:spacing w:beforeLines="100" w:after="113" w:line="411" w:lineRule="atLeast"/>
    </w:pPr>
  </w:style>
  <w:style w:type="paragraph" w:customStyle="1" w:styleId="Para045">
    <w:name w:val="Para 045"/>
    <w:basedOn w:val="Normal"/>
    <w:rPr>
      <w:b/>
      <w:bCs/>
    </w:rPr>
  </w:style>
  <w:style w:type="paragraph" w:customStyle="1" w:styleId="Para046">
    <w:name w:val="Para 046"/>
    <w:basedOn w:val="Normal"/>
    <w:pPr>
      <w:jc w:val="center"/>
    </w:pPr>
    <w:rPr>
      <w:rFonts w:cs="Helvetica Neue"/>
    </w:rPr>
  </w:style>
  <w:style w:type="paragraph" w:customStyle="1" w:styleId="Para047">
    <w:name w:val="Para 047"/>
    <w:basedOn w:val="Normal"/>
    <w:pPr>
      <w:pBdr>
        <w:top w:val="none" w:sz="8" w:space="0" w:color="auto"/>
        <w:left w:val="none" w:sz="8" w:space="0" w:color="auto"/>
        <w:bottom w:val="none" w:sz="8" w:space="0" w:color="auto"/>
        <w:right w:val="none" w:sz="8" w:space="17" w:color="auto"/>
      </w:pBdr>
    </w:pPr>
  </w:style>
  <w:style w:type="paragraph" w:customStyle="1" w:styleId="Para048">
    <w:name w:val="Para 048"/>
    <w:basedOn w:val="Normal"/>
    <w:pPr>
      <w:pBdr>
        <w:top w:val="none" w:sz="8" w:space="0" w:color="auto"/>
        <w:left w:val="none" w:sz="8" w:space="0" w:color="auto"/>
        <w:bottom w:val="none" w:sz="8" w:space="0" w:color="auto"/>
        <w:right w:val="none" w:sz="8" w:space="0" w:color="auto"/>
      </w:pBdr>
      <w:spacing w:beforeLines="167" w:afterLines="167"/>
    </w:pPr>
    <w:rPr>
      <w:b/>
      <w:bCs/>
    </w:rPr>
  </w:style>
  <w:style w:type="paragraph" w:customStyle="1" w:styleId="Para049">
    <w:name w:val="Para 049"/>
    <w:basedOn w:val="Normal"/>
    <w:rPr>
      <w:color w:val="000000"/>
    </w:rPr>
  </w:style>
  <w:style w:type="paragraph" w:customStyle="1" w:styleId="Para050">
    <w:name w:val="Para 050"/>
    <w:basedOn w:val="Normal"/>
    <w:pPr>
      <w:pBdr>
        <w:top w:val="none" w:sz="8" w:space="0" w:color="auto"/>
        <w:left w:val="none" w:sz="8" w:space="0" w:color="auto"/>
        <w:bottom w:val="dotted" w:sz="4" w:space="3" w:color="000000"/>
        <w:right w:val="none" w:sz="8" w:space="0" w:color="auto"/>
      </w:pBdr>
      <w:spacing w:beforeLines="100" w:line="411" w:lineRule="atLeast"/>
    </w:pPr>
    <w:rPr>
      <w:b/>
      <w:bCs/>
    </w:rPr>
  </w:style>
  <w:style w:type="paragraph" w:customStyle="1" w:styleId="Para051">
    <w:name w:val="Para 051"/>
    <w:basedOn w:val="Normal"/>
    <w:pPr>
      <w:pBdr>
        <w:top w:val="none" w:sz="8" w:space="0" w:color="auto"/>
        <w:left w:val="none" w:sz="8" w:space="0" w:color="auto"/>
        <w:bottom w:val="none" w:sz="8" w:space="4" w:color="auto"/>
        <w:right w:val="none" w:sz="8" w:space="0" w:color="auto"/>
      </w:pBdr>
      <w:spacing w:beforeLines="100" w:line="411" w:lineRule="atLeast"/>
    </w:pPr>
  </w:style>
  <w:style w:type="paragraph" w:customStyle="1" w:styleId="Para052">
    <w:name w:val="Para 052"/>
    <w:basedOn w:val="Normal"/>
    <w:pPr>
      <w:pBdr>
        <w:top w:val="none" w:sz="8" w:space="0" w:color="auto"/>
        <w:left w:val="none" w:sz="8" w:space="0" w:color="auto"/>
        <w:bottom w:val="none" w:sz="8" w:space="0" w:color="auto"/>
        <w:right w:val="none" w:sz="8" w:space="0" w:color="auto"/>
      </w:pBdr>
      <w:spacing w:after="109" w:line="308" w:lineRule="atLeast"/>
    </w:pPr>
    <w:rPr>
      <w:i/>
      <w:iCs/>
      <w:sz w:val="18"/>
      <w:szCs w:val="18"/>
    </w:rPr>
  </w:style>
  <w:style w:type="paragraph" w:customStyle="1" w:styleId="Para053">
    <w:name w:val="Para 053"/>
    <w:basedOn w:val="Normal"/>
    <w:pPr>
      <w:pBdr>
        <w:top w:val="none" w:sz="8" w:space="0" w:color="auto"/>
        <w:left w:val="none" w:sz="8" w:space="0" w:color="auto"/>
        <w:bottom w:val="none" w:sz="8" w:space="0" w:color="auto"/>
        <w:right w:val="none" w:sz="8" w:space="0" w:color="auto"/>
      </w:pBdr>
      <w:spacing w:beforeLines="100" w:after="109" w:line="215" w:lineRule="atLeast"/>
    </w:pPr>
    <w:rPr>
      <w:b/>
      <w:bCs/>
      <w:sz w:val="18"/>
      <w:szCs w:val="18"/>
    </w:rPr>
  </w:style>
  <w:style w:type="paragraph" w:customStyle="1" w:styleId="Para054">
    <w:name w:val="Para 054"/>
    <w:basedOn w:val="Normal"/>
    <w:pPr>
      <w:jc w:val="center"/>
    </w:pPr>
    <w:rPr>
      <w:b/>
      <w:bCs/>
      <w:caps/>
      <w:sz w:val="18"/>
      <w:szCs w:val="18"/>
    </w:rPr>
  </w:style>
  <w:style w:type="paragraph" w:customStyle="1" w:styleId="Para055">
    <w:name w:val="Para 055"/>
    <w:basedOn w:val="Normal"/>
    <w:pPr>
      <w:pBdr>
        <w:top w:val="none" w:sz="8" w:space="0" w:color="auto"/>
        <w:left w:val="none" w:sz="8" w:space="0" w:color="auto"/>
        <w:bottom w:val="none" w:sz="8" w:space="0" w:color="auto"/>
        <w:right w:val="none" w:sz="8" w:space="0" w:color="auto"/>
      </w:pBdr>
      <w:spacing w:beforeLines="170" w:afterLines="100" w:line="408" w:lineRule="atLeast"/>
      <w:ind w:left="414" w:hanging="218"/>
    </w:pPr>
    <w:rPr>
      <w:sz w:val="34"/>
      <w:szCs w:val="34"/>
    </w:rPr>
  </w:style>
  <w:style w:type="paragraph" w:customStyle="1" w:styleId="Para056">
    <w:name w:val="Para 056"/>
    <w:basedOn w:val="Normal"/>
    <w:pPr>
      <w:jc w:val="center"/>
    </w:pPr>
    <w:rPr>
      <w:b/>
      <w:bCs/>
      <w:color w:val="000000"/>
    </w:rPr>
  </w:style>
  <w:style w:type="paragraph" w:customStyle="1" w:styleId="Para057">
    <w:name w:val="Para 057"/>
    <w:basedOn w:val="Normal"/>
    <w:rPr>
      <w:color w:val="0000FF"/>
      <w:u w:val="single"/>
    </w:rPr>
  </w:style>
  <w:style w:type="paragraph" w:customStyle="1" w:styleId="Para058">
    <w:name w:val="Para 058"/>
    <w:basedOn w:val="Normal"/>
    <w:pPr>
      <w:pBdr>
        <w:top w:val="none" w:sz="8" w:space="0" w:color="auto"/>
        <w:left w:val="none" w:sz="8" w:space="0" w:color="auto"/>
        <w:bottom w:val="none" w:sz="8" w:space="0" w:color="auto"/>
        <w:right w:val="none" w:sz="8" w:space="0" w:color="auto"/>
      </w:pBdr>
      <w:spacing w:beforeLines="170" w:afterLines="100" w:line="408" w:lineRule="atLeast"/>
      <w:ind w:left="414" w:hanging="218"/>
    </w:pPr>
    <w:rPr>
      <w:b/>
      <w:bCs/>
      <w:sz w:val="34"/>
      <w:szCs w:val="34"/>
    </w:rPr>
  </w:style>
  <w:style w:type="paragraph" w:customStyle="1" w:styleId="Para059">
    <w:name w:val="Para 059"/>
    <w:basedOn w:val="Normal"/>
    <w:rPr>
      <w:i/>
      <w:iCs/>
    </w:rPr>
  </w:style>
  <w:style w:type="paragraph" w:customStyle="1" w:styleId="Para060">
    <w:name w:val="Para 060"/>
    <w:basedOn w:val="Normal"/>
    <w:rPr>
      <w:b/>
      <w:bCs/>
      <w:i/>
      <w:iCs/>
    </w:rPr>
  </w:style>
  <w:style w:type="paragraph" w:customStyle="1" w:styleId="Para061">
    <w:name w:val="Para 061"/>
    <w:basedOn w:val="Normal"/>
  </w:style>
  <w:style w:type="paragraph" w:customStyle="1" w:styleId="Para062">
    <w:name w:val="Para 062"/>
    <w:basedOn w:val="Normal"/>
    <w:pPr>
      <w:pBdr>
        <w:top w:val="none" w:sz="8" w:space="0" w:color="auto"/>
        <w:left w:val="none" w:sz="8" w:space="0" w:color="auto"/>
        <w:bottom w:val="none" w:sz="8" w:space="0" w:color="auto"/>
        <w:right w:val="none" w:sz="8" w:space="0" w:color="auto"/>
      </w:pBdr>
      <w:spacing w:beforeLines="200" w:after="109" w:line="411" w:lineRule="atLeast"/>
    </w:pPr>
    <w:rPr>
      <w:b/>
      <w:bCs/>
      <w:caps/>
    </w:rPr>
  </w:style>
  <w:style w:type="paragraph" w:customStyle="1" w:styleId="Para063">
    <w:name w:val="Para 063"/>
    <w:basedOn w:val="Normal"/>
    <w:rPr>
      <w:i/>
      <w:iCs/>
    </w:rPr>
  </w:style>
  <w:style w:type="paragraph" w:customStyle="1" w:styleId="Para064">
    <w:name w:val="Para 064"/>
    <w:basedOn w:val="Normal"/>
    <w:pPr>
      <w:pBdr>
        <w:top w:val="none" w:sz="8" w:space="0" w:color="auto"/>
        <w:left w:val="none" w:sz="8" w:space="17" w:color="auto"/>
        <w:bottom w:val="none" w:sz="8" w:space="0" w:color="auto"/>
        <w:right w:val="none" w:sz="8" w:space="17" w:color="auto"/>
      </w:pBdr>
      <w:spacing w:beforeLines="100" w:after="109" w:line="411" w:lineRule="atLeast"/>
    </w:pPr>
  </w:style>
  <w:style w:type="paragraph" w:customStyle="1" w:styleId="Para065">
    <w:name w:val="Para 065"/>
    <w:basedOn w:val="Normal"/>
    <w:pPr>
      <w:pBdr>
        <w:top w:val="none" w:sz="8" w:space="0" w:color="auto"/>
        <w:left w:val="none" w:sz="8" w:space="0" w:color="auto"/>
        <w:bottom w:val="none" w:sz="8" w:space="0" w:color="auto"/>
        <w:right w:val="none" w:sz="8" w:space="0" w:color="auto"/>
      </w:pBdr>
      <w:spacing w:before="453" w:after="170" w:line="408" w:lineRule="atLeast"/>
      <w:ind w:left="340" w:right="340"/>
      <w:jc w:val="center"/>
    </w:pPr>
    <w:rPr>
      <w:sz w:val="34"/>
      <w:szCs w:val="34"/>
    </w:rPr>
  </w:style>
  <w:style w:type="paragraph" w:customStyle="1" w:styleId="Para066">
    <w:name w:val="Para 066"/>
    <w:basedOn w:val="Normal"/>
    <w:pPr>
      <w:pBdr>
        <w:top w:val="none" w:sz="8" w:space="0" w:color="auto"/>
        <w:left w:val="none" w:sz="8" w:space="21" w:color="auto"/>
        <w:bottom w:val="none" w:sz="8" w:space="0" w:color="auto"/>
        <w:right w:val="none" w:sz="8" w:space="0" w:color="auto"/>
      </w:pBdr>
      <w:spacing w:beforeLines="100" w:after="109" w:line="411" w:lineRule="atLeast"/>
    </w:pPr>
  </w:style>
  <w:style w:type="paragraph" w:customStyle="1" w:styleId="Para067">
    <w:name w:val="Para 067"/>
    <w:basedOn w:val="Normal"/>
    <w:pPr>
      <w:pBdr>
        <w:top w:val="none" w:sz="8" w:space="0" w:color="auto"/>
        <w:left w:val="none" w:sz="8" w:space="0" w:color="auto"/>
        <w:bottom w:val="none" w:sz="8" w:space="0" w:color="auto"/>
        <w:right w:val="none" w:sz="8" w:space="0" w:color="auto"/>
      </w:pBdr>
      <w:spacing w:line="408" w:lineRule="atLeast"/>
    </w:pPr>
    <w:rPr>
      <w:b/>
      <w:bCs/>
      <w:sz w:val="34"/>
      <w:szCs w:val="34"/>
    </w:rPr>
  </w:style>
  <w:style w:type="paragraph" w:customStyle="1" w:styleId="Para068">
    <w:name w:val="Para 068"/>
    <w:basedOn w:val="Normal"/>
    <w:pPr>
      <w:pBdr>
        <w:top w:val="none" w:sz="8" w:space="0" w:color="auto"/>
        <w:left w:val="none" w:sz="8" w:space="0" w:color="auto"/>
        <w:bottom w:val="none" w:sz="8" w:space="0" w:color="auto"/>
        <w:right w:val="none" w:sz="8" w:space="0" w:color="auto"/>
      </w:pBdr>
      <w:spacing w:beforeLines="100" w:line="411" w:lineRule="atLeast"/>
    </w:pPr>
    <w:rPr>
      <w:b/>
      <w:bCs/>
    </w:rPr>
  </w:style>
  <w:style w:type="paragraph" w:customStyle="1" w:styleId="Para069">
    <w:name w:val="Para 069"/>
    <w:basedOn w:val="Normal"/>
    <w:pPr>
      <w:pBdr>
        <w:top w:val="none" w:sz="8" w:space="5" w:color="auto"/>
        <w:left w:val="none" w:sz="8" w:space="10" w:color="auto"/>
        <w:bottom w:val="none" w:sz="8" w:space="5" w:color="auto"/>
        <w:right w:val="none" w:sz="8" w:space="10" w:color="auto"/>
      </w:pBdr>
      <w:shd w:val="clear" w:color="auto" w:fill="E6E6E6"/>
    </w:pPr>
    <w:rPr>
      <w:sz w:val="34"/>
      <w:szCs w:val="34"/>
    </w:rPr>
  </w:style>
  <w:style w:type="paragraph" w:customStyle="1" w:styleId="Para070">
    <w:name w:val="Para 070"/>
    <w:basedOn w:val="Normal"/>
    <w:pPr>
      <w:pBdr>
        <w:top w:val="none" w:sz="8" w:space="0" w:color="auto"/>
        <w:left w:val="none" w:sz="8" w:space="0" w:color="auto"/>
        <w:bottom w:val="none" w:sz="8" w:space="0" w:color="auto"/>
        <w:right w:val="none" w:sz="8" w:space="0" w:color="auto"/>
      </w:pBdr>
      <w:spacing w:before="218" w:after="109" w:line="411" w:lineRule="atLeast"/>
    </w:pPr>
  </w:style>
  <w:style w:type="paragraph" w:customStyle="1" w:styleId="Para071">
    <w:name w:val="Para 071"/>
    <w:basedOn w:val="Normal"/>
  </w:style>
  <w:style w:type="paragraph" w:customStyle="1" w:styleId="Para072">
    <w:name w:val="Para 072"/>
    <w:basedOn w:val="Normal"/>
    <w:pPr>
      <w:pBdr>
        <w:top w:val="none" w:sz="8" w:space="0" w:color="auto"/>
        <w:left w:val="none" w:sz="8" w:space="0" w:color="auto"/>
        <w:bottom w:val="none" w:sz="8" w:space="0" w:color="auto"/>
        <w:right w:val="none" w:sz="8" w:space="0" w:color="auto"/>
      </w:pBdr>
      <w:spacing w:after="109" w:line="308" w:lineRule="atLeast"/>
    </w:pPr>
    <w:rPr>
      <w:sz w:val="18"/>
      <w:szCs w:val="18"/>
    </w:rPr>
  </w:style>
  <w:style w:type="paragraph" w:customStyle="1" w:styleId="Para073">
    <w:name w:val="Para 073"/>
    <w:basedOn w:val="Normal"/>
    <w:pPr>
      <w:pBdr>
        <w:top w:val="none" w:sz="8" w:space="0" w:color="auto"/>
        <w:left w:val="none" w:sz="8" w:space="0" w:color="auto"/>
        <w:bottom w:val="none" w:sz="8" w:space="0" w:color="auto"/>
        <w:right w:val="none" w:sz="8" w:space="0" w:color="auto"/>
      </w:pBdr>
      <w:spacing w:before="340" w:after="85"/>
    </w:pPr>
    <w:rPr>
      <w:rFonts w:ascii="GuardianTextEgyp" w:hAnsi="GuardianTextEgyp" w:cs="GuardianTextEgyp"/>
      <w:b/>
      <w:bCs/>
      <w:caps/>
    </w:rPr>
  </w:style>
  <w:style w:type="paragraph" w:customStyle="1" w:styleId="Para074">
    <w:name w:val="Para 074"/>
    <w:basedOn w:val="Normal"/>
    <w:pPr>
      <w:pBdr>
        <w:top w:val="none" w:sz="8" w:space="0" w:color="auto"/>
        <w:left w:val="none" w:sz="8" w:space="0" w:color="auto"/>
        <w:bottom w:val="none" w:sz="8" w:space="0" w:color="auto"/>
        <w:right w:val="none" w:sz="8" w:space="0" w:color="auto"/>
      </w:pBdr>
      <w:spacing w:before="109" w:afterLines="100" w:line="408" w:lineRule="atLeast"/>
    </w:pPr>
    <w:rPr>
      <w:sz w:val="34"/>
      <w:szCs w:val="34"/>
    </w:rPr>
  </w:style>
  <w:style w:type="paragraph" w:customStyle="1" w:styleId="Para075">
    <w:name w:val="Para 075"/>
    <w:basedOn w:val="Normal"/>
    <w:pPr>
      <w:pBdr>
        <w:top w:val="none" w:sz="8" w:space="0" w:color="auto"/>
        <w:left w:val="none" w:sz="8" w:space="15" w:color="auto"/>
        <w:bottom w:val="none" w:sz="8" w:space="0" w:color="auto"/>
        <w:right w:val="none" w:sz="8" w:space="0" w:color="auto"/>
      </w:pBdr>
      <w:spacing w:before="109" w:line="215" w:lineRule="atLeast"/>
    </w:pPr>
    <w:rPr>
      <w:sz w:val="18"/>
      <w:szCs w:val="18"/>
    </w:rPr>
  </w:style>
  <w:style w:type="paragraph" w:customStyle="1" w:styleId="Para076">
    <w:name w:val="Para 076"/>
    <w:basedOn w:val="Normal"/>
    <w:pPr>
      <w:pBdr>
        <w:top w:val="none" w:sz="8" w:space="0" w:color="auto"/>
        <w:left w:val="none" w:sz="8" w:space="0" w:color="auto"/>
        <w:bottom w:val="none" w:sz="8" w:space="0" w:color="auto"/>
        <w:right w:val="none" w:sz="8" w:space="0" w:color="auto"/>
      </w:pBdr>
      <w:spacing w:before="170" w:line="680" w:lineRule="atLeast"/>
      <w:jc w:val="center"/>
    </w:pPr>
    <w:rPr>
      <w:b/>
      <w:bCs/>
      <w:sz w:val="48"/>
      <w:szCs w:val="48"/>
    </w:rPr>
  </w:style>
  <w:style w:type="paragraph" w:customStyle="1" w:styleId="Para077">
    <w:name w:val="Para 077"/>
    <w:basedOn w:val="Normal"/>
    <w:pPr>
      <w:pBdr>
        <w:top w:val="none" w:sz="8" w:space="0" w:color="auto"/>
        <w:left w:val="none" w:sz="8" w:space="0" w:color="auto"/>
        <w:bottom w:val="none" w:sz="8" w:space="0" w:color="auto"/>
        <w:right w:val="none" w:sz="8" w:space="0" w:color="auto"/>
      </w:pBdr>
      <w:spacing w:beforeLines="100" w:after="113" w:line="411" w:lineRule="atLeast"/>
    </w:pPr>
    <w:rPr>
      <w:b/>
      <w:bCs/>
    </w:rPr>
  </w:style>
  <w:style w:type="paragraph" w:customStyle="1" w:styleId="Para079">
    <w:name w:val="Para 079"/>
    <w:basedOn w:val="Normal"/>
    <w:pPr>
      <w:pBdr>
        <w:top w:val="none" w:sz="8" w:space="0" w:color="auto"/>
        <w:left w:val="none" w:sz="8" w:space="0" w:color="auto"/>
        <w:bottom w:val="none" w:sz="8" w:space="0" w:color="auto"/>
        <w:right w:val="none" w:sz="8" w:space="0" w:color="auto"/>
      </w:pBdr>
      <w:spacing w:beforeLines="100" w:after="109" w:line="252" w:lineRule="atLeast"/>
      <w:jc w:val="center"/>
    </w:pPr>
    <w:rPr>
      <w:sz w:val="18"/>
      <w:szCs w:val="18"/>
    </w:rPr>
  </w:style>
  <w:style w:type="paragraph" w:customStyle="1" w:styleId="Para080">
    <w:name w:val="Para 080"/>
    <w:basedOn w:val="Normal"/>
    <w:pPr>
      <w:pBdr>
        <w:top w:val="none" w:sz="8" w:space="0" w:color="auto"/>
        <w:left w:val="none" w:sz="8" w:space="0" w:color="auto"/>
        <w:bottom w:val="none" w:sz="8" w:space="0" w:color="auto"/>
        <w:right w:val="none" w:sz="8" w:space="0" w:color="auto"/>
      </w:pBdr>
      <w:spacing w:beforeLines="100" w:after="109" w:line="270" w:lineRule="atLeast"/>
    </w:pPr>
    <w:rPr>
      <w:i/>
      <w:iCs/>
      <w:sz w:val="18"/>
      <w:szCs w:val="18"/>
    </w:rPr>
  </w:style>
  <w:style w:type="paragraph" w:customStyle="1" w:styleId="Para081">
    <w:name w:val="Para 081"/>
    <w:basedOn w:val="Normal"/>
    <w:pPr>
      <w:pBdr>
        <w:top w:val="none" w:sz="8" w:space="0" w:color="auto"/>
        <w:left w:val="none" w:sz="8" w:space="0" w:color="auto"/>
        <w:bottom w:val="none" w:sz="8" w:space="0" w:color="auto"/>
        <w:right w:val="none" w:sz="8" w:space="0" w:color="auto"/>
      </w:pBdr>
    </w:pPr>
  </w:style>
  <w:style w:type="paragraph" w:customStyle="1" w:styleId="Para082">
    <w:name w:val="Para 082"/>
    <w:basedOn w:val="Normal"/>
    <w:pPr>
      <w:pBdr>
        <w:top w:val="none" w:sz="8" w:space="0" w:color="auto"/>
        <w:left w:val="none" w:sz="8" w:space="0" w:color="auto"/>
        <w:bottom w:val="none" w:sz="8" w:space="0" w:color="auto"/>
        <w:right w:val="none" w:sz="8" w:space="0" w:color="auto"/>
      </w:pBdr>
      <w:spacing w:before="340" w:line="600" w:lineRule="atLeast"/>
      <w:jc w:val="center"/>
    </w:pPr>
    <w:rPr>
      <w:b/>
      <w:bCs/>
      <w:sz w:val="48"/>
      <w:szCs w:val="48"/>
    </w:rPr>
  </w:style>
  <w:style w:type="paragraph" w:customStyle="1" w:styleId="Para083">
    <w:name w:val="Para 083"/>
    <w:basedOn w:val="Normal"/>
    <w:rPr>
      <w:b/>
      <w:bCs/>
      <w:caps/>
      <w:sz w:val="18"/>
      <w:szCs w:val="18"/>
      <w:vertAlign w:val="subscript"/>
    </w:rPr>
  </w:style>
  <w:style w:type="paragraph" w:customStyle="1" w:styleId="Para084">
    <w:name w:val="Para 084"/>
    <w:basedOn w:val="Normal"/>
    <w:pPr>
      <w:pBdr>
        <w:top w:val="none" w:sz="8" w:space="0" w:color="auto"/>
        <w:left w:val="none" w:sz="8" w:space="0" w:color="auto"/>
        <w:bottom w:val="none" w:sz="8" w:space="0" w:color="auto"/>
        <w:right w:val="none" w:sz="8" w:space="0" w:color="auto"/>
      </w:pBdr>
      <w:spacing w:beforeLines="100" w:after="109" w:line="308" w:lineRule="atLeast"/>
    </w:pPr>
    <w:rPr>
      <w:sz w:val="18"/>
      <w:szCs w:val="18"/>
    </w:rPr>
  </w:style>
  <w:style w:type="paragraph" w:customStyle="1" w:styleId="Para085">
    <w:name w:val="Para 085"/>
    <w:basedOn w:val="Normal"/>
    <w:pPr>
      <w:pBdr>
        <w:top w:val="none" w:sz="8" w:space="0" w:color="auto"/>
        <w:left w:val="none" w:sz="8" w:space="0" w:color="auto"/>
        <w:bottom w:val="none" w:sz="8" w:space="2" w:color="auto"/>
        <w:right w:val="none" w:sz="8" w:space="0" w:color="auto"/>
      </w:pBdr>
    </w:pPr>
    <w:rPr>
      <w:sz w:val="18"/>
      <w:szCs w:val="18"/>
    </w:rPr>
  </w:style>
  <w:style w:type="paragraph" w:customStyle="1" w:styleId="Para086">
    <w:name w:val="Para 086"/>
    <w:basedOn w:val="Normal"/>
    <w:pPr>
      <w:pBdr>
        <w:top w:val="none" w:sz="8" w:space="0" w:color="auto"/>
        <w:left w:val="none" w:sz="8" w:space="0" w:color="auto"/>
        <w:bottom w:val="none" w:sz="8" w:space="0" w:color="auto"/>
        <w:right w:val="none" w:sz="8" w:space="0" w:color="auto"/>
      </w:pBdr>
      <w:spacing w:before="109" w:line="408" w:lineRule="atLeast"/>
    </w:pPr>
    <w:rPr>
      <w:sz w:val="34"/>
      <w:szCs w:val="34"/>
    </w:rPr>
  </w:style>
  <w:style w:type="paragraph" w:customStyle="1" w:styleId="Para087">
    <w:name w:val="Para 087"/>
    <w:basedOn w:val="Normal"/>
    <w:pPr>
      <w:pBdr>
        <w:top w:val="none" w:sz="8" w:space="0" w:color="auto"/>
        <w:left w:val="none" w:sz="8" w:space="0" w:color="auto"/>
        <w:bottom w:val="none" w:sz="8" w:space="0" w:color="auto"/>
        <w:right w:val="none" w:sz="8" w:space="0" w:color="auto"/>
      </w:pBdr>
    </w:pPr>
    <w:rPr>
      <w:color w:val="0000FF"/>
      <w:sz w:val="18"/>
      <w:szCs w:val="18"/>
      <w:u w:val="single"/>
    </w:rPr>
  </w:style>
  <w:style w:type="paragraph" w:customStyle="1" w:styleId="Para088">
    <w:name w:val="Para 088"/>
    <w:basedOn w:val="Normal"/>
    <w:pPr>
      <w:pBdr>
        <w:top w:val="none" w:sz="8" w:space="0" w:color="auto"/>
        <w:left w:val="none" w:sz="8" w:space="0" w:color="auto"/>
        <w:bottom w:val="none" w:sz="8" w:space="0" w:color="auto"/>
        <w:right w:val="none" w:sz="8" w:space="0" w:color="auto"/>
      </w:pBdr>
      <w:spacing w:after="109" w:line="411" w:lineRule="atLeast"/>
    </w:pPr>
    <w:rPr>
      <w:b/>
      <w:bCs/>
    </w:rPr>
  </w:style>
  <w:style w:type="paragraph" w:customStyle="1" w:styleId="Para089">
    <w:name w:val="Para 089"/>
    <w:basedOn w:val="Normal"/>
    <w:pPr>
      <w:jc w:val="center"/>
    </w:pPr>
    <w:rPr>
      <w:b/>
      <w:bCs/>
      <w:caps/>
      <w:sz w:val="18"/>
      <w:szCs w:val="18"/>
    </w:rPr>
  </w:style>
  <w:style w:type="paragraph" w:customStyle="1" w:styleId="Para090">
    <w:name w:val="Para 090"/>
    <w:basedOn w:val="Normal"/>
    <w:rPr>
      <w:bdr w:val="none" w:sz="0" w:space="2" w:color="auto"/>
    </w:rPr>
  </w:style>
  <w:style w:type="paragraph" w:customStyle="1" w:styleId="Para091">
    <w:name w:val="Para 091"/>
    <w:basedOn w:val="Normal"/>
    <w:pPr>
      <w:jc w:val="center"/>
    </w:pPr>
    <w:rPr>
      <w:b/>
      <w:bCs/>
    </w:rPr>
  </w:style>
  <w:style w:type="paragraph" w:customStyle="1" w:styleId="Para092">
    <w:name w:val="Para 092"/>
    <w:basedOn w:val="Normal"/>
    <w:pPr>
      <w:jc w:val="center"/>
    </w:pPr>
    <w:rPr>
      <w:rFonts w:cs="Helvetica Neue"/>
    </w:rPr>
  </w:style>
  <w:style w:type="paragraph" w:customStyle="1" w:styleId="Para093">
    <w:name w:val="Para 093"/>
    <w:basedOn w:val="Normal"/>
    <w:pPr>
      <w:jc w:val="center"/>
    </w:pPr>
    <w:rPr>
      <w:b/>
      <w:bCs/>
      <w:caps/>
      <w:sz w:val="18"/>
      <w:szCs w:val="18"/>
    </w:rPr>
  </w:style>
  <w:style w:type="paragraph" w:customStyle="1" w:styleId="Para094">
    <w:name w:val="Para 094"/>
    <w:basedOn w:val="Normal"/>
    <w:pPr>
      <w:jc w:val="center"/>
    </w:pPr>
    <w:rPr>
      <w:rFonts w:cs="Helvetica Neue"/>
    </w:rPr>
  </w:style>
  <w:style w:type="paragraph" w:customStyle="1" w:styleId="Para095">
    <w:name w:val="Para 095"/>
    <w:basedOn w:val="Normal"/>
    <w:rPr>
      <w:bdr w:val="none" w:sz="0" w:space="2" w:color="auto"/>
    </w:rPr>
  </w:style>
  <w:style w:type="paragraph" w:customStyle="1" w:styleId="Para096">
    <w:name w:val="Para 096"/>
    <w:basedOn w:val="Normal"/>
    <w:pPr>
      <w:jc w:val="center"/>
    </w:pPr>
    <w:rPr>
      <w:rFonts w:cs="Helvetica Neue"/>
    </w:rPr>
  </w:style>
  <w:style w:type="paragraph" w:customStyle="1" w:styleId="Para097">
    <w:name w:val="Para 097"/>
    <w:basedOn w:val="Normal"/>
    <w:pPr>
      <w:pBdr>
        <w:top w:val="none" w:sz="8" w:space="0" w:color="auto"/>
        <w:left w:val="none" w:sz="8" w:space="0" w:color="auto"/>
        <w:bottom w:val="none" w:sz="8" w:space="0" w:color="auto"/>
        <w:right w:val="none" w:sz="8" w:space="0" w:color="auto"/>
      </w:pBdr>
      <w:spacing w:beforeLines="200" w:afterLines="167"/>
    </w:pPr>
    <w:rPr>
      <w:b/>
      <w:bCs/>
      <w:caps/>
    </w:rPr>
  </w:style>
  <w:style w:type="paragraph" w:customStyle="1" w:styleId="Para098">
    <w:name w:val="Para 098"/>
    <w:basedOn w:val="Normal"/>
    <w:rPr>
      <w:sz w:val="18"/>
      <w:szCs w:val="18"/>
    </w:rPr>
  </w:style>
  <w:style w:type="paragraph" w:customStyle="1" w:styleId="Para099">
    <w:name w:val="Para 099"/>
    <w:basedOn w:val="Normal"/>
    <w:rPr>
      <w:b/>
      <w:bCs/>
      <w:i/>
      <w:iCs/>
    </w:rPr>
  </w:style>
  <w:style w:type="paragraph" w:customStyle="1" w:styleId="Para100">
    <w:name w:val="Para 100"/>
    <w:basedOn w:val="Normal"/>
    <w:pPr>
      <w:pBdr>
        <w:top w:val="none" w:sz="8" w:space="0" w:color="auto"/>
        <w:left w:val="none" w:sz="8" w:space="0" w:color="auto"/>
        <w:bottom w:val="none" w:sz="8" w:space="0" w:color="auto"/>
        <w:right w:val="none" w:sz="8" w:space="0" w:color="auto"/>
      </w:pBdr>
      <w:spacing w:after="109"/>
      <w:ind w:left="218"/>
    </w:pPr>
  </w:style>
  <w:style w:type="paragraph" w:customStyle="1" w:styleId="Para101">
    <w:name w:val="Para 101"/>
    <w:basedOn w:val="Normal"/>
    <w:pPr>
      <w:pBdr>
        <w:top w:val="none" w:sz="8" w:space="0" w:color="auto"/>
        <w:left w:val="none" w:sz="8" w:space="0" w:color="auto"/>
        <w:bottom w:val="none" w:sz="8" w:space="0" w:color="auto"/>
        <w:right w:val="none" w:sz="8" w:space="0" w:color="auto"/>
      </w:pBdr>
      <w:spacing w:before="109" w:line="308" w:lineRule="atLeast"/>
    </w:pPr>
    <w:rPr>
      <w:sz w:val="18"/>
      <w:szCs w:val="18"/>
    </w:rPr>
  </w:style>
  <w:style w:type="paragraph" w:customStyle="1" w:styleId="Para102">
    <w:name w:val="Para 102"/>
    <w:basedOn w:val="Normal"/>
    <w:rPr>
      <w:b/>
      <w:bCs/>
      <w:color w:val="000000"/>
    </w:rPr>
  </w:style>
  <w:style w:type="paragraph" w:customStyle="1" w:styleId="Para103">
    <w:name w:val="Para 103"/>
    <w:basedOn w:val="Normal"/>
    <w:rPr>
      <w:b/>
      <w:bCs/>
      <w:caps/>
      <w:color w:val="000000"/>
      <w:sz w:val="18"/>
      <w:szCs w:val="18"/>
    </w:rPr>
  </w:style>
  <w:style w:type="paragraph" w:customStyle="1" w:styleId="Para104">
    <w:name w:val="Para 104"/>
    <w:basedOn w:val="Normal"/>
  </w:style>
  <w:style w:type="paragraph" w:customStyle="1" w:styleId="Para105">
    <w:name w:val="Para 105"/>
    <w:basedOn w:val="Normal"/>
    <w:pPr>
      <w:pBdr>
        <w:top w:val="none" w:sz="8" w:space="0" w:color="auto"/>
        <w:left w:val="none" w:sz="8" w:space="0" w:color="auto"/>
        <w:bottom w:val="none" w:sz="8" w:space="0" w:color="auto"/>
        <w:right w:val="none" w:sz="8" w:space="0" w:color="auto"/>
      </w:pBdr>
      <w:spacing w:beforeLines="100" w:after="109" w:line="308" w:lineRule="atLeast"/>
      <w:ind w:left="218"/>
    </w:pPr>
    <w:rPr>
      <w:sz w:val="18"/>
      <w:szCs w:val="18"/>
    </w:rPr>
  </w:style>
  <w:style w:type="paragraph" w:customStyle="1" w:styleId="Para106">
    <w:name w:val="Para 106"/>
    <w:basedOn w:val="Normal"/>
    <w:pPr>
      <w:pBdr>
        <w:top w:val="none" w:sz="8" w:space="0" w:color="auto"/>
        <w:left w:val="none" w:sz="8" w:space="0" w:color="auto"/>
        <w:bottom w:val="none" w:sz="8" w:space="0" w:color="auto"/>
        <w:right w:val="none" w:sz="8" w:space="0" w:color="auto"/>
      </w:pBdr>
      <w:spacing w:before="170" w:line="720" w:lineRule="atLeast"/>
      <w:jc w:val="center"/>
    </w:pPr>
    <w:rPr>
      <w:b/>
      <w:bCs/>
      <w:sz w:val="48"/>
      <w:szCs w:val="48"/>
    </w:rPr>
  </w:style>
  <w:style w:type="paragraph" w:customStyle="1" w:styleId="Para107">
    <w:name w:val="Para 107"/>
    <w:basedOn w:val="Normal"/>
    <w:rPr>
      <w:b/>
      <w:bCs/>
      <w:sz w:val="18"/>
      <w:szCs w:val="18"/>
    </w:rPr>
  </w:style>
  <w:style w:type="paragraph" w:customStyle="1" w:styleId="Para108">
    <w:name w:val="Para 108"/>
    <w:basedOn w:val="Normal"/>
    <w:pPr>
      <w:pBdr>
        <w:top w:val="none" w:sz="8" w:space="0" w:color="auto"/>
        <w:left w:val="none" w:sz="8" w:space="0" w:color="auto"/>
        <w:bottom w:val="none" w:sz="8" w:space="0" w:color="auto"/>
        <w:right w:val="none" w:sz="8" w:space="0" w:color="auto"/>
      </w:pBdr>
      <w:spacing w:beforeLines="100" w:after="109" w:line="215" w:lineRule="atLeast"/>
      <w:jc w:val="center"/>
    </w:pPr>
    <w:rPr>
      <w:sz w:val="18"/>
      <w:szCs w:val="18"/>
    </w:rPr>
  </w:style>
  <w:style w:type="paragraph" w:customStyle="1" w:styleId="Para109">
    <w:name w:val="Para 109"/>
    <w:basedOn w:val="Normal"/>
    <w:pPr>
      <w:pBdr>
        <w:top w:val="none" w:sz="8" w:space="0" w:color="auto"/>
        <w:left w:val="none" w:sz="8" w:space="0" w:color="auto"/>
        <w:bottom w:val="none" w:sz="8" w:space="0" w:color="auto"/>
        <w:right w:val="none" w:sz="8" w:space="0" w:color="auto"/>
      </w:pBdr>
      <w:spacing w:before="109" w:afterLines="100" w:line="408" w:lineRule="atLeast"/>
    </w:pPr>
    <w:rPr>
      <w:b/>
      <w:bCs/>
      <w:sz w:val="34"/>
      <w:szCs w:val="34"/>
    </w:rPr>
  </w:style>
  <w:style w:type="paragraph" w:customStyle="1" w:styleId="Para110">
    <w:name w:val="Para 110"/>
    <w:basedOn w:val="Normal"/>
    <w:pPr>
      <w:pBdr>
        <w:top w:val="none" w:sz="8" w:space="0" w:color="auto"/>
        <w:left w:val="none" w:sz="8" w:space="0" w:color="auto"/>
        <w:bottom w:val="none" w:sz="8" w:space="0" w:color="auto"/>
        <w:right w:val="none" w:sz="8" w:space="0" w:color="auto"/>
      </w:pBdr>
      <w:spacing w:before="170" w:line="576" w:lineRule="atLeast"/>
      <w:jc w:val="center"/>
    </w:pPr>
    <w:rPr>
      <w:b/>
      <w:bCs/>
      <w:sz w:val="48"/>
      <w:szCs w:val="48"/>
    </w:rPr>
  </w:style>
  <w:style w:type="paragraph" w:customStyle="1" w:styleId="Para111">
    <w:name w:val="Para 111"/>
    <w:basedOn w:val="Normal"/>
    <w:pPr>
      <w:pBdr>
        <w:top w:val="none" w:sz="8" w:space="0" w:color="auto"/>
        <w:left w:val="none" w:sz="8" w:space="0" w:color="auto"/>
        <w:bottom w:val="none" w:sz="8" w:space="0" w:color="auto"/>
        <w:right w:val="none" w:sz="8" w:space="0" w:color="auto"/>
      </w:pBdr>
      <w:spacing w:beforeLines="100" w:after="109" w:line="411" w:lineRule="atLeast"/>
    </w:pPr>
  </w:style>
  <w:style w:type="paragraph" w:customStyle="1" w:styleId="Para112">
    <w:name w:val="Para 112"/>
    <w:basedOn w:val="Normal"/>
    <w:rPr>
      <w:caps/>
      <w:sz w:val="18"/>
      <w:szCs w:val="18"/>
    </w:rPr>
  </w:style>
  <w:style w:type="paragraph" w:customStyle="1" w:styleId="Para113">
    <w:name w:val="Para 113"/>
    <w:basedOn w:val="Normal"/>
    <w:pPr>
      <w:pBdr>
        <w:top w:val="none" w:sz="8" w:space="0" w:color="auto"/>
        <w:left w:val="none" w:sz="8" w:space="0" w:color="auto"/>
        <w:bottom w:val="none" w:sz="8" w:space="0" w:color="auto"/>
        <w:right w:val="none" w:sz="8" w:space="0" w:color="auto"/>
      </w:pBdr>
    </w:pPr>
    <w:rPr>
      <w:sz w:val="34"/>
      <w:szCs w:val="34"/>
    </w:rPr>
  </w:style>
  <w:style w:type="paragraph" w:customStyle="1" w:styleId="Para114">
    <w:name w:val="Para 114"/>
    <w:basedOn w:val="Normal"/>
    <w:pPr>
      <w:pBdr>
        <w:top w:val="none" w:sz="8" w:space="0" w:color="auto"/>
        <w:left w:val="none" w:sz="8" w:space="0" w:color="auto"/>
        <w:bottom w:val="none" w:sz="8" w:space="0" w:color="auto"/>
        <w:right w:val="none" w:sz="8" w:space="0" w:color="auto"/>
      </w:pBdr>
      <w:spacing w:beforeLines="100" w:after="109" w:line="308" w:lineRule="atLeast"/>
    </w:pPr>
    <w:rPr>
      <w:b/>
      <w:bCs/>
      <w:sz w:val="18"/>
      <w:szCs w:val="18"/>
    </w:rPr>
  </w:style>
  <w:style w:type="paragraph" w:customStyle="1" w:styleId="Para115">
    <w:name w:val="Para 115"/>
    <w:basedOn w:val="Normal"/>
    <w:pPr>
      <w:pBdr>
        <w:top w:val="none" w:sz="8" w:space="0" w:color="auto"/>
        <w:left w:val="none" w:sz="8" w:space="0" w:color="auto"/>
        <w:bottom w:val="none" w:sz="8" w:space="0" w:color="auto"/>
        <w:right w:val="none" w:sz="8" w:space="0" w:color="auto"/>
      </w:pBdr>
      <w:spacing w:before="109" w:line="215" w:lineRule="atLeast"/>
    </w:pPr>
    <w:rPr>
      <w:b/>
      <w:bCs/>
      <w:sz w:val="18"/>
      <w:szCs w:val="18"/>
    </w:rPr>
  </w:style>
  <w:style w:type="paragraph" w:customStyle="1" w:styleId="Para116">
    <w:name w:val="Para 116"/>
    <w:basedOn w:val="Normal"/>
    <w:rPr>
      <w:sz w:val="10"/>
      <w:szCs w:val="10"/>
    </w:rPr>
  </w:style>
  <w:style w:type="paragraph" w:customStyle="1" w:styleId="Para117">
    <w:name w:val="Para 117"/>
    <w:basedOn w:val="Normal"/>
    <w:rPr>
      <w:sz w:val="10"/>
      <w:szCs w:val="10"/>
    </w:rPr>
  </w:style>
  <w:style w:type="paragraph" w:customStyle="1" w:styleId="Para118">
    <w:name w:val="Para 118"/>
    <w:basedOn w:val="Normal"/>
    <w:rPr>
      <w:sz w:val="10"/>
      <w:szCs w:val="10"/>
    </w:rPr>
  </w:style>
  <w:style w:type="paragraph" w:customStyle="1" w:styleId="Para119">
    <w:name w:val="Para 119"/>
    <w:basedOn w:val="Normal"/>
    <w:rPr>
      <w:sz w:val="10"/>
      <w:szCs w:val="10"/>
    </w:rPr>
  </w:style>
  <w:style w:type="paragraph" w:customStyle="1" w:styleId="Para120">
    <w:name w:val="Para 120"/>
    <w:basedOn w:val="Normal"/>
    <w:pPr>
      <w:jc w:val="center"/>
    </w:pPr>
    <w:rPr>
      <w:b/>
      <w:bCs/>
    </w:rPr>
  </w:style>
  <w:style w:type="character" w:customStyle="1" w:styleId="00Text">
    <w:name w:val="00 Text"/>
    <w:rPr>
      <w:b/>
    </w:rPr>
  </w:style>
  <w:style w:type="character" w:customStyle="1" w:styleId="01Text">
    <w:name w:val="01 Text"/>
    <w:rPr>
      <w:i/>
    </w:rPr>
  </w:style>
  <w:style w:type="character" w:customStyle="1" w:styleId="02Text">
    <w:name w:val="02 Text"/>
    <w:rPr>
      <w:vertAlign w:val="superscript"/>
    </w:rPr>
  </w:style>
  <w:style w:type="character" w:customStyle="1" w:styleId="03Text">
    <w:name w:val="03 Text"/>
    <w:rPr>
      <w:vertAlign w:val="baseline"/>
    </w:rPr>
  </w:style>
  <w:style w:type="character" w:customStyle="1" w:styleId="04Text">
    <w:name w:val="04 Text"/>
    <w:rPr>
      <w:color w:val="0000FF"/>
      <w:u w:val="single"/>
    </w:rPr>
  </w:style>
  <w:style w:type="character" w:customStyle="1" w:styleId="05Text">
    <w:name w:val="05 Text"/>
    <w:rPr>
      <w:b/>
      <w:vertAlign w:val="baseline"/>
    </w:rPr>
  </w:style>
  <w:style w:type="character" w:customStyle="1" w:styleId="06Text">
    <w:name w:val="06 Text"/>
    <w:rPr>
      <w:color w:val="0000FF"/>
      <w:u w:val="single"/>
      <w:vertAlign w:val="baseline"/>
    </w:rPr>
  </w:style>
  <w:style w:type="character" w:customStyle="1" w:styleId="07Text">
    <w:name w:val="07 Text"/>
    <w:rPr>
      <w:sz w:val="18"/>
    </w:rPr>
  </w:style>
  <w:style w:type="character" w:customStyle="1" w:styleId="08Text">
    <w:name w:val="08 Text"/>
    <w:rPr>
      <w:i/>
      <w:vertAlign w:val="superscript"/>
    </w:rPr>
  </w:style>
  <w:style w:type="character" w:customStyle="1" w:styleId="09Text">
    <w:name w:val="09 Text"/>
    <w:rPr>
      <w:color w:val="0000FF"/>
      <w:sz w:val="18"/>
      <w:u w:val="single"/>
    </w:rPr>
  </w:style>
  <w:style w:type="character" w:customStyle="1" w:styleId="10Text">
    <w:name w:val="10 Text"/>
    <w:rPr>
      <w:sz w:val="18"/>
      <w:vertAlign w:val="baseline"/>
    </w:rPr>
  </w:style>
  <w:style w:type="character" w:customStyle="1" w:styleId="11Text">
    <w:name w:val="11 Text"/>
    <w:rPr>
      <w:sz w:val="24"/>
    </w:rPr>
  </w:style>
  <w:style w:type="character" w:customStyle="1" w:styleId="12Text">
    <w:name w:val="12 Text"/>
    <w:rPr>
      <w:i/>
      <w:vertAlign w:val="baseline"/>
    </w:rPr>
  </w:style>
  <w:style w:type="character" w:customStyle="1" w:styleId="13Text">
    <w:name w:val="13 Text"/>
    <w:rPr>
      <w:b/>
      <w:sz w:val="18"/>
    </w:rPr>
  </w:style>
  <w:style w:type="character" w:customStyle="1" w:styleId="14Text">
    <w:name w:val="14 Text"/>
    <w:rPr>
      <w:sz w:val="24"/>
      <w:vertAlign w:val="superscript"/>
    </w:rPr>
  </w:style>
  <w:style w:type="character" w:customStyle="1" w:styleId="15Text">
    <w:name w:val="15 Text"/>
    <w:rPr>
      <w:color w:val="0000FF"/>
      <w:sz w:val="23"/>
      <w:u w:val="single"/>
    </w:rPr>
  </w:style>
  <w:style w:type="character" w:customStyle="1" w:styleId="16Text">
    <w:name w:val="16 Text"/>
    <w:rPr>
      <w:bdr w:val="none" w:sz="0" w:space="2" w:color="auto"/>
      <w:shd w:val="clear" w:color="auto" w:fill="FFCC00"/>
      <w:vertAlign w:val="superscript"/>
    </w:rPr>
  </w:style>
  <w:style w:type="character" w:customStyle="1" w:styleId="17Text">
    <w:name w:val="17 Text"/>
    <w:rPr>
      <w:bdr w:val="none" w:sz="0" w:space="2" w:color="auto"/>
    </w:rPr>
  </w:style>
  <w:style w:type="paragraph" w:customStyle="1" w:styleId="0Block">
    <w:name w:val="0 Block"/>
    <w:pPr>
      <w:spacing w:line="288" w:lineRule="atLeast"/>
    </w:pPr>
  </w:style>
  <w:style w:type="paragraph" w:customStyle="1" w:styleId="1Block">
    <w:name w:val="1 Block"/>
    <w:basedOn w:val="0Block"/>
    <w:pPr>
      <w:jc w:val="center"/>
    </w:pPr>
  </w:style>
  <w:style w:type="paragraph" w:customStyle="1" w:styleId="2Block">
    <w:name w:val="2 Block"/>
    <w:basedOn w:val="0Block"/>
    <w:pPr>
      <w:spacing w:beforeLines="170" w:afterLines="83" w:line="408" w:lineRule="atLeast"/>
    </w:pPr>
  </w:style>
  <w:style w:type="paragraph" w:customStyle="1" w:styleId="3Block">
    <w:name w:val="3 Block"/>
    <w:basedOn w:val="0Block"/>
    <w:pPr>
      <w:spacing w:beforeLines="100" w:line="411" w:lineRule="atLeast"/>
    </w:pPr>
  </w:style>
  <w:style w:type="paragraph" w:customStyle="1" w:styleId="4Block">
    <w:name w:val="4 Block"/>
    <w:basedOn w:val="0Block"/>
    <w:pPr>
      <w:spacing w:beforeLines="100" w:after="109" w:line="411" w:lineRule="atLeast"/>
      <w:jc w:val="center"/>
    </w:pPr>
  </w:style>
  <w:style w:type="paragraph" w:customStyle="1" w:styleId="5Block">
    <w:name w:val="5 Block"/>
    <w:basedOn w:val="0Block"/>
  </w:style>
  <w:style w:type="paragraph" w:customStyle="1" w:styleId="6Block">
    <w:name w:val="6 Block"/>
    <w:basedOn w:val="0Block"/>
    <w:pPr>
      <w:spacing w:beforeLines="100" w:after="109" w:line="411" w:lineRule="atLeast"/>
    </w:pPr>
  </w:style>
  <w:style w:type="paragraph" w:customStyle="1" w:styleId="7Block">
    <w:name w:val="7 Block"/>
    <w:basedOn w:val="0Block"/>
    <w:pPr>
      <w:pBdr>
        <w:bottom w:val="none" w:sz="0" w:space="0" w:color="808080"/>
      </w:pBdr>
      <w:jc w:val="right"/>
    </w:pPr>
  </w:style>
  <w:style w:type="paragraph" w:styleId="TOCHeading">
    <w:name w:val="TOC Heading"/>
    <w:basedOn w:val="Heading1"/>
    <w:next w:val="Normal"/>
    <w:uiPriority w:val="39"/>
    <w:unhideWhenUsed/>
    <w:qFormat/>
    <w:rsid w:val="00B8703D"/>
    <w:pPr>
      <w:outlineLvl w:val="9"/>
    </w:pPr>
  </w:style>
  <w:style w:type="paragraph" w:styleId="TOC1">
    <w:name w:val="toc 1"/>
    <w:basedOn w:val="Normal"/>
    <w:next w:val="Normal"/>
    <w:autoRedefine/>
    <w:uiPriority w:val="39"/>
    <w:unhideWhenUsed/>
    <w:rsid w:val="00753560"/>
    <w:pPr>
      <w:tabs>
        <w:tab w:val="right" w:leader="dot" w:pos="9069"/>
        <w:tab w:val="right" w:pos="9639"/>
      </w:tabs>
      <w:spacing w:after="100"/>
    </w:pPr>
    <w:rPr>
      <w:rFonts w:cs="Calibri"/>
      <w:b/>
      <w:noProof/>
    </w:rPr>
  </w:style>
  <w:style w:type="paragraph" w:styleId="TOC2">
    <w:name w:val="toc 2"/>
    <w:basedOn w:val="Normal"/>
    <w:next w:val="Normal"/>
    <w:autoRedefine/>
    <w:uiPriority w:val="39"/>
    <w:unhideWhenUsed/>
    <w:rsid w:val="000A3C44"/>
    <w:pPr>
      <w:tabs>
        <w:tab w:val="right" w:pos="9639"/>
      </w:tabs>
      <w:spacing w:after="100"/>
      <w:ind w:left="240"/>
    </w:pPr>
  </w:style>
  <w:style w:type="paragraph" w:styleId="TOC3">
    <w:name w:val="toc 3"/>
    <w:basedOn w:val="Normal"/>
    <w:next w:val="Normal"/>
    <w:autoRedefine/>
    <w:uiPriority w:val="39"/>
    <w:unhideWhenUsed/>
    <w:rsid w:val="00753560"/>
    <w:pPr>
      <w:tabs>
        <w:tab w:val="right" w:pos="9639"/>
      </w:tabs>
      <w:spacing w:after="100"/>
      <w:ind w:left="480"/>
    </w:pPr>
    <w:rPr>
      <w:rFonts w:eastAsiaTheme="majorEastAsia" w:cs="Arial"/>
      <w:iCs/>
      <w:noProof/>
    </w:rPr>
  </w:style>
  <w:style w:type="paragraph" w:styleId="TOC4">
    <w:name w:val="toc 4"/>
    <w:basedOn w:val="Normal"/>
    <w:next w:val="Normal"/>
    <w:autoRedefine/>
    <w:uiPriority w:val="39"/>
    <w:unhideWhenUsed/>
    <w:rsid w:val="00DB310E"/>
    <w:pPr>
      <w:tabs>
        <w:tab w:val="right" w:leader="dot" w:pos="9639"/>
      </w:tabs>
      <w:spacing w:after="100" w:line="259" w:lineRule="auto"/>
      <w:ind w:left="660"/>
    </w:pPr>
    <w:rPr>
      <w:lang w:eastAsia="en-NZ"/>
    </w:rPr>
  </w:style>
  <w:style w:type="paragraph" w:styleId="TOC5">
    <w:name w:val="toc 5"/>
    <w:basedOn w:val="Normal"/>
    <w:next w:val="Normal"/>
    <w:autoRedefine/>
    <w:uiPriority w:val="39"/>
    <w:unhideWhenUsed/>
    <w:rsid w:val="00D11B5F"/>
    <w:pPr>
      <w:spacing w:after="100" w:line="259" w:lineRule="auto"/>
      <w:ind w:left="880"/>
    </w:pPr>
    <w:rPr>
      <w:lang w:eastAsia="en-NZ"/>
    </w:rPr>
  </w:style>
  <w:style w:type="paragraph" w:styleId="TOC6">
    <w:name w:val="toc 6"/>
    <w:basedOn w:val="Normal"/>
    <w:next w:val="Normal"/>
    <w:autoRedefine/>
    <w:uiPriority w:val="39"/>
    <w:unhideWhenUsed/>
    <w:rsid w:val="00D11B5F"/>
    <w:pPr>
      <w:spacing w:after="100" w:line="259" w:lineRule="auto"/>
      <w:ind w:left="1100"/>
    </w:pPr>
    <w:rPr>
      <w:lang w:eastAsia="en-NZ"/>
    </w:rPr>
  </w:style>
  <w:style w:type="paragraph" w:styleId="TOC7">
    <w:name w:val="toc 7"/>
    <w:basedOn w:val="Normal"/>
    <w:next w:val="Normal"/>
    <w:autoRedefine/>
    <w:uiPriority w:val="39"/>
    <w:unhideWhenUsed/>
    <w:rsid w:val="00D11B5F"/>
    <w:pPr>
      <w:spacing w:after="100" w:line="259" w:lineRule="auto"/>
      <w:ind w:left="1320"/>
    </w:pPr>
    <w:rPr>
      <w:lang w:eastAsia="en-NZ"/>
    </w:rPr>
  </w:style>
  <w:style w:type="paragraph" w:styleId="TOC8">
    <w:name w:val="toc 8"/>
    <w:basedOn w:val="Normal"/>
    <w:next w:val="Normal"/>
    <w:autoRedefine/>
    <w:uiPriority w:val="39"/>
    <w:unhideWhenUsed/>
    <w:rsid w:val="00D11B5F"/>
    <w:pPr>
      <w:spacing w:after="100" w:line="259" w:lineRule="auto"/>
      <w:ind w:left="1540"/>
    </w:pPr>
    <w:rPr>
      <w:lang w:eastAsia="en-NZ"/>
    </w:rPr>
  </w:style>
  <w:style w:type="paragraph" w:styleId="TOC9">
    <w:name w:val="toc 9"/>
    <w:basedOn w:val="Normal"/>
    <w:next w:val="Normal"/>
    <w:autoRedefine/>
    <w:uiPriority w:val="39"/>
    <w:unhideWhenUsed/>
    <w:rsid w:val="00D11B5F"/>
    <w:pPr>
      <w:spacing w:after="100" w:line="259" w:lineRule="auto"/>
      <w:ind w:left="1760"/>
    </w:pPr>
    <w:rPr>
      <w:lang w:eastAsia="en-NZ"/>
    </w:rPr>
  </w:style>
  <w:style w:type="character" w:styleId="Hyperlink">
    <w:name w:val="Hyperlink"/>
    <w:basedOn w:val="DefaultParagraphFont"/>
    <w:uiPriority w:val="99"/>
    <w:unhideWhenUsed/>
    <w:rsid w:val="00D11B5F"/>
    <w:rPr>
      <w:rFonts w:cs="Times New Roman"/>
      <w:color w:val="F49100" w:themeColor="hyperlink"/>
      <w:u w:val="single"/>
    </w:rPr>
  </w:style>
  <w:style w:type="paragraph" w:styleId="Header">
    <w:name w:val="header"/>
    <w:basedOn w:val="Normal"/>
    <w:link w:val="HeaderChar"/>
    <w:uiPriority w:val="99"/>
    <w:unhideWhenUsed/>
    <w:rsid w:val="00B55ACC"/>
    <w:pPr>
      <w:tabs>
        <w:tab w:val="center" w:pos="4513"/>
        <w:tab w:val="right" w:pos="9026"/>
      </w:tabs>
      <w:spacing w:line="240" w:lineRule="auto"/>
    </w:pPr>
  </w:style>
  <w:style w:type="character" w:customStyle="1" w:styleId="HeaderChar">
    <w:name w:val="Header Char"/>
    <w:basedOn w:val="DefaultParagraphFont"/>
    <w:link w:val="Header"/>
    <w:uiPriority w:val="99"/>
    <w:locked/>
    <w:rsid w:val="00B55ACC"/>
    <w:rPr>
      <w:rFonts w:ascii="Helvetica Neue" w:hAnsi="Helvetica Neue" w:cs="Times New Roman"/>
      <w:color w:val="333333"/>
      <w:sz w:val="24"/>
      <w:szCs w:val="24"/>
      <w:vertAlign w:val="superscript"/>
      <w:lang w:bidi="ar-SA"/>
    </w:rPr>
  </w:style>
  <w:style w:type="paragraph" w:styleId="Footer">
    <w:name w:val="footer"/>
    <w:basedOn w:val="Normal"/>
    <w:link w:val="FooterChar"/>
    <w:uiPriority w:val="99"/>
    <w:unhideWhenUsed/>
    <w:rsid w:val="00B55ACC"/>
    <w:pPr>
      <w:tabs>
        <w:tab w:val="center" w:pos="4513"/>
        <w:tab w:val="right" w:pos="9026"/>
      </w:tabs>
      <w:spacing w:line="240" w:lineRule="auto"/>
    </w:pPr>
  </w:style>
  <w:style w:type="character" w:customStyle="1" w:styleId="FooterChar">
    <w:name w:val="Footer Char"/>
    <w:basedOn w:val="DefaultParagraphFont"/>
    <w:link w:val="Footer"/>
    <w:uiPriority w:val="99"/>
    <w:locked/>
    <w:rsid w:val="00B55ACC"/>
    <w:rPr>
      <w:rFonts w:ascii="Helvetica Neue" w:hAnsi="Helvetica Neue" w:cs="Times New Roman"/>
      <w:color w:val="333333"/>
      <w:sz w:val="24"/>
      <w:szCs w:val="24"/>
      <w:vertAlign w:val="superscript"/>
      <w:lang w:bidi="ar-SA"/>
    </w:rPr>
  </w:style>
  <w:style w:type="paragraph" w:styleId="BalloonText">
    <w:name w:val="Balloon Text"/>
    <w:basedOn w:val="Normal"/>
    <w:link w:val="BalloonTextChar"/>
    <w:uiPriority w:val="99"/>
    <w:semiHidden/>
    <w:unhideWhenUsed/>
    <w:rsid w:val="0005241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52418"/>
    <w:rPr>
      <w:rFonts w:ascii="Tahoma" w:hAnsi="Tahoma" w:cs="Tahoma"/>
      <w:color w:val="333333"/>
      <w:sz w:val="16"/>
      <w:szCs w:val="16"/>
      <w:vertAlign w:val="superscript"/>
      <w:lang w:bidi="ar-SA"/>
    </w:rPr>
  </w:style>
  <w:style w:type="paragraph" w:styleId="Title">
    <w:name w:val="Title"/>
    <w:basedOn w:val="Normal"/>
    <w:next w:val="Normal"/>
    <w:link w:val="TitleChar"/>
    <w:uiPriority w:val="10"/>
    <w:qFormat/>
    <w:rsid w:val="0094016E"/>
    <w:pPr>
      <w:pBdr>
        <w:bottom w:val="single" w:sz="8" w:space="4" w:color="1CADE4" w:themeColor="accent1"/>
      </w:pBdr>
      <w:spacing w:after="300" w:line="240" w:lineRule="auto"/>
      <w:contextualSpacing/>
    </w:pPr>
    <w:rPr>
      <w:rFonts w:asciiTheme="majorHAnsi" w:eastAsiaTheme="majorEastAsia" w:hAnsiTheme="majorHAnsi"/>
      <w:color w:val="0F637A" w:themeColor="text2" w:themeShade="BF"/>
      <w:spacing w:val="5"/>
      <w:kern w:val="28"/>
      <w:sz w:val="80"/>
      <w:szCs w:val="80"/>
    </w:rPr>
  </w:style>
  <w:style w:type="character" w:customStyle="1" w:styleId="TitleChar">
    <w:name w:val="Title Char"/>
    <w:basedOn w:val="DefaultParagraphFont"/>
    <w:link w:val="Title"/>
    <w:uiPriority w:val="10"/>
    <w:locked/>
    <w:rsid w:val="0094016E"/>
    <w:rPr>
      <w:rFonts w:asciiTheme="majorHAnsi" w:eastAsiaTheme="majorEastAsia" w:hAnsiTheme="majorHAnsi" w:cs="Times New Roman"/>
      <w:color w:val="0F637A" w:themeColor="text2" w:themeShade="BF"/>
      <w:spacing w:val="5"/>
      <w:kern w:val="28"/>
      <w:sz w:val="80"/>
      <w:szCs w:val="80"/>
      <w:lang w:val="en-NZ" w:eastAsia="x-none" w:bidi="ar-SA"/>
    </w:rPr>
  </w:style>
  <w:style w:type="paragraph" w:styleId="Subtitle">
    <w:name w:val="Subtitle"/>
    <w:basedOn w:val="Normal"/>
    <w:next w:val="Normal"/>
    <w:link w:val="SubtitleChar"/>
    <w:uiPriority w:val="15"/>
    <w:qFormat/>
    <w:rsid w:val="00B8703D"/>
    <w:pPr>
      <w:numPr>
        <w:ilvl w:val="1"/>
      </w:numPr>
    </w:pPr>
    <w:rPr>
      <w:rFonts w:asciiTheme="majorHAnsi" w:eastAsiaTheme="majorEastAsia" w:hAnsiTheme="majorHAnsi"/>
      <w:i/>
      <w:iCs/>
      <w:color w:val="1CADE4" w:themeColor="accent1"/>
      <w:spacing w:val="15"/>
      <w:sz w:val="24"/>
      <w:szCs w:val="24"/>
    </w:rPr>
  </w:style>
  <w:style w:type="character" w:customStyle="1" w:styleId="SubtitleChar">
    <w:name w:val="Subtitle Char"/>
    <w:basedOn w:val="DefaultParagraphFont"/>
    <w:link w:val="Subtitle"/>
    <w:uiPriority w:val="15"/>
    <w:locked/>
    <w:rsid w:val="00B8703D"/>
    <w:rPr>
      <w:rFonts w:asciiTheme="majorHAnsi" w:eastAsiaTheme="majorEastAsia" w:hAnsiTheme="majorHAnsi" w:cs="Times New Roman"/>
      <w:i/>
      <w:iCs/>
      <w:color w:val="1CADE4" w:themeColor="accent1"/>
      <w:spacing w:val="15"/>
      <w:sz w:val="24"/>
      <w:szCs w:val="24"/>
      <w:lang w:bidi="ar-SA"/>
    </w:rPr>
  </w:style>
  <w:style w:type="character" w:styleId="Strong">
    <w:name w:val="Strong"/>
    <w:basedOn w:val="DefaultParagraphFont"/>
    <w:uiPriority w:val="22"/>
    <w:qFormat/>
    <w:rsid w:val="00556359"/>
    <w:rPr>
      <w:rFonts w:cs="Times New Roman"/>
      <w:b/>
      <w:bCs/>
      <w:sz w:val="28"/>
    </w:rPr>
  </w:style>
  <w:style w:type="character" w:styleId="Emphasis">
    <w:name w:val="Emphasis"/>
    <w:basedOn w:val="DefaultParagraphFont"/>
    <w:uiPriority w:val="20"/>
    <w:qFormat/>
    <w:rsid w:val="00B8703D"/>
    <w:rPr>
      <w:rFonts w:cs="Times New Roman"/>
      <w:i/>
      <w:iCs/>
    </w:rPr>
  </w:style>
  <w:style w:type="paragraph" w:styleId="NoSpacing">
    <w:name w:val="No Spacing"/>
    <w:link w:val="NoSpacingChar"/>
    <w:uiPriority w:val="1"/>
    <w:qFormat/>
    <w:rsid w:val="00B8703D"/>
    <w:pPr>
      <w:spacing w:after="0" w:line="240" w:lineRule="auto"/>
    </w:pPr>
  </w:style>
  <w:style w:type="paragraph" w:styleId="ListParagraph">
    <w:name w:val="List Paragraph"/>
    <w:basedOn w:val="Normal"/>
    <w:link w:val="ListParagraphChar"/>
    <w:uiPriority w:val="34"/>
    <w:qFormat/>
    <w:rsid w:val="00B8703D"/>
    <w:pPr>
      <w:ind w:left="720"/>
      <w:contextualSpacing/>
    </w:pPr>
  </w:style>
  <w:style w:type="paragraph" w:styleId="Quote">
    <w:name w:val="Quote"/>
    <w:basedOn w:val="Normal"/>
    <w:next w:val="Normal"/>
    <w:link w:val="QuoteChar"/>
    <w:uiPriority w:val="29"/>
    <w:qFormat/>
    <w:rsid w:val="00B8703D"/>
    <w:rPr>
      <w:i/>
      <w:iCs/>
      <w:color w:val="000000" w:themeColor="text1"/>
    </w:rPr>
  </w:style>
  <w:style w:type="character" w:customStyle="1" w:styleId="QuoteChar">
    <w:name w:val="Quote Char"/>
    <w:basedOn w:val="DefaultParagraphFont"/>
    <w:link w:val="Quote"/>
    <w:uiPriority w:val="29"/>
    <w:locked/>
    <w:rsid w:val="00B8703D"/>
    <w:rPr>
      <w:rFonts w:cs="Times New Roman"/>
      <w:i/>
      <w:iCs/>
      <w:color w:val="000000" w:themeColor="text1"/>
      <w:lang w:bidi="ar-SA"/>
    </w:rPr>
  </w:style>
  <w:style w:type="paragraph" w:styleId="IntenseQuote">
    <w:name w:val="Intense Quote"/>
    <w:basedOn w:val="Normal"/>
    <w:next w:val="Normal"/>
    <w:link w:val="IntenseQuoteChar"/>
    <w:uiPriority w:val="30"/>
    <w:qFormat/>
    <w:rsid w:val="00B8703D"/>
    <w:pPr>
      <w:pBdr>
        <w:bottom w:val="single" w:sz="4" w:space="4" w:color="1CADE4" w:themeColor="accent1"/>
      </w:pBdr>
      <w:spacing w:before="200" w:after="280"/>
      <w:ind w:left="936" w:right="936"/>
    </w:pPr>
    <w:rPr>
      <w:b/>
      <w:bCs/>
      <w:i/>
      <w:iCs/>
      <w:color w:val="1CADE4" w:themeColor="accent1"/>
    </w:rPr>
  </w:style>
  <w:style w:type="character" w:customStyle="1" w:styleId="IntenseQuoteChar">
    <w:name w:val="Intense Quote Char"/>
    <w:basedOn w:val="DefaultParagraphFont"/>
    <w:link w:val="IntenseQuote"/>
    <w:uiPriority w:val="30"/>
    <w:locked/>
    <w:rsid w:val="00B8703D"/>
    <w:rPr>
      <w:rFonts w:cs="Times New Roman"/>
      <w:b/>
      <w:bCs/>
      <w:i/>
      <w:iCs/>
      <w:color w:val="1CADE4" w:themeColor="accent1"/>
      <w:lang w:bidi="ar-SA"/>
    </w:rPr>
  </w:style>
  <w:style w:type="character" w:styleId="SubtleEmphasis">
    <w:name w:val="Subtle Emphasis"/>
    <w:basedOn w:val="DefaultParagraphFont"/>
    <w:uiPriority w:val="19"/>
    <w:qFormat/>
    <w:rsid w:val="00B8703D"/>
    <w:rPr>
      <w:rFonts w:cs="Times New Roman"/>
      <w:i/>
      <w:iCs/>
      <w:color w:val="808080" w:themeColor="text1" w:themeTint="7F"/>
    </w:rPr>
  </w:style>
  <w:style w:type="character" w:styleId="IntenseEmphasis">
    <w:name w:val="Intense Emphasis"/>
    <w:basedOn w:val="DefaultParagraphFont"/>
    <w:uiPriority w:val="21"/>
    <w:qFormat/>
    <w:rsid w:val="00B8703D"/>
    <w:rPr>
      <w:rFonts w:cs="Times New Roman"/>
      <w:b/>
      <w:bCs/>
      <w:i/>
      <w:iCs/>
      <w:color w:val="1CADE4" w:themeColor="accent1"/>
    </w:rPr>
  </w:style>
  <w:style w:type="character" w:styleId="SubtleReference">
    <w:name w:val="Subtle Reference"/>
    <w:basedOn w:val="DefaultParagraphFont"/>
    <w:uiPriority w:val="31"/>
    <w:qFormat/>
    <w:rsid w:val="00B8703D"/>
    <w:rPr>
      <w:rFonts w:cs="Times New Roman"/>
      <w:smallCaps/>
      <w:color w:val="2683C6" w:themeColor="accent2"/>
      <w:u w:val="single"/>
    </w:rPr>
  </w:style>
  <w:style w:type="character" w:styleId="IntenseReference">
    <w:name w:val="Intense Reference"/>
    <w:basedOn w:val="DefaultParagraphFont"/>
    <w:uiPriority w:val="32"/>
    <w:qFormat/>
    <w:rsid w:val="00B8703D"/>
    <w:rPr>
      <w:rFonts w:cs="Times New Roman"/>
      <w:b/>
      <w:bCs/>
      <w:smallCaps/>
      <w:color w:val="2683C6" w:themeColor="accent2"/>
      <w:spacing w:val="5"/>
      <w:u w:val="single"/>
    </w:rPr>
  </w:style>
  <w:style w:type="character" w:styleId="BookTitle">
    <w:name w:val="Book Title"/>
    <w:basedOn w:val="DefaultParagraphFont"/>
    <w:uiPriority w:val="33"/>
    <w:qFormat/>
    <w:rsid w:val="00B8703D"/>
    <w:rPr>
      <w:rFonts w:cs="Times New Roman"/>
      <w:b/>
      <w:bCs/>
      <w:smallCaps/>
      <w:spacing w:val="5"/>
    </w:rPr>
  </w:style>
  <w:style w:type="paragraph" w:styleId="Caption">
    <w:name w:val="caption"/>
    <w:basedOn w:val="Normal"/>
    <w:next w:val="Normal"/>
    <w:autoRedefine/>
    <w:uiPriority w:val="3"/>
    <w:unhideWhenUsed/>
    <w:qFormat/>
    <w:rsid w:val="004039F9"/>
    <w:pPr>
      <w:keepNext/>
      <w:spacing w:before="120" w:after="0" w:line="240" w:lineRule="auto"/>
    </w:pPr>
    <w:rPr>
      <w:rFonts w:cs="Calibri"/>
      <w:b/>
      <w:i/>
      <w:iCs/>
      <w:szCs w:val="18"/>
      <w:lang w:eastAsia="en-NZ"/>
    </w:rPr>
  </w:style>
  <w:style w:type="character" w:customStyle="1" w:styleId="NoSpacingChar">
    <w:name w:val="No Spacing Char"/>
    <w:basedOn w:val="DefaultParagraphFont"/>
    <w:link w:val="NoSpacing"/>
    <w:uiPriority w:val="1"/>
    <w:locked/>
    <w:rsid w:val="0052672E"/>
    <w:rPr>
      <w:rFonts w:cs="Times New Roman"/>
    </w:rPr>
  </w:style>
  <w:style w:type="paragraph" w:styleId="NormalWeb">
    <w:name w:val="Normal (Web)"/>
    <w:basedOn w:val="Normal"/>
    <w:uiPriority w:val="99"/>
    <w:unhideWhenUsed/>
    <w:rsid w:val="000C0E47"/>
    <w:pPr>
      <w:spacing w:before="100" w:beforeAutospacing="1" w:after="100" w:afterAutospacing="1" w:line="240" w:lineRule="auto"/>
    </w:pPr>
    <w:rPr>
      <w:rFonts w:ascii="Times New Roman" w:hAnsi="Times New Roman"/>
      <w:szCs w:val="24"/>
      <w:lang w:eastAsia="en-NZ"/>
    </w:rPr>
  </w:style>
  <w:style w:type="table" w:styleId="LightList">
    <w:name w:val="Light List"/>
    <w:basedOn w:val="TableNormal"/>
    <w:uiPriority w:val="61"/>
    <w:rsid w:val="0032160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pPr>
      <w:rPr>
        <w:rFonts w:cs="Times New Roman"/>
        <w:b/>
        <w:bCs/>
        <w:color w:val="FFFFFF" w:themeColor="background1"/>
      </w:rPr>
      <w:tblPr/>
      <w:tcPr>
        <w:shd w:val="clear" w:color="auto" w:fill="000000" w:themeFill="text1"/>
      </w:tcPr>
    </w:tblStylePr>
    <w:tblStylePr w:type="lastRow">
      <w:pPr>
        <w:spacing w:before="0" w:after="0"/>
      </w:pPr>
      <w:rPr>
        <w:rFonts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Index1">
    <w:name w:val="index 1"/>
    <w:basedOn w:val="Normal"/>
    <w:next w:val="Normal"/>
    <w:autoRedefine/>
    <w:uiPriority w:val="99"/>
    <w:unhideWhenUsed/>
    <w:rsid w:val="00F62BB4"/>
    <w:pPr>
      <w:spacing w:after="0"/>
      <w:ind w:left="220" w:hanging="220"/>
    </w:pPr>
    <w:rPr>
      <w:rFonts w:cs="Calibri"/>
      <w:sz w:val="18"/>
      <w:szCs w:val="18"/>
    </w:rPr>
  </w:style>
  <w:style w:type="table" w:styleId="MediumGrid3-Accent6">
    <w:name w:val="Medium Grid 3 Accent 6"/>
    <w:basedOn w:val="TableNormal"/>
    <w:uiPriority w:val="69"/>
    <w:rsid w:val="00321609"/>
    <w:pPr>
      <w:spacing w:after="0" w:line="240" w:lineRule="auto"/>
    </w:pPr>
    <w:tblPr>
      <w:tblStyleRowBandSize w:val="1"/>
      <w:tblStyleColBandSize w:val="1"/>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
    <w:tcPr>
      <w:shd w:val="clear" w:color="auto" w:fill="FFF2C9"/>
    </w:tcPr>
    <w:tblStylePr w:type="firstRow">
      <w:rPr>
        <w:rFonts w:cs="Times New Roman"/>
        <w:b/>
        <w:bCs/>
        <w:i w:val="0"/>
        <w:iCs w:val="0"/>
        <w:color w:val="FFFFFF" w:themeColor="background1"/>
      </w:rPr>
      <w:tblPr/>
      <w:tcPr>
        <w:shd w:val="clear" w:color="auto" w:fill="FFC000"/>
      </w:tcPr>
    </w:tblStylePr>
    <w:tblStylePr w:type="lastRow">
      <w:rPr>
        <w:rFonts w:cs="Times New Roman"/>
        <w:b/>
        <w:bCs/>
        <w:i w:val="0"/>
        <w:iCs w:val="0"/>
        <w:color w:val="FFFFFF" w:themeColor="background1"/>
      </w:rPr>
      <w:tblPr/>
      <w:tcPr>
        <w:shd w:val="clear" w:color="auto" w:fill="FFC000"/>
      </w:tcPr>
    </w:tblStylePr>
    <w:tblStylePr w:type="firstCol">
      <w:rPr>
        <w:rFonts w:cs="Times New Roman"/>
        <w:b/>
        <w:bCs/>
        <w:i w:val="0"/>
        <w:iCs w:val="0"/>
        <w:color w:val="FFFFFF" w:themeColor="background1"/>
      </w:rPr>
      <w:tblPr/>
      <w:tcPr>
        <w:shd w:val="clear" w:color="auto" w:fill="FFC000"/>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A39F" w:themeFill="accent6"/>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1CF" w:themeFill="accent6" w:themeFillTint="7F"/>
      </w:tcPr>
    </w:tblStylePr>
    <w:tblStylePr w:type="band1Horz">
      <w:rPr>
        <w:rFonts w:cs="Times New Roman"/>
      </w:rPr>
      <w:tblPr/>
      <w:tcPr>
        <w:shd w:val="clear" w:color="auto" w:fill="FFF2C9"/>
      </w:tcPr>
    </w:tblStylePr>
    <w:tblStylePr w:type="band2Horz">
      <w:rPr>
        <w:rFonts w:cs="Times New Roman"/>
      </w:rPr>
      <w:tblPr/>
      <w:tcPr>
        <w:shd w:val="clear" w:color="auto" w:fill="FFF2C9"/>
      </w:tcPr>
    </w:tblStylePr>
  </w:style>
  <w:style w:type="table" w:styleId="TableGrid">
    <w:name w:val="Table Grid"/>
    <w:basedOn w:val="TableNormal"/>
    <w:uiPriority w:val="39"/>
    <w:rsid w:val="003216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basedOn w:val="DefaultParagraphFont"/>
    <w:rsid w:val="007D22C2"/>
    <w:rPr>
      <w:rFonts w:cs="Times New Roman"/>
    </w:rPr>
  </w:style>
  <w:style w:type="character" w:customStyle="1" w:styleId="eop">
    <w:name w:val="eop"/>
    <w:basedOn w:val="DefaultParagraphFont"/>
    <w:rsid w:val="007D22C2"/>
    <w:rPr>
      <w:rFonts w:cs="Times New Roman"/>
    </w:rPr>
  </w:style>
  <w:style w:type="paragraph" w:customStyle="1" w:styleId="center">
    <w:name w:val="center"/>
    <w:basedOn w:val="Normal"/>
    <w:rsid w:val="007A7029"/>
    <w:pPr>
      <w:spacing w:before="100" w:beforeAutospacing="1" w:after="100" w:afterAutospacing="1" w:line="240" w:lineRule="auto"/>
    </w:pPr>
    <w:rPr>
      <w:rFonts w:ascii="Times New Roman" w:hAnsi="Times New Roman"/>
      <w:szCs w:val="24"/>
      <w:lang w:eastAsia="en-NZ"/>
    </w:rPr>
  </w:style>
  <w:style w:type="paragraph" w:customStyle="1" w:styleId="Caption1">
    <w:name w:val="Caption1"/>
    <w:basedOn w:val="Normal"/>
    <w:rsid w:val="007A7029"/>
    <w:pPr>
      <w:spacing w:before="100" w:beforeAutospacing="1" w:after="100" w:afterAutospacing="1" w:line="240" w:lineRule="auto"/>
    </w:pPr>
    <w:rPr>
      <w:rFonts w:ascii="Times New Roman" w:hAnsi="Times New Roman"/>
      <w:szCs w:val="24"/>
      <w:lang w:eastAsia="en-NZ"/>
    </w:rPr>
  </w:style>
  <w:style w:type="character" w:customStyle="1" w:styleId="MainBodyTextChar">
    <w:name w:val="Main Body Text Char"/>
    <w:basedOn w:val="DefaultParagraphFont"/>
    <w:link w:val="MainBodyText"/>
    <w:locked/>
    <w:rsid w:val="00525948"/>
    <w:rPr>
      <w:rFonts w:ascii="Arial" w:hAnsi="Arial" w:cs="Times New Roman"/>
      <w:color w:val="000000" w:themeColor="text1"/>
      <w:sz w:val="20"/>
      <w:szCs w:val="20"/>
      <w:lang w:val="x-none" w:eastAsia="en-NZ" w:bidi="ar-SA"/>
    </w:rPr>
  </w:style>
  <w:style w:type="paragraph" w:customStyle="1" w:styleId="MainBodyText">
    <w:name w:val="Main Body Text"/>
    <w:basedOn w:val="Normal"/>
    <w:link w:val="MainBodyTextChar"/>
    <w:rsid w:val="00525948"/>
    <w:pPr>
      <w:spacing w:before="120" w:after="120" w:line="300" w:lineRule="auto"/>
      <w:jc w:val="both"/>
    </w:pPr>
    <w:rPr>
      <w:color w:val="000000" w:themeColor="text1"/>
      <w:lang w:eastAsia="en-NZ"/>
    </w:rPr>
  </w:style>
  <w:style w:type="character" w:customStyle="1" w:styleId="SubheadingChar">
    <w:name w:val="Sub heading Char"/>
    <w:basedOn w:val="MainBodyTextChar"/>
    <w:link w:val="Subheading"/>
    <w:locked/>
    <w:rsid w:val="00525948"/>
    <w:rPr>
      <w:rFonts w:ascii="Arial" w:hAnsi="Arial" w:cs="Times New Roman"/>
      <w:b/>
      <w:color w:val="000000" w:themeColor="text1"/>
      <w:sz w:val="20"/>
      <w:szCs w:val="20"/>
      <w:lang w:val="x-none" w:eastAsia="en-NZ" w:bidi="ar-SA"/>
    </w:rPr>
  </w:style>
  <w:style w:type="paragraph" w:customStyle="1" w:styleId="Subheading">
    <w:name w:val="Sub heading"/>
    <w:basedOn w:val="MainBodyText"/>
    <w:link w:val="SubheadingChar"/>
    <w:rsid w:val="00525948"/>
    <w:rPr>
      <w:b/>
    </w:rPr>
  </w:style>
  <w:style w:type="paragraph" w:customStyle="1" w:styleId="Default">
    <w:name w:val="Default"/>
    <w:basedOn w:val="Normal"/>
    <w:rsid w:val="004324B3"/>
    <w:pPr>
      <w:autoSpaceDE w:val="0"/>
      <w:autoSpaceDN w:val="0"/>
      <w:spacing w:after="0" w:line="240" w:lineRule="auto"/>
    </w:pPr>
    <w:rPr>
      <w:rFonts w:cs="Arial"/>
      <w:color w:val="000000"/>
      <w:szCs w:val="24"/>
      <w:lang w:eastAsia="en-NZ"/>
    </w:rPr>
  </w:style>
  <w:style w:type="paragraph" w:styleId="BodyText">
    <w:name w:val="Body Text"/>
    <w:basedOn w:val="Normal"/>
    <w:link w:val="BodyTextChar"/>
    <w:uiPriority w:val="1"/>
    <w:qFormat/>
    <w:rsid w:val="00D27128"/>
    <w:pPr>
      <w:widowControl w:val="0"/>
      <w:spacing w:after="0" w:line="240" w:lineRule="auto"/>
      <w:ind w:left="233"/>
    </w:pPr>
    <w:rPr>
      <w:sz w:val="20"/>
      <w:lang w:val="en-US"/>
    </w:rPr>
  </w:style>
  <w:style w:type="character" w:customStyle="1" w:styleId="BodyTextChar">
    <w:name w:val="Body Text Char"/>
    <w:basedOn w:val="DefaultParagraphFont"/>
    <w:link w:val="BodyText"/>
    <w:uiPriority w:val="1"/>
    <w:locked/>
    <w:rsid w:val="00D27128"/>
    <w:rPr>
      <w:rFonts w:ascii="Arial" w:hAnsi="Arial" w:cs="Times New Roman"/>
      <w:sz w:val="20"/>
      <w:lang w:val="en-US" w:eastAsia="x-none"/>
    </w:rPr>
  </w:style>
  <w:style w:type="paragraph" w:styleId="CommentText">
    <w:name w:val="annotation text"/>
    <w:basedOn w:val="Normal"/>
    <w:link w:val="CommentTextChar"/>
    <w:uiPriority w:val="99"/>
    <w:unhideWhenUsed/>
    <w:rsid w:val="000B6C43"/>
    <w:pPr>
      <w:spacing w:line="240" w:lineRule="auto"/>
    </w:pPr>
    <w:rPr>
      <w:sz w:val="20"/>
    </w:rPr>
  </w:style>
  <w:style w:type="character" w:customStyle="1" w:styleId="CommentTextChar">
    <w:name w:val="Comment Text Char"/>
    <w:basedOn w:val="DefaultParagraphFont"/>
    <w:link w:val="CommentText"/>
    <w:uiPriority w:val="99"/>
    <w:locked/>
    <w:rsid w:val="000B6C43"/>
    <w:rPr>
      <w:rFonts w:eastAsia="Times New Roman" w:cs="Times New Roman"/>
      <w:sz w:val="20"/>
      <w:szCs w:val="20"/>
      <w:lang w:val="en-NZ" w:eastAsia="en-US" w:bidi="ar-SA"/>
    </w:rPr>
  </w:style>
  <w:style w:type="character" w:styleId="CommentReference">
    <w:name w:val="annotation reference"/>
    <w:basedOn w:val="DefaultParagraphFont"/>
    <w:uiPriority w:val="99"/>
    <w:semiHidden/>
    <w:unhideWhenUsed/>
    <w:rsid w:val="000B6C43"/>
    <w:rPr>
      <w:rFonts w:cs="Times New Roman"/>
      <w:sz w:val="16"/>
      <w:szCs w:val="16"/>
    </w:rPr>
  </w:style>
  <w:style w:type="character" w:styleId="FollowedHyperlink">
    <w:name w:val="FollowedHyperlink"/>
    <w:basedOn w:val="DefaultParagraphFont"/>
    <w:uiPriority w:val="99"/>
    <w:semiHidden/>
    <w:unhideWhenUsed/>
    <w:rsid w:val="00066652"/>
    <w:rPr>
      <w:rFonts w:cs="Times New Roman"/>
      <w:color w:val="800080"/>
      <w:u w:val="single"/>
    </w:rPr>
  </w:style>
  <w:style w:type="paragraph" w:customStyle="1" w:styleId="xl65">
    <w:name w:val="xl65"/>
    <w:basedOn w:val="Normal"/>
    <w:rsid w:val="00066652"/>
    <w:pPr>
      <w:spacing w:before="100" w:beforeAutospacing="1" w:after="100" w:afterAutospacing="1" w:line="240" w:lineRule="auto"/>
      <w:textAlignment w:val="top"/>
    </w:pPr>
    <w:rPr>
      <w:rFonts w:ascii="Times New Roman" w:hAnsi="Times New Roman"/>
      <w:szCs w:val="24"/>
      <w:lang w:eastAsia="en-NZ"/>
    </w:rPr>
  </w:style>
  <w:style w:type="paragraph" w:customStyle="1" w:styleId="xl66">
    <w:name w:val="xl66"/>
    <w:basedOn w:val="Normal"/>
    <w:rsid w:val="00066652"/>
    <w:pPr>
      <w:spacing w:before="100" w:beforeAutospacing="1" w:after="100" w:afterAutospacing="1" w:line="240" w:lineRule="auto"/>
      <w:jc w:val="right"/>
      <w:textAlignment w:val="top"/>
    </w:pPr>
    <w:rPr>
      <w:rFonts w:ascii="Times New Roman" w:hAnsi="Times New Roman"/>
      <w:szCs w:val="24"/>
      <w:lang w:eastAsia="en-NZ"/>
    </w:rPr>
  </w:style>
  <w:style w:type="paragraph" w:customStyle="1" w:styleId="xl67">
    <w:name w:val="xl67"/>
    <w:basedOn w:val="Normal"/>
    <w:rsid w:val="00066652"/>
    <w:pPr>
      <w:spacing w:before="100" w:beforeAutospacing="1" w:after="100" w:afterAutospacing="1" w:line="240" w:lineRule="auto"/>
      <w:textAlignment w:val="top"/>
    </w:pPr>
    <w:rPr>
      <w:rFonts w:ascii="Times New Roman" w:hAnsi="Times New Roman"/>
      <w:szCs w:val="24"/>
      <w:lang w:eastAsia="en-NZ"/>
    </w:rPr>
  </w:style>
  <w:style w:type="paragraph" w:customStyle="1" w:styleId="xl68">
    <w:name w:val="xl68"/>
    <w:basedOn w:val="Normal"/>
    <w:rsid w:val="00066652"/>
    <w:pPr>
      <w:pBdr>
        <w:top w:val="single" w:sz="8" w:space="0" w:color="008080"/>
        <w:right w:val="single" w:sz="8" w:space="0" w:color="008080"/>
      </w:pBdr>
      <w:spacing w:before="100" w:beforeAutospacing="1" w:after="100" w:afterAutospacing="1" w:line="240" w:lineRule="auto"/>
      <w:textAlignment w:val="top"/>
    </w:pPr>
    <w:rPr>
      <w:rFonts w:ascii="Times New Roman" w:hAnsi="Times New Roman"/>
      <w:b/>
      <w:bCs/>
      <w:color w:val="000000"/>
      <w:szCs w:val="24"/>
      <w:lang w:eastAsia="en-NZ"/>
    </w:rPr>
  </w:style>
  <w:style w:type="paragraph" w:customStyle="1" w:styleId="xl69">
    <w:name w:val="xl69"/>
    <w:basedOn w:val="Normal"/>
    <w:rsid w:val="00066652"/>
    <w:pPr>
      <w:pBdr>
        <w:top w:val="single" w:sz="8" w:space="0" w:color="008080"/>
      </w:pBdr>
      <w:spacing w:before="100" w:beforeAutospacing="1" w:after="100" w:afterAutospacing="1" w:line="240" w:lineRule="auto"/>
      <w:textAlignment w:val="top"/>
    </w:pPr>
    <w:rPr>
      <w:rFonts w:ascii="Times New Roman" w:hAnsi="Times New Roman"/>
      <w:b/>
      <w:bCs/>
      <w:color w:val="000000"/>
      <w:szCs w:val="24"/>
      <w:lang w:eastAsia="en-NZ"/>
    </w:rPr>
  </w:style>
  <w:style w:type="paragraph" w:customStyle="1" w:styleId="xl70">
    <w:name w:val="xl70"/>
    <w:basedOn w:val="Normal"/>
    <w:rsid w:val="00066652"/>
    <w:pPr>
      <w:spacing w:before="100" w:beforeAutospacing="1" w:after="100" w:afterAutospacing="1" w:line="240" w:lineRule="auto"/>
      <w:textAlignment w:val="top"/>
    </w:pPr>
    <w:rPr>
      <w:rFonts w:ascii="Times New Roman" w:hAnsi="Times New Roman"/>
      <w:b/>
      <w:bCs/>
      <w:color w:val="000000"/>
      <w:szCs w:val="24"/>
      <w:lang w:eastAsia="en-NZ"/>
    </w:rPr>
  </w:style>
  <w:style w:type="paragraph" w:customStyle="1" w:styleId="xl71">
    <w:name w:val="xl71"/>
    <w:basedOn w:val="Normal"/>
    <w:rsid w:val="00066652"/>
    <w:pPr>
      <w:pBdr>
        <w:bottom w:val="single" w:sz="8" w:space="0" w:color="008080"/>
        <w:right w:val="single" w:sz="8" w:space="0" w:color="008080"/>
      </w:pBdr>
      <w:spacing w:before="100" w:beforeAutospacing="1" w:after="100" w:afterAutospacing="1" w:line="240" w:lineRule="auto"/>
      <w:textAlignment w:val="top"/>
    </w:pPr>
    <w:rPr>
      <w:rFonts w:ascii="Times New Roman" w:hAnsi="Times New Roman"/>
      <w:b/>
      <w:bCs/>
      <w:color w:val="000000"/>
      <w:szCs w:val="24"/>
      <w:lang w:eastAsia="en-NZ"/>
    </w:rPr>
  </w:style>
  <w:style w:type="paragraph" w:customStyle="1" w:styleId="xl72">
    <w:name w:val="xl72"/>
    <w:basedOn w:val="Normal"/>
    <w:rsid w:val="00066652"/>
    <w:pPr>
      <w:pBdr>
        <w:bottom w:val="single" w:sz="8" w:space="0" w:color="008080"/>
      </w:pBdr>
      <w:spacing w:before="100" w:beforeAutospacing="1" w:after="100" w:afterAutospacing="1" w:line="240" w:lineRule="auto"/>
      <w:textAlignment w:val="top"/>
    </w:pPr>
    <w:rPr>
      <w:rFonts w:ascii="Times New Roman" w:hAnsi="Times New Roman"/>
      <w:b/>
      <w:bCs/>
      <w:color w:val="000000"/>
      <w:szCs w:val="24"/>
      <w:lang w:eastAsia="en-NZ"/>
    </w:rPr>
  </w:style>
  <w:style w:type="paragraph" w:customStyle="1" w:styleId="xl73">
    <w:name w:val="xl73"/>
    <w:basedOn w:val="Normal"/>
    <w:rsid w:val="00066652"/>
    <w:pPr>
      <w:pBdr>
        <w:top w:val="single" w:sz="8" w:space="0" w:color="008080"/>
      </w:pBdr>
      <w:shd w:val="clear" w:color="000000" w:fill="008080"/>
      <w:spacing w:before="100" w:beforeAutospacing="1" w:after="100" w:afterAutospacing="1" w:line="240" w:lineRule="auto"/>
      <w:textAlignment w:val="top"/>
    </w:pPr>
    <w:rPr>
      <w:rFonts w:ascii="Times New Roman" w:hAnsi="Times New Roman"/>
      <w:b/>
      <w:bCs/>
      <w:color w:val="FFFFFF"/>
      <w:szCs w:val="24"/>
      <w:lang w:eastAsia="en-NZ"/>
    </w:rPr>
  </w:style>
  <w:style w:type="paragraph" w:customStyle="1" w:styleId="xl74">
    <w:name w:val="xl74"/>
    <w:basedOn w:val="Normal"/>
    <w:rsid w:val="00066652"/>
    <w:pPr>
      <w:shd w:val="clear" w:color="000000" w:fill="008080"/>
      <w:spacing w:before="100" w:beforeAutospacing="1" w:after="100" w:afterAutospacing="1" w:line="240" w:lineRule="auto"/>
      <w:textAlignment w:val="top"/>
    </w:pPr>
    <w:rPr>
      <w:rFonts w:ascii="Times New Roman" w:hAnsi="Times New Roman"/>
      <w:b/>
      <w:bCs/>
      <w:color w:val="FFFFFF"/>
      <w:szCs w:val="24"/>
      <w:lang w:eastAsia="en-NZ"/>
    </w:rPr>
  </w:style>
  <w:style w:type="paragraph" w:customStyle="1" w:styleId="xl75">
    <w:name w:val="xl75"/>
    <w:basedOn w:val="Normal"/>
    <w:rsid w:val="00066652"/>
    <w:pPr>
      <w:pBdr>
        <w:bottom w:val="single" w:sz="8" w:space="0" w:color="008080"/>
      </w:pBdr>
      <w:spacing w:before="100" w:beforeAutospacing="1" w:after="100" w:afterAutospacing="1" w:line="240" w:lineRule="auto"/>
      <w:textAlignment w:val="top"/>
    </w:pPr>
    <w:rPr>
      <w:rFonts w:ascii="Times New Roman" w:hAnsi="Times New Roman"/>
      <w:color w:val="008080"/>
      <w:lang w:eastAsia="en-NZ"/>
    </w:rPr>
  </w:style>
  <w:style w:type="paragraph" w:customStyle="1" w:styleId="xl76">
    <w:name w:val="xl76"/>
    <w:basedOn w:val="Normal"/>
    <w:rsid w:val="00066652"/>
    <w:pPr>
      <w:spacing w:before="100" w:beforeAutospacing="1" w:after="100" w:afterAutospacing="1" w:line="240" w:lineRule="auto"/>
      <w:textAlignment w:val="top"/>
    </w:pPr>
    <w:rPr>
      <w:rFonts w:ascii="Times New Roman" w:hAnsi="Times New Roman"/>
      <w:color w:val="008080"/>
      <w:lang w:eastAsia="en-NZ"/>
    </w:rPr>
  </w:style>
  <w:style w:type="paragraph" w:customStyle="1" w:styleId="xl77">
    <w:name w:val="xl77"/>
    <w:basedOn w:val="Normal"/>
    <w:rsid w:val="00066652"/>
    <w:pPr>
      <w:pBdr>
        <w:bottom w:val="single" w:sz="8" w:space="0" w:color="008080"/>
        <w:right w:val="single" w:sz="8" w:space="0" w:color="008080"/>
      </w:pBdr>
      <w:spacing w:before="100" w:beforeAutospacing="1" w:after="100" w:afterAutospacing="1" w:line="240" w:lineRule="auto"/>
      <w:textAlignment w:val="top"/>
    </w:pPr>
    <w:rPr>
      <w:rFonts w:ascii="Times New Roman" w:hAnsi="Times New Roman"/>
      <w:color w:val="000000"/>
      <w:szCs w:val="24"/>
      <w:lang w:eastAsia="en-NZ"/>
    </w:rPr>
  </w:style>
  <w:style w:type="paragraph" w:customStyle="1" w:styleId="xl78">
    <w:name w:val="xl78"/>
    <w:basedOn w:val="Normal"/>
    <w:rsid w:val="00066652"/>
    <w:pPr>
      <w:spacing w:before="100" w:beforeAutospacing="1" w:after="100" w:afterAutospacing="1" w:line="240" w:lineRule="auto"/>
      <w:jc w:val="right"/>
      <w:textAlignment w:val="top"/>
    </w:pPr>
    <w:rPr>
      <w:rFonts w:ascii="Times New Roman" w:hAnsi="Times New Roman"/>
      <w:szCs w:val="24"/>
      <w:lang w:eastAsia="en-NZ"/>
    </w:rPr>
  </w:style>
  <w:style w:type="paragraph" w:customStyle="1" w:styleId="xl79">
    <w:name w:val="xl79"/>
    <w:basedOn w:val="Normal"/>
    <w:rsid w:val="00066652"/>
    <w:pPr>
      <w:pBdr>
        <w:bottom w:val="single" w:sz="8" w:space="0" w:color="008080"/>
      </w:pBdr>
      <w:shd w:val="clear" w:color="000000" w:fill="D9D9D9"/>
      <w:spacing w:before="100" w:beforeAutospacing="1" w:after="100" w:afterAutospacing="1" w:line="240" w:lineRule="auto"/>
      <w:jc w:val="right"/>
      <w:textAlignment w:val="top"/>
    </w:pPr>
    <w:rPr>
      <w:rFonts w:ascii="Times New Roman" w:hAnsi="Times New Roman"/>
      <w:color w:val="000000"/>
      <w:szCs w:val="24"/>
      <w:lang w:eastAsia="en-NZ"/>
    </w:rPr>
  </w:style>
  <w:style w:type="paragraph" w:customStyle="1" w:styleId="xl80">
    <w:name w:val="xl80"/>
    <w:basedOn w:val="Normal"/>
    <w:rsid w:val="00066652"/>
    <w:pPr>
      <w:spacing w:before="100" w:beforeAutospacing="1" w:after="100" w:afterAutospacing="1" w:line="240" w:lineRule="auto"/>
      <w:jc w:val="right"/>
      <w:textAlignment w:val="top"/>
    </w:pPr>
    <w:rPr>
      <w:rFonts w:ascii="Times New Roman" w:hAnsi="Times New Roman"/>
      <w:color w:val="000000"/>
      <w:szCs w:val="24"/>
      <w:lang w:eastAsia="en-NZ"/>
    </w:rPr>
  </w:style>
  <w:style w:type="paragraph" w:customStyle="1" w:styleId="xl81">
    <w:name w:val="xl81"/>
    <w:basedOn w:val="Normal"/>
    <w:rsid w:val="00066652"/>
    <w:pPr>
      <w:pBdr>
        <w:bottom w:val="single" w:sz="8" w:space="0" w:color="008080"/>
      </w:pBdr>
      <w:shd w:val="clear" w:color="000000" w:fill="D9D9D9"/>
      <w:spacing w:before="100" w:beforeAutospacing="1" w:after="100" w:afterAutospacing="1" w:line="240" w:lineRule="auto"/>
      <w:jc w:val="right"/>
      <w:textAlignment w:val="top"/>
    </w:pPr>
    <w:rPr>
      <w:rFonts w:ascii="Times New Roman" w:hAnsi="Times New Roman"/>
      <w:color w:val="000000"/>
      <w:szCs w:val="24"/>
      <w:lang w:eastAsia="en-NZ"/>
    </w:rPr>
  </w:style>
  <w:style w:type="paragraph" w:customStyle="1" w:styleId="xl82">
    <w:name w:val="xl82"/>
    <w:basedOn w:val="Normal"/>
    <w:rsid w:val="00066652"/>
    <w:pPr>
      <w:pBdr>
        <w:top w:val="single" w:sz="8" w:space="0" w:color="008080"/>
        <w:bottom w:val="single" w:sz="8" w:space="0" w:color="008080"/>
      </w:pBdr>
      <w:spacing w:before="100" w:beforeAutospacing="1" w:after="100" w:afterAutospacing="1" w:line="240" w:lineRule="auto"/>
      <w:textAlignment w:val="top"/>
    </w:pPr>
    <w:rPr>
      <w:rFonts w:ascii="Times New Roman" w:hAnsi="Times New Roman"/>
      <w:color w:val="008080"/>
      <w:lang w:eastAsia="en-NZ"/>
    </w:rPr>
  </w:style>
  <w:style w:type="paragraph" w:customStyle="1" w:styleId="xl83">
    <w:name w:val="xl83"/>
    <w:basedOn w:val="Normal"/>
    <w:rsid w:val="00066652"/>
    <w:pPr>
      <w:spacing w:before="100" w:beforeAutospacing="1" w:after="100" w:afterAutospacing="1" w:line="240" w:lineRule="auto"/>
      <w:jc w:val="right"/>
      <w:textAlignment w:val="top"/>
    </w:pPr>
    <w:rPr>
      <w:rFonts w:ascii="Times New Roman" w:hAnsi="Times New Roman"/>
      <w:szCs w:val="24"/>
      <w:lang w:eastAsia="en-NZ"/>
    </w:rPr>
  </w:style>
  <w:style w:type="paragraph" w:customStyle="1" w:styleId="xl84">
    <w:name w:val="xl84"/>
    <w:basedOn w:val="Normal"/>
    <w:rsid w:val="00066652"/>
    <w:pPr>
      <w:spacing w:before="100" w:beforeAutospacing="1" w:after="100" w:afterAutospacing="1" w:line="240" w:lineRule="auto"/>
      <w:jc w:val="right"/>
      <w:textAlignment w:val="top"/>
    </w:pPr>
    <w:rPr>
      <w:rFonts w:ascii="Times New Roman" w:hAnsi="Times New Roman"/>
      <w:color w:val="FF0000"/>
      <w:szCs w:val="24"/>
      <w:lang w:eastAsia="en-NZ"/>
    </w:rPr>
  </w:style>
  <w:style w:type="paragraph" w:customStyle="1" w:styleId="xl85">
    <w:name w:val="xl85"/>
    <w:basedOn w:val="Normal"/>
    <w:rsid w:val="00066652"/>
    <w:pPr>
      <w:spacing w:before="100" w:beforeAutospacing="1" w:after="100" w:afterAutospacing="1" w:line="240" w:lineRule="auto"/>
      <w:jc w:val="right"/>
      <w:textAlignment w:val="top"/>
    </w:pPr>
    <w:rPr>
      <w:rFonts w:ascii="Times New Roman" w:hAnsi="Times New Roman"/>
      <w:szCs w:val="24"/>
      <w:lang w:eastAsia="en-NZ"/>
    </w:rPr>
  </w:style>
  <w:style w:type="paragraph" w:customStyle="1" w:styleId="xl86">
    <w:name w:val="xl86"/>
    <w:basedOn w:val="Normal"/>
    <w:rsid w:val="00066652"/>
    <w:pPr>
      <w:pBdr>
        <w:bottom w:val="single" w:sz="8" w:space="0" w:color="008080"/>
      </w:pBdr>
      <w:shd w:val="clear" w:color="000000" w:fill="D9D9D9"/>
      <w:spacing w:before="100" w:beforeAutospacing="1" w:after="100" w:afterAutospacing="1" w:line="240" w:lineRule="auto"/>
      <w:jc w:val="right"/>
      <w:textAlignment w:val="top"/>
    </w:pPr>
    <w:rPr>
      <w:rFonts w:ascii="Times New Roman" w:hAnsi="Times New Roman"/>
      <w:color w:val="000000"/>
      <w:szCs w:val="24"/>
      <w:lang w:eastAsia="en-NZ"/>
    </w:rPr>
  </w:style>
  <w:style w:type="paragraph" w:customStyle="1" w:styleId="xl87">
    <w:name w:val="xl87"/>
    <w:basedOn w:val="Normal"/>
    <w:rsid w:val="00066652"/>
    <w:pPr>
      <w:shd w:val="clear" w:color="000000" w:fill="FFFF00"/>
      <w:spacing w:before="100" w:beforeAutospacing="1" w:after="100" w:afterAutospacing="1" w:line="240" w:lineRule="auto"/>
      <w:jc w:val="right"/>
      <w:textAlignment w:val="top"/>
    </w:pPr>
    <w:rPr>
      <w:rFonts w:ascii="Times New Roman" w:hAnsi="Times New Roman"/>
      <w:szCs w:val="24"/>
      <w:lang w:eastAsia="en-NZ"/>
    </w:rPr>
  </w:style>
  <w:style w:type="paragraph" w:customStyle="1" w:styleId="xl88">
    <w:name w:val="xl88"/>
    <w:basedOn w:val="Normal"/>
    <w:rsid w:val="00066652"/>
    <w:pPr>
      <w:pBdr>
        <w:bottom w:val="single" w:sz="8" w:space="0" w:color="008080"/>
      </w:pBdr>
      <w:shd w:val="clear" w:color="000000" w:fill="D9D9D9"/>
      <w:spacing w:before="100" w:beforeAutospacing="1" w:after="100" w:afterAutospacing="1" w:line="240" w:lineRule="auto"/>
      <w:jc w:val="right"/>
      <w:textAlignment w:val="top"/>
    </w:pPr>
    <w:rPr>
      <w:rFonts w:ascii="Times New Roman" w:hAnsi="Times New Roman"/>
      <w:color w:val="000000"/>
      <w:szCs w:val="24"/>
      <w:lang w:eastAsia="en-NZ"/>
    </w:rPr>
  </w:style>
  <w:style w:type="paragraph" w:customStyle="1" w:styleId="xl89">
    <w:name w:val="xl89"/>
    <w:basedOn w:val="Normal"/>
    <w:rsid w:val="00066652"/>
    <w:pPr>
      <w:spacing w:before="100" w:beforeAutospacing="1" w:after="100" w:afterAutospacing="1" w:line="240" w:lineRule="auto"/>
      <w:jc w:val="right"/>
      <w:textAlignment w:val="top"/>
    </w:pPr>
    <w:rPr>
      <w:rFonts w:ascii="Times New Roman" w:hAnsi="Times New Roman"/>
      <w:szCs w:val="24"/>
      <w:lang w:eastAsia="en-NZ"/>
    </w:rPr>
  </w:style>
  <w:style w:type="paragraph" w:customStyle="1" w:styleId="xl90">
    <w:name w:val="xl90"/>
    <w:basedOn w:val="Normal"/>
    <w:rsid w:val="00066652"/>
    <w:pPr>
      <w:shd w:val="clear" w:color="000000" w:fill="FFFF00"/>
      <w:spacing w:before="100" w:beforeAutospacing="1" w:after="100" w:afterAutospacing="1" w:line="240" w:lineRule="auto"/>
      <w:jc w:val="right"/>
      <w:textAlignment w:val="top"/>
    </w:pPr>
    <w:rPr>
      <w:rFonts w:ascii="Times New Roman" w:hAnsi="Times New Roman"/>
      <w:szCs w:val="24"/>
      <w:lang w:eastAsia="en-NZ"/>
    </w:rPr>
  </w:style>
  <w:style w:type="paragraph" w:customStyle="1" w:styleId="xl91">
    <w:name w:val="xl91"/>
    <w:basedOn w:val="Normal"/>
    <w:rsid w:val="00066652"/>
    <w:pPr>
      <w:shd w:val="clear" w:color="000000" w:fill="FFFF00"/>
      <w:spacing w:before="100" w:beforeAutospacing="1" w:after="100" w:afterAutospacing="1" w:line="240" w:lineRule="auto"/>
      <w:textAlignment w:val="top"/>
    </w:pPr>
    <w:rPr>
      <w:rFonts w:ascii="Times New Roman" w:hAnsi="Times New Roman"/>
      <w:szCs w:val="24"/>
      <w:lang w:eastAsia="en-NZ"/>
    </w:rPr>
  </w:style>
  <w:style w:type="paragraph" w:customStyle="1" w:styleId="xl92">
    <w:name w:val="xl92"/>
    <w:basedOn w:val="Normal"/>
    <w:rsid w:val="00066652"/>
    <w:pPr>
      <w:spacing w:before="100" w:beforeAutospacing="1" w:after="100" w:afterAutospacing="1" w:line="240" w:lineRule="auto"/>
      <w:jc w:val="right"/>
      <w:textAlignment w:val="top"/>
    </w:pPr>
    <w:rPr>
      <w:rFonts w:ascii="Times New Roman" w:hAnsi="Times New Roman"/>
      <w:szCs w:val="24"/>
      <w:lang w:eastAsia="en-NZ"/>
    </w:rPr>
  </w:style>
  <w:style w:type="paragraph" w:customStyle="1" w:styleId="xl93">
    <w:name w:val="xl93"/>
    <w:basedOn w:val="Normal"/>
    <w:rsid w:val="00066652"/>
    <w:pPr>
      <w:spacing w:before="100" w:beforeAutospacing="1" w:after="100" w:afterAutospacing="1" w:line="240" w:lineRule="auto"/>
      <w:jc w:val="right"/>
      <w:textAlignment w:val="top"/>
    </w:pPr>
    <w:rPr>
      <w:rFonts w:ascii="Times New Roman" w:hAnsi="Times New Roman"/>
      <w:szCs w:val="24"/>
      <w:lang w:eastAsia="en-NZ"/>
    </w:rPr>
  </w:style>
  <w:style w:type="paragraph" w:customStyle="1" w:styleId="xl94">
    <w:name w:val="xl94"/>
    <w:basedOn w:val="Normal"/>
    <w:rsid w:val="00066652"/>
    <w:pPr>
      <w:shd w:val="clear" w:color="000000" w:fill="FFFF00"/>
      <w:spacing w:before="100" w:beforeAutospacing="1" w:after="100" w:afterAutospacing="1" w:line="240" w:lineRule="auto"/>
      <w:jc w:val="right"/>
      <w:textAlignment w:val="top"/>
    </w:pPr>
    <w:rPr>
      <w:rFonts w:ascii="Times New Roman" w:hAnsi="Times New Roman"/>
      <w:szCs w:val="24"/>
      <w:lang w:eastAsia="en-NZ"/>
    </w:rPr>
  </w:style>
  <w:style w:type="paragraph" w:customStyle="1" w:styleId="xl95">
    <w:name w:val="xl95"/>
    <w:basedOn w:val="Normal"/>
    <w:rsid w:val="00066652"/>
    <w:pPr>
      <w:pBdr>
        <w:bottom w:val="single" w:sz="8" w:space="0" w:color="008080"/>
      </w:pBdr>
      <w:shd w:val="clear" w:color="000000" w:fill="D9D9D9"/>
      <w:spacing w:before="100" w:beforeAutospacing="1" w:after="100" w:afterAutospacing="1" w:line="240" w:lineRule="auto"/>
      <w:jc w:val="right"/>
      <w:textAlignment w:val="top"/>
    </w:pPr>
    <w:rPr>
      <w:rFonts w:ascii="Times New Roman" w:hAnsi="Times New Roman"/>
      <w:color w:val="000000"/>
      <w:szCs w:val="24"/>
      <w:lang w:eastAsia="en-NZ"/>
    </w:rPr>
  </w:style>
  <w:style w:type="paragraph" w:customStyle="1" w:styleId="xl96">
    <w:name w:val="xl96"/>
    <w:basedOn w:val="Normal"/>
    <w:rsid w:val="00066652"/>
    <w:pPr>
      <w:spacing w:before="100" w:beforeAutospacing="1" w:after="100" w:afterAutospacing="1" w:line="240" w:lineRule="auto"/>
      <w:jc w:val="right"/>
      <w:textAlignment w:val="top"/>
    </w:pPr>
    <w:rPr>
      <w:rFonts w:ascii="Times New Roman" w:hAnsi="Times New Roman"/>
      <w:color w:val="000000"/>
      <w:szCs w:val="24"/>
      <w:lang w:eastAsia="en-NZ"/>
    </w:rPr>
  </w:style>
  <w:style w:type="paragraph" w:customStyle="1" w:styleId="xl97">
    <w:name w:val="xl97"/>
    <w:basedOn w:val="Normal"/>
    <w:rsid w:val="00066652"/>
    <w:pPr>
      <w:spacing w:before="100" w:beforeAutospacing="1" w:after="100" w:afterAutospacing="1" w:line="240" w:lineRule="auto"/>
      <w:jc w:val="right"/>
      <w:textAlignment w:val="top"/>
    </w:pPr>
    <w:rPr>
      <w:rFonts w:ascii="Times New Roman" w:hAnsi="Times New Roman"/>
      <w:color w:val="000000"/>
      <w:szCs w:val="24"/>
      <w:lang w:eastAsia="en-NZ"/>
    </w:rPr>
  </w:style>
  <w:style w:type="paragraph" w:customStyle="1" w:styleId="xl98">
    <w:name w:val="xl98"/>
    <w:basedOn w:val="Normal"/>
    <w:rsid w:val="00066652"/>
    <w:pPr>
      <w:spacing w:before="100" w:beforeAutospacing="1" w:after="100" w:afterAutospacing="1" w:line="240" w:lineRule="auto"/>
      <w:jc w:val="right"/>
      <w:textAlignment w:val="top"/>
    </w:pPr>
    <w:rPr>
      <w:rFonts w:ascii="Times New Roman" w:hAnsi="Times New Roman"/>
      <w:szCs w:val="24"/>
      <w:lang w:eastAsia="en-NZ"/>
    </w:rPr>
  </w:style>
  <w:style w:type="paragraph" w:customStyle="1" w:styleId="xl99">
    <w:name w:val="xl99"/>
    <w:basedOn w:val="Normal"/>
    <w:rsid w:val="00066652"/>
    <w:pPr>
      <w:pBdr>
        <w:bottom w:val="single" w:sz="8" w:space="0" w:color="008080"/>
        <w:right w:val="single" w:sz="8" w:space="0" w:color="008080"/>
      </w:pBdr>
      <w:shd w:val="clear" w:color="000000" w:fill="FFFF00"/>
      <w:spacing w:before="100" w:beforeAutospacing="1" w:after="100" w:afterAutospacing="1" w:line="240" w:lineRule="auto"/>
      <w:textAlignment w:val="top"/>
    </w:pPr>
    <w:rPr>
      <w:rFonts w:ascii="Times New Roman" w:hAnsi="Times New Roman"/>
      <w:color w:val="000000"/>
      <w:szCs w:val="24"/>
      <w:lang w:eastAsia="en-NZ"/>
    </w:rPr>
  </w:style>
  <w:style w:type="paragraph" w:customStyle="1" w:styleId="xl100">
    <w:name w:val="xl100"/>
    <w:basedOn w:val="Normal"/>
    <w:rsid w:val="00066652"/>
    <w:pPr>
      <w:spacing w:before="100" w:beforeAutospacing="1" w:after="100" w:afterAutospacing="1" w:line="240" w:lineRule="auto"/>
      <w:textAlignment w:val="top"/>
    </w:pPr>
    <w:rPr>
      <w:rFonts w:ascii="Times New Roman" w:hAnsi="Times New Roman"/>
      <w:b/>
      <w:bCs/>
      <w:color w:val="31869B"/>
      <w:sz w:val="28"/>
      <w:szCs w:val="28"/>
      <w:lang w:eastAsia="en-NZ"/>
    </w:rPr>
  </w:style>
  <w:style w:type="paragraph" w:customStyle="1" w:styleId="xl101">
    <w:name w:val="xl101"/>
    <w:basedOn w:val="Normal"/>
    <w:rsid w:val="00066652"/>
    <w:pPr>
      <w:pBdr>
        <w:bottom w:val="single" w:sz="8" w:space="0" w:color="008080"/>
        <w:right w:val="single" w:sz="8" w:space="0" w:color="008080"/>
      </w:pBdr>
      <w:spacing w:before="100" w:beforeAutospacing="1" w:after="100" w:afterAutospacing="1" w:line="240" w:lineRule="auto"/>
      <w:textAlignment w:val="top"/>
    </w:pPr>
    <w:rPr>
      <w:rFonts w:ascii="Times New Roman" w:hAnsi="Times New Roman"/>
      <w:color w:val="000000"/>
      <w:szCs w:val="24"/>
      <w:lang w:eastAsia="en-NZ"/>
    </w:rPr>
  </w:style>
  <w:style w:type="paragraph" w:customStyle="1" w:styleId="xl102">
    <w:name w:val="xl102"/>
    <w:basedOn w:val="Normal"/>
    <w:rsid w:val="00066652"/>
    <w:pPr>
      <w:spacing w:before="100" w:beforeAutospacing="1" w:after="100" w:afterAutospacing="1" w:line="240" w:lineRule="auto"/>
    </w:pPr>
    <w:rPr>
      <w:rFonts w:ascii="Times New Roman" w:hAnsi="Times New Roman"/>
      <w:szCs w:val="24"/>
      <w:lang w:eastAsia="en-NZ"/>
    </w:rPr>
  </w:style>
  <w:style w:type="paragraph" w:styleId="Index2">
    <w:name w:val="index 2"/>
    <w:basedOn w:val="Normal"/>
    <w:next w:val="Normal"/>
    <w:autoRedefine/>
    <w:uiPriority w:val="99"/>
    <w:unhideWhenUsed/>
    <w:rsid w:val="00A8239C"/>
    <w:pPr>
      <w:spacing w:after="0"/>
      <w:ind w:left="440" w:hanging="220"/>
    </w:pPr>
    <w:rPr>
      <w:rFonts w:cs="Calibri"/>
      <w:sz w:val="18"/>
      <w:szCs w:val="18"/>
    </w:rPr>
  </w:style>
  <w:style w:type="paragraph" w:styleId="Index3">
    <w:name w:val="index 3"/>
    <w:basedOn w:val="Normal"/>
    <w:next w:val="Normal"/>
    <w:autoRedefine/>
    <w:uiPriority w:val="99"/>
    <w:unhideWhenUsed/>
    <w:rsid w:val="00A8239C"/>
    <w:pPr>
      <w:spacing w:after="0"/>
      <w:ind w:left="660" w:hanging="220"/>
    </w:pPr>
    <w:rPr>
      <w:rFonts w:cs="Calibri"/>
      <w:sz w:val="18"/>
      <w:szCs w:val="18"/>
    </w:rPr>
  </w:style>
  <w:style w:type="paragraph" w:styleId="Index4">
    <w:name w:val="index 4"/>
    <w:basedOn w:val="Normal"/>
    <w:next w:val="Normal"/>
    <w:autoRedefine/>
    <w:uiPriority w:val="99"/>
    <w:unhideWhenUsed/>
    <w:rsid w:val="00A8239C"/>
    <w:pPr>
      <w:spacing w:after="0"/>
      <w:ind w:left="880" w:hanging="220"/>
    </w:pPr>
    <w:rPr>
      <w:rFonts w:cs="Calibri"/>
      <w:sz w:val="18"/>
      <w:szCs w:val="18"/>
    </w:rPr>
  </w:style>
  <w:style w:type="paragraph" w:styleId="Index5">
    <w:name w:val="index 5"/>
    <w:basedOn w:val="Normal"/>
    <w:next w:val="Normal"/>
    <w:autoRedefine/>
    <w:uiPriority w:val="99"/>
    <w:unhideWhenUsed/>
    <w:rsid w:val="00A8239C"/>
    <w:pPr>
      <w:spacing w:after="0"/>
      <w:ind w:left="1100" w:hanging="220"/>
    </w:pPr>
    <w:rPr>
      <w:rFonts w:cs="Calibri"/>
      <w:sz w:val="18"/>
      <w:szCs w:val="18"/>
    </w:rPr>
  </w:style>
  <w:style w:type="paragraph" w:styleId="Index6">
    <w:name w:val="index 6"/>
    <w:basedOn w:val="Normal"/>
    <w:next w:val="Normal"/>
    <w:autoRedefine/>
    <w:uiPriority w:val="99"/>
    <w:unhideWhenUsed/>
    <w:rsid w:val="00A8239C"/>
    <w:pPr>
      <w:spacing w:after="0"/>
      <w:ind w:left="1320" w:hanging="220"/>
    </w:pPr>
    <w:rPr>
      <w:rFonts w:cs="Calibri"/>
      <w:sz w:val="18"/>
      <w:szCs w:val="18"/>
    </w:rPr>
  </w:style>
  <w:style w:type="paragraph" w:styleId="Index7">
    <w:name w:val="index 7"/>
    <w:basedOn w:val="Normal"/>
    <w:next w:val="Normal"/>
    <w:autoRedefine/>
    <w:uiPriority w:val="99"/>
    <w:unhideWhenUsed/>
    <w:rsid w:val="00A8239C"/>
    <w:pPr>
      <w:spacing w:after="0"/>
      <w:ind w:left="1540" w:hanging="220"/>
    </w:pPr>
    <w:rPr>
      <w:rFonts w:cs="Calibri"/>
      <w:sz w:val="18"/>
      <w:szCs w:val="18"/>
    </w:rPr>
  </w:style>
  <w:style w:type="paragraph" w:styleId="Index8">
    <w:name w:val="index 8"/>
    <w:basedOn w:val="Normal"/>
    <w:next w:val="Normal"/>
    <w:autoRedefine/>
    <w:uiPriority w:val="99"/>
    <w:unhideWhenUsed/>
    <w:rsid w:val="00A8239C"/>
    <w:pPr>
      <w:spacing w:after="0"/>
      <w:ind w:left="1760" w:hanging="220"/>
    </w:pPr>
    <w:rPr>
      <w:rFonts w:cs="Calibri"/>
      <w:sz w:val="18"/>
      <w:szCs w:val="18"/>
    </w:rPr>
  </w:style>
  <w:style w:type="paragraph" w:styleId="Index9">
    <w:name w:val="index 9"/>
    <w:basedOn w:val="Normal"/>
    <w:next w:val="Normal"/>
    <w:autoRedefine/>
    <w:uiPriority w:val="99"/>
    <w:unhideWhenUsed/>
    <w:rsid w:val="00A8239C"/>
    <w:pPr>
      <w:spacing w:after="0"/>
      <w:ind w:left="1980" w:hanging="220"/>
    </w:pPr>
    <w:rPr>
      <w:rFonts w:cs="Calibri"/>
      <w:sz w:val="18"/>
      <w:szCs w:val="18"/>
    </w:rPr>
  </w:style>
  <w:style w:type="paragraph" w:styleId="IndexHeading">
    <w:name w:val="index heading"/>
    <w:basedOn w:val="Normal"/>
    <w:next w:val="Index1"/>
    <w:uiPriority w:val="99"/>
    <w:unhideWhenUsed/>
    <w:rsid w:val="00A8239C"/>
    <w:pPr>
      <w:spacing w:before="240" w:after="120"/>
      <w:jc w:val="center"/>
    </w:pPr>
    <w:rPr>
      <w:rFonts w:cs="Calibri"/>
      <w:b/>
      <w:bCs/>
      <w:sz w:val="26"/>
      <w:szCs w:val="26"/>
    </w:rPr>
  </w:style>
  <w:style w:type="character" w:styleId="HTMLCode">
    <w:name w:val="HTML Code"/>
    <w:basedOn w:val="DefaultParagraphFont"/>
    <w:uiPriority w:val="99"/>
    <w:semiHidden/>
    <w:unhideWhenUsed/>
    <w:rsid w:val="00FA6A77"/>
    <w:rPr>
      <w:rFonts w:ascii="Arial Narrow" w:hAnsi="Arial Narrow" w:cs="Times New Roman"/>
      <w:sz w:val="20"/>
    </w:rPr>
  </w:style>
  <w:style w:type="paragraph" w:customStyle="1" w:styleId="Body">
    <w:name w:val="Body"/>
    <w:basedOn w:val="Normal"/>
    <w:link w:val="BodyChar"/>
    <w:qFormat/>
    <w:rsid w:val="00FA6A77"/>
    <w:pPr>
      <w:spacing w:after="120" w:line="240" w:lineRule="auto"/>
    </w:pPr>
  </w:style>
  <w:style w:type="character" w:styleId="HTMLKeyboard">
    <w:name w:val="HTML Keyboard"/>
    <w:basedOn w:val="DefaultParagraphFont"/>
    <w:uiPriority w:val="99"/>
    <w:semiHidden/>
    <w:unhideWhenUsed/>
    <w:rsid w:val="00FA6A77"/>
    <w:rPr>
      <w:rFonts w:ascii="Arial Narrow" w:hAnsi="Arial Narrow" w:cs="Times New Roman"/>
      <w:sz w:val="20"/>
    </w:rPr>
  </w:style>
  <w:style w:type="paragraph" w:styleId="HTMLPreformatted">
    <w:name w:val="HTML Preformatted"/>
    <w:basedOn w:val="Normal"/>
    <w:link w:val="HTMLPreformattedChar"/>
    <w:uiPriority w:val="99"/>
    <w:semiHidden/>
    <w:unhideWhenUsed/>
    <w:rsid w:val="00FA6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sz w:val="20"/>
      <w:szCs w:val="20"/>
    </w:rPr>
  </w:style>
  <w:style w:type="character" w:customStyle="1" w:styleId="HTMLPreformattedChar">
    <w:name w:val="HTML Preformatted Char"/>
    <w:basedOn w:val="DefaultParagraphFont"/>
    <w:link w:val="HTMLPreformatted"/>
    <w:uiPriority w:val="99"/>
    <w:semiHidden/>
    <w:locked/>
    <w:rsid w:val="00FA6A77"/>
    <w:rPr>
      <w:rFonts w:eastAsia="Times New Roman" w:cs="Times New Roman"/>
      <w:sz w:val="20"/>
      <w:szCs w:val="20"/>
    </w:rPr>
  </w:style>
  <w:style w:type="character" w:styleId="HTMLSample">
    <w:name w:val="HTML Sample"/>
    <w:basedOn w:val="DefaultParagraphFont"/>
    <w:uiPriority w:val="99"/>
    <w:semiHidden/>
    <w:unhideWhenUsed/>
    <w:rsid w:val="00FA6A77"/>
    <w:rPr>
      <w:rFonts w:ascii="Arial Narrow" w:hAnsi="Arial Narrow" w:cs="Times New Roman"/>
    </w:rPr>
  </w:style>
  <w:style w:type="character" w:styleId="HTMLTypewriter">
    <w:name w:val="HTML Typewriter"/>
    <w:basedOn w:val="DefaultParagraphFont"/>
    <w:uiPriority w:val="99"/>
    <w:semiHidden/>
    <w:unhideWhenUsed/>
    <w:rsid w:val="00FA6A77"/>
    <w:rPr>
      <w:rFonts w:ascii="Arial Narrow" w:hAnsi="Arial Narrow" w:cs="Times New Roman"/>
      <w:sz w:val="20"/>
    </w:rPr>
  </w:style>
  <w:style w:type="paragraph" w:styleId="FootnoteText">
    <w:name w:val="footnote text"/>
    <w:basedOn w:val="Normal"/>
    <w:link w:val="FootnoteTextChar"/>
    <w:uiPriority w:val="99"/>
    <w:unhideWhenUsed/>
    <w:rsid w:val="00FA6A77"/>
    <w:pPr>
      <w:spacing w:after="0" w:line="240" w:lineRule="auto"/>
    </w:pPr>
    <w:rPr>
      <w:rFonts w:ascii="Georgia" w:hAnsi="Georgia"/>
      <w:sz w:val="20"/>
      <w:szCs w:val="20"/>
      <w:lang w:val="en-GB" w:eastAsia="en-GB"/>
    </w:rPr>
  </w:style>
  <w:style w:type="character" w:customStyle="1" w:styleId="FootnoteTextChar">
    <w:name w:val="Footnote Text Char"/>
    <w:basedOn w:val="DefaultParagraphFont"/>
    <w:link w:val="FootnoteText"/>
    <w:uiPriority w:val="99"/>
    <w:locked/>
    <w:rsid w:val="00FA6A77"/>
    <w:rPr>
      <w:rFonts w:ascii="Georgia" w:hAnsi="Georgia" w:cs="Times New Roman"/>
      <w:sz w:val="20"/>
      <w:szCs w:val="20"/>
      <w:lang w:val="en-GB" w:eastAsia="en-GB"/>
    </w:rPr>
  </w:style>
  <w:style w:type="paragraph" w:customStyle="1" w:styleId="PlaceholderText1">
    <w:name w:val="Placeholder Text1"/>
    <w:basedOn w:val="Normal"/>
    <w:uiPriority w:val="99"/>
    <w:semiHidden/>
    <w:rsid w:val="00FA6A77"/>
    <w:pPr>
      <w:keepNext/>
      <w:numPr>
        <w:numId w:val="2"/>
      </w:numPr>
      <w:spacing w:after="0" w:line="240" w:lineRule="auto"/>
      <w:contextualSpacing/>
      <w:outlineLvl w:val="0"/>
    </w:pPr>
  </w:style>
  <w:style w:type="character" w:customStyle="1" w:styleId="WCCFormheaderChar">
    <w:name w:val="WCC Form header Char"/>
    <w:link w:val="WCCFormheader"/>
    <w:uiPriority w:val="9"/>
    <w:semiHidden/>
    <w:locked/>
    <w:rsid w:val="00FA6A77"/>
    <w:rPr>
      <w:rFonts w:asciiTheme="majorHAnsi" w:eastAsia="MS Gothic" w:hAnsiTheme="majorHAnsi"/>
      <w:b/>
      <w:color w:val="3C3C3B"/>
      <w:kern w:val="32"/>
      <w:sz w:val="40"/>
    </w:rPr>
  </w:style>
  <w:style w:type="paragraph" w:customStyle="1" w:styleId="WCCFormheader">
    <w:name w:val="WCC Form header"/>
    <w:basedOn w:val="Heading1"/>
    <w:link w:val="WCCFormheaderChar"/>
    <w:uiPriority w:val="9"/>
    <w:semiHidden/>
    <w:rsid w:val="00FA6A77"/>
    <w:pPr>
      <w:keepLines w:val="0"/>
      <w:pBdr>
        <w:bottom w:val="none" w:sz="0" w:space="0" w:color="auto"/>
      </w:pBdr>
      <w:spacing w:before="0" w:after="80" w:line="400" w:lineRule="exact"/>
    </w:pPr>
    <w:rPr>
      <w:rFonts w:eastAsia="MS Gothic"/>
      <w:color w:val="3C3C3B"/>
      <w:kern w:val="32"/>
      <w:sz w:val="40"/>
      <w:szCs w:val="40"/>
    </w:rPr>
  </w:style>
  <w:style w:type="paragraph" w:customStyle="1" w:styleId="WCCtableheaderonblackcell">
    <w:name w:val="WCC table header on black cell"/>
    <w:basedOn w:val="Normal"/>
    <w:uiPriority w:val="9"/>
    <w:semiHidden/>
    <w:rsid w:val="00FA6A77"/>
    <w:pPr>
      <w:spacing w:after="0" w:line="240" w:lineRule="auto"/>
    </w:pPr>
    <w:rPr>
      <w:b/>
      <w:color w:val="FFFFFF"/>
    </w:rPr>
  </w:style>
  <w:style w:type="paragraph" w:customStyle="1" w:styleId="WCCPDWCCnumber">
    <w:name w:val="WCC PDWCC number"/>
    <w:basedOn w:val="Normal"/>
    <w:uiPriority w:val="9"/>
    <w:semiHidden/>
    <w:rsid w:val="00FA6A77"/>
    <w:pPr>
      <w:spacing w:after="0" w:line="240" w:lineRule="auto"/>
      <w:jc w:val="right"/>
    </w:pPr>
    <w:rPr>
      <w:b/>
      <w:sz w:val="10"/>
      <w:szCs w:val="8"/>
    </w:rPr>
  </w:style>
  <w:style w:type="character" w:customStyle="1" w:styleId="WCCCoverSubtitleChar">
    <w:name w:val="WCC Cover Subtitle Char"/>
    <w:link w:val="WCCCoverSubtitle"/>
    <w:uiPriority w:val="9"/>
    <w:semiHidden/>
    <w:locked/>
    <w:rsid w:val="00FA6A77"/>
    <w:rPr>
      <w:rFonts w:asciiTheme="majorHAnsi" w:eastAsia="MS Gothic" w:hAnsiTheme="majorHAnsi"/>
      <w:b/>
      <w:color w:val="3C3C3B"/>
      <w:kern w:val="32"/>
      <w:sz w:val="26"/>
    </w:rPr>
  </w:style>
  <w:style w:type="paragraph" w:customStyle="1" w:styleId="WCCCoverSubtitle">
    <w:name w:val="WCC Cover Subtitle"/>
    <w:basedOn w:val="WCCFormheader"/>
    <w:link w:val="WCCCoverSubtitleChar"/>
    <w:uiPriority w:val="9"/>
    <w:semiHidden/>
    <w:rsid w:val="00FA6A77"/>
    <w:pPr>
      <w:spacing w:line="300" w:lineRule="exact"/>
    </w:pPr>
    <w:rPr>
      <w:sz w:val="26"/>
      <w:szCs w:val="26"/>
    </w:rPr>
  </w:style>
  <w:style w:type="character" w:customStyle="1" w:styleId="WCCCoverHeaderChar">
    <w:name w:val="WCC Cover Header Char"/>
    <w:link w:val="WCCCoverHeader"/>
    <w:uiPriority w:val="9"/>
    <w:semiHidden/>
    <w:locked/>
    <w:rsid w:val="00FA6A77"/>
    <w:rPr>
      <w:rFonts w:ascii="Georgia" w:eastAsia="MS Gothic" w:hAnsi="Georgia"/>
      <w:b/>
      <w:caps/>
      <w:color w:val="FFFFFF"/>
      <w:kern w:val="32"/>
      <w:sz w:val="48"/>
    </w:rPr>
  </w:style>
  <w:style w:type="paragraph" w:customStyle="1" w:styleId="WCCCoverHeader">
    <w:name w:val="WCC Cover Header"/>
    <w:basedOn w:val="Normal"/>
    <w:link w:val="WCCCoverHeaderChar"/>
    <w:uiPriority w:val="9"/>
    <w:semiHidden/>
    <w:rsid w:val="00FA6A77"/>
    <w:pPr>
      <w:keepNext/>
      <w:spacing w:after="80" w:line="520" w:lineRule="exact"/>
      <w:ind w:right="4389"/>
      <w:outlineLvl w:val="0"/>
    </w:pPr>
    <w:rPr>
      <w:rFonts w:ascii="Georgia" w:eastAsia="MS Gothic" w:hAnsi="Georgia"/>
      <w:b/>
      <w:bCs/>
      <w:caps/>
      <w:color w:val="FFFFFF"/>
      <w:kern w:val="32"/>
      <w:sz w:val="48"/>
      <w:szCs w:val="48"/>
    </w:rPr>
  </w:style>
  <w:style w:type="character" w:customStyle="1" w:styleId="WCCDocumentHeaderChar">
    <w:name w:val="WCC Document Header Char"/>
    <w:link w:val="WCCDocumentHeader"/>
    <w:uiPriority w:val="9"/>
    <w:semiHidden/>
    <w:locked/>
    <w:rsid w:val="00FA6A77"/>
    <w:rPr>
      <w:rFonts w:ascii="Georgia" w:eastAsia="MS Gothic" w:hAnsi="Georgia"/>
      <w:b/>
      <w:color w:val="3C3C3B"/>
      <w:kern w:val="32"/>
      <w:sz w:val="36"/>
    </w:rPr>
  </w:style>
  <w:style w:type="paragraph" w:customStyle="1" w:styleId="WCCDocumentHeader">
    <w:name w:val="WCC Document Header"/>
    <w:basedOn w:val="WCCCoverHeader"/>
    <w:link w:val="WCCDocumentHeaderChar"/>
    <w:uiPriority w:val="9"/>
    <w:semiHidden/>
    <w:rsid w:val="00FA6A77"/>
    <w:pPr>
      <w:spacing w:line="400" w:lineRule="exact"/>
      <w:ind w:right="0"/>
    </w:pPr>
    <w:rPr>
      <w:caps w:val="0"/>
      <w:color w:val="3C3C3B"/>
      <w:sz w:val="36"/>
      <w:szCs w:val="36"/>
    </w:rPr>
  </w:style>
  <w:style w:type="character" w:customStyle="1" w:styleId="WCCDocumentsubtitleChar">
    <w:name w:val="WCC Document subtitle Char"/>
    <w:link w:val="WCCDocumentsubtitle"/>
    <w:uiPriority w:val="9"/>
    <w:semiHidden/>
    <w:locked/>
    <w:rsid w:val="00FA6A77"/>
    <w:rPr>
      <w:rFonts w:asciiTheme="majorHAnsi" w:eastAsia="MS Gothic" w:hAnsiTheme="majorHAnsi"/>
      <w:b/>
      <w:color w:val="3C3C3B"/>
      <w:kern w:val="32"/>
      <w:sz w:val="26"/>
    </w:rPr>
  </w:style>
  <w:style w:type="paragraph" w:customStyle="1" w:styleId="WCCDocumentsubtitle">
    <w:name w:val="WCC Document subtitle"/>
    <w:basedOn w:val="WCCCoverSubtitle"/>
    <w:link w:val="WCCDocumentsubtitleChar"/>
    <w:uiPriority w:val="9"/>
    <w:semiHidden/>
    <w:rsid w:val="00FA6A77"/>
  </w:style>
  <w:style w:type="paragraph" w:customStyle="1" w:styleId="Bullets">
    <w:name w:val="Bullets"/>
    <w:basedOn w:val="Body"/>
    <w:uiPriority w:val="99"/>
    <w:qFormat/>
    <w:rsid w:val="00FA6A77"/>
    <w:pPr>
      <w:numPr>
        <w:numId w:val="3"/>
      </w:numPr>
      <w:ind w:left="284" w:hanging="284"/>
    </w:pPr>
  </w:style>
  <w:style w:type="character" w:customStyle="1" w:styleId="FootertextChar">
    <w:name w:val="Footer text Char"/>
    <w:basedOn w:val="FooterChar"/>
    <w:link w:val="Footertext"/>
    <w:uiPriority w:val="99"/>
    <w:locked/>
    <w:rsid w:val="00FA6A77"/>
    <w:rPr>
      <w:rFonts w:ascii="Helvetica Neue" w:hAnsi="Helvetica Neue" w:cs="Times New Roman"/>
      <w:color w:val="333333"/>
      <w:sz w:val="24"/>
      <w:szCs w:val="24"/>
      <w:vertAlign w:val="superscript"/>
      <w:lang w:bidi="ar-SA"/>
    </w:rPr>
  </w:style>
  <w:style w:type="paragraph" w:customStyle="1" w:styleId="Footertext">
    <w:name w:val="Footer text"/>
    <w:basedOn w:val="Footer"/>
    <w:link w:val="FootertextChar"/>
    <w:uiPriority w:val="99"/>
    <w:rsid w:val="00FA6A77"/>
    <w:pPr>
      <w:tabs>
        <w:tab w:val="clear" w:pos="4513"/>
        <w:tab w:val="clear" w:pos="9026"/>
        <w:tab w:val="center" w:pos="4820"/>
        <w:tab w:val="right" w:pos="9639"/>
      </w:tabs>
      <w:spacing w:before="160" w:after="0"/>
      <w:jc w:val="right"/>
    </w:pPr>
    <w:rPr>
      <w:sz w:val="16"/>
    </w:rPr>
  </w:style>
  <w:style w:type="paragraph" w:customStyle="1" w:styleId="TableHeading">
    <w:name w:val="Table Heading"/>
    <w:basedOn w:val="Normal"/>
    <w:uiPriority w:val="7"/>
    <w:qFormat/>
    <w:rsid w:val="00FA6A77"/>
    <w:pPr>
      <w:spacing w:before="113" w:after="113" w:line="200" w:lineRule="atLeast"/>
    </w:pPr>
    <w:rPr>
      <w:rFonts w:asciiTheme="majorHAnsi" w:hAnsiTheme="majorHAnsi"/>
      <w:sz w:val="16"/>
    </w:rPr>
  </w:style>
  <w:style w:type="paragraph" w:customStyle="1" w:styleId="TableBody">
    <w:name w:val="Table Body"/>
    <w:basedOn w:val="Normal"/>
    <w:uiPriority w:val="7"/>
    <w:qFormat/>
    <w:rsid w:val="00FA6A77"/>
    <w:pPr>
      <w:spacing w:before="113" w:after="113" w:line="200" w:lineRule="atLeast"/>
    </w:pPr>
    <w:rPr>
      <w:sz w:val="16"/>
    </w:rPr>
  </w:style>
  <w:style w:type="paragraph" w:customStyle="1" w:styleId="TableSubheading">
    <w:name w:val="Table Subheading"/>
    <w:basedOn w:val="TableHeading"/>
    <w:uiPriority w:val="7"/>
    <w:qFormat/>
    <w:rsid w:val="00FA6A77"/>
    <w:rPr>
      <w:b/>
    </w:rPr>
  </w:style>
  <w:style w:type="paragraph" w:customStyle="1" w:styleId="Source-Notes">
    <w:name w:val="Source-Notes"/>
    <w:uiPriority w:val="8"/>
    <w:qFormat/>
    <w:rsid w:val="00FA6A77"/>
    <w:pPr>
      <w:spacing w:before="120" w:after="120" w:line="200" w:lineRule="atLeast"/>
      <w:contextualSpacing/>
    </w:pPr>
    <w:rPr>
      <w:i/>
      <w:sz w:val="16"/>
    </w:rPr>
  </w:style>
  <w:style w:type="paragraph" w:customStyle="1" w:styleId="Scroll">
    <w:name w:val="Scroll"/>
    <w:uiPriority w:val="99"/>
    <w:rsid w:val="00FA6A77"/>
    <w:pPr>
      <w:tabs>
        <w:tab w:val="center" w:pos="4320"/>
        <w:tab w:val="right" w:pos="8640"/>
      </w:tabs>
    </w:pPr>
    <w:rPr>
      <w:lang w:val="en-US" w:eastAsia="ja-JP"/>
    </w:rPr>
  </w:style>
  <w:style w:type="character" w:styleId="FootnoteReference">
    <w:name w:val="footnote reference"/>
    <w:basedOn w:val="DefaultParagraphFont"/>
    <w:uiPriority w:val="99"/>
    <w:semiHidden/>
    <w:unhideWhenUsed/>
    <w:rsid w:val="00FA6A77"/>
    <w:rPr>
      <w:rFonts w:cs="Times New Roman"/>
      <w:vertAlign w:val="superscript"/>
    </w:rPr>
  </w:style>
  <w:style w:type="character" w:styleId="PageNumber">
    <w:name w:val="page number"/>
    <w:basedOn w:val="FootertextChar"/>
    <w:uiPriority w:val="99"/>
    <w:unhideWhenUsed/>
    <w:rsid w:val="00FA6A77"/>
    <w:rPr>
      <w:rFonts w:ascii="Helvetica Neue" w:hAnsi="Helvetica Neue" w:cs="Times New Roman"/>
      <w:color w:val="333333"/>
      <w:sz w:val="24"/>
      <w:szCs w:val="24"/>
      <w:vertAlign w:val="superscript"/>
      <w:lang w:bidi="ar-SA"/>
    </w:rPr>
  </w:style>
  <w:style w:type="character" w:customStyle="1" w:styleId="s4">
    <w:name w:val="s4"/>
    <w:basedOn w:val="DefaultParagraphFont"/>
    <w:rsid w:val="00FA6A77"/>
    <w:rPr>
      <w:rFonts w:cs="Times New Roman"/>
    </w:rPr>
  </w:style>
  <w:style w:type="character" w:customStyle="1" w:styleId="ilfuvd">
    <w:name w:val="ilfuvd"/>
    <w:basedOn w:val="DefaultParagraphFont"/>
    <w:rsid w:val="00FA6A77"/>
    <w:rPr>
      <w:rFonts w:cs="Times New Roman"/>
    </w:rPr>
  </w:style>
  <w:style w:type="table" w:styleId="TableSimple1">
    <w:name w:val="Table Simple 1"/>
    <w:basedOn w:val="TableNormal"/>
    <w:uiPriority w:val="99"/>
    <w:unhideWhenUsed/>
    <w:rsid w:val="00FA6A77"/>
    <w:pPr>
      <w:spacing w:after="0" w:line="240" w:lineRule="auto"/>
    </w:pPr>
    <w:rPr>
      <w:rFonts w:ascii="Arial Narrow" w:hAnsi="Arial Narrow" w:cs="Arial"/>
    </w:rPr>
    <w:tblPr>
      <w:tblInd w:w="0" w:type="nil"/>
      <w:tblBorders>
        <w:top w:val="single" w:sz="12" w:space="0" w:color="008000"/>
        <w:bottom w:val="single" w:sz="12" w:space="0" w:color="008000"/>
      </w:tblBorders>
    </w:tblPr>
    <w:tblStylePr w:type="firstRow">
      <w:rPr>
        <w:rFonts w:cs="Arial"/>
      </w:rPr>
      <w:tblPr/>
      <w:tcPr>
        <w:tcBorders>
          <w:bottom w:val="single" w:sz="6" w:space="0" w:color="008000"/>
        </w:tcBorders>
      </w:tcPr>
    </w:tblStylePr>
    <w:tblStylePr w:type="lastRow">
      <w:rPr>
        <w:rFonts w:cs="Arial"/>
      </w:rPr>
      <w:tblPr/>
      <w:tcPr>
        <w:tcBorders>
          <w:top w:val="single" w:sz="6" w:space="0" w:color="008000"/>
        </w:tcBorders>
      </w:tcPr>
    </w:tblStylePr>
  </w:style>
  <w:style w:type="table" w:styleId="TableSimple2">
    <w:name w:val="Table Simple 2"/>
    <w:basedOn w:val="TableNormal"/>
    <w:uiPriority w:val="99"/>
    <w:unhideWhenUsed/>
    <w:rsid w:val="00FA6A77"/>
    <w:pPr>
      <w:spacing w:after="0" w:line="240" w:lineRule="auto"/>
    </w:pPr>
    <w:rPr>
      <w:rFonts w:ascii="Arial Narrow" w:hAnsi="Arial Narrow" w:cs="Arial"/>
    </w:rPr>
    <w:tblPr>
      <w:tblInd w:w="0" w:type="nil"/>
    </w:tblPr>
    <w:tblStylePr w:type="firstRow">
      <w:rPr>
        <w:rFonts w:cs="Arial"/>
        <w:b/>
        <w:bCs/>
      </w:rPr>
      <w:tblPr/>
      <w:tcPr>
        <w:tcBorders>
          <w:bottom w:val="single" w:sz="12" w:space="0" w:color="000000"/>
        </w:tcBorders>
      </w:tcPr>
    </w:tblStylePr>
    <w:tblStylePr w:type="lastRow">
      <w:rPr>
        <w:rFonts w:cs="Arial"/>
        <w:b/>
        <w:bCs/>
        <w:color w:val="auto"/>
      </w:rPr>
      <w:tblPr/>
      <w:tcPr>
        <w:tcBorders>
          <w:top w:val="single" w:sz="6" w:space="0" w:color="000000"/>
        </w:tcBorders>
      </w:tcPr>
    </w:tblStylePr>
    <w:tblStylePr w:type="firstCol">
      <w:rPr>
        <w:rFonts w:cs="Arial"/>
        <w:b/>
        <w:bCs/>
      </w:rPr>
      <w:tblPr/>
      <w:tcPr>
        <w:tcBorders>
          <w:right w:val="single" w:sz="12" w:space="0" w:color="000000"/>
        </w:tcBorders>
      </w:tcPr>
    </w:tblStylePr>
    <w:tblStylePr w:type="lastCol">
      <w:rPr>
        <w:rFonts w:cs="Arial"/>
        <w:b/>
        <w:bCs/>
      </w:rPr>
      <w:tblPr/>
      <w:tcPr>
        <w:tcBorders>
          <w:left w:val="single" w:sz="6" w:space="0" w:color="000000"/>
        </w:tcBorders>
      </w:tcPr>
    </w:tblStylePr>
    <w:tblStylePr w:type="neCell">
      <w:rPr>
        <w:rFonts w:cs="Arial"/>
        <w:b/>
        <w:bCs/>
      </w:rPr>
      <w:tblPr/>
      <w:tcPr>
        <w:tcBorders>
          <w:left w:val="none" w:sz="6" w:space="0" w:color="auto"/>
        </w:tcBorders>
      </w:tcPr>
    </w:tblStylePr>
    <w:tblStylePr w:type="swCell">
      <w:rPr>
        <w:rFonts w:cs="Arial"/>
        <w:b/>
        <w:bCs/>
      </w:rPr>
      <w:tblPr/>
      <w:tcPr>
        <w:tcBorders>
          <w:top w:val="none" w:sz="6" w:space="0" w:color="auto"/>
        </w:tcBorders>
      </w:tcPr>
    </w:tblStylePr>
  </w:style>
  <w:style w:type="table" w:styleId="TableSimple3">
    <w:name w:val="Table Simple 3"/>
    <w:basedOn w:val="TableNormal"/>
    <w:uiPriority w:val="99"/>
    <w:unhideWhenUsed/>
    <w:rsid w:val="00FA6A77"/>
    <w:pPr>
      <w:spacing w:after="0" w:line="240" w:lineRule="auto"/>
    </w:pPr>
    <w:rPr>
      <w:rFonts w:ascii="Arial Narrow" w:hAnsi="Arial Narrow" w:cs="Arial"/>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cs="Arial"/>
        <w:b/>
        <w:bCs/>
        <w:color w:val="FFFFFF"/>
      </w:rPr>
      <w:tblPr/>
      <w:tcPr>
        <w:shd w:val="solid" w:color="000000" w:fill="FFFFFF"/>
      </w:tcPr>
    </w:tblStylePr>
  </w:style>
  <w:style w:type="table" w:styleId="TableClassic1">
    <w:name w:val="Table Classic 1"/>
    <w:basedOn w:val="TableNormal"/>
    <w:uiPriority w:val="99"/>
    <w:unhideWhenUsed/>
    <w:rsid w:val="00FA6A77"/>
    <w:pPr>
      <w:spacing w:after="0" w:line="240" w:lineRule="auto"/>
    </w:pPr>
    <w:rPr>
      <w:rFonts w:ascii="Arial Narrow" w:hAnsi="Arial Narrow" w:cs="Arial"/>
    </w:rPr>
    <w:tblPr>
      <w:tblInd w:w="0" w:type="nil"/>
      <w:tblBorders>
        <w:top w:val="single" w:sz="12" w:space="0" w:color="000000"/>
        <w:bottom w:val="single" w:sz="12" w:space="0" w:color="000000"/>
      </w:tblBorders>
    </w:tblPr>
    <w:tblStylePr w:type="firstRow">
      <w:rPr>
        <w:rFonts w:cs="Arial"/>
        <w:i/>
        <w:iCs/>
      </w:rPr>
      <w:tblPr/>
      <w:tcPr>
        <w:tcBorders>
          <w:bottom w:val="single" w:sz="6" w:space="0" w:color="000000"/>
        </w:tcBorders>
      </w:tcPr>
    </w:tblStylePr>
    <w:tblStylePr w:type="lastRow">
      <w:rPr>
        <w:rFonts w:cs="Arial"/>
        <w:color w:val="auto"/>
      </w:rPr>
      <w:tblPr/>
      <w:tcPr>
        <w:tcBorders>
          <w:top w:val="single" w:sz="6" w:space="0" w:color="000000"/>
        </w:tcBorders>
      </w:tcPr>
    </w:tblStylePr>
    <w:tblStylePr w:type="firstCol">
      <w:rPr>
        <w:rFonts w:cs="Arial"/>
      </w:rPr>
      <w:tblPr/>
      <w:tcPr>
        <w:tcBorders>
          <w:right w:val="single" w:sz="6" w:space="0" w:color="000000"/>
        </w:tcBorders>
      </w:tcPr>
    </w:tblStylePr>
    <w:tblStylePr w:type="neCell">
      <w:rPr>
        <w:rFonts w:cs="Arial"/>
        <w:b/>
        <w:bCs/>
        <w:i w:val="0"/>
        <w:iCs w:val="0"/>
      </w:rPr>
    </w:tblStylePr>
    <w:tblStylePr w:type="swCell">
      <w:rPr>
        <w:rFonts w:cs="Arial"/>
        <w:b/>
        <w:bCs/>
      </w:rPr>
    </w:tblStylePr>
  </w:style>
  <w:style w:type="table" w:styleId="TableClassic2">
    <w:name w:val="Table Classic 2"/>
    <w:basedOn w:val="TableNormal"/>
    <w:uiPriority w:val="99"/>
    <w:unhideWhenUsed/>
    <w:rsid w:val="00FA6A77"/>
    <w:pPr>
      <w:spacing w:after="0" w:line="240" w:lineRule="auto"/>
    </w:pPr>
    <w:rPr>
      <w:rFonts w:ascii="Arial Narrow" w:hAnsi="Arial Narrow" w:cs="Arial"/>
    </w:rPr>
    <w:tblPr>
      <w:tblInd w:w="0" w:type="nil"/>
      <w:tblBorders>
        <w:top w:val="single" w:sz="12" w:space="0" w:color="000000"/>
        <w:bottom w:val="single" w:sz="12" w:space="0" w:color="000000"/>
      </w:tblBorders>
    </w:tblPr>
    <w:tblStylePr w:type="firstRow">
      <w:rPr>
        <w:rFonts w:cs="Arial"/>
        <w:color w:val="FFFFFF"/>
      </w:rPr>
      <w:tblPr/>
      <w:tcPr>
        <w:tcBorders>
          <w:bottom w:val="single" w:sz="6" w:space="0" w:color="000000"/>
        </w:tcBorders>
        <w:shd w:val="solid" w:color="800080" w:fill="FFFFFF"/>
      </w:tcPr>
    </w:tblStylePr>
    <w:tblStylePr w:type="lastRow">
      <w:rPr>
        <w:rFonts w:cs="Arial"/>
      </w:rPr>
      <w:tblPr/>
      <w:tcPr>
        <w:tcBorders>
          <w:top w:val="single" w:sz="6" w:space="0" w:color="000000"/>
        </w:tcBorders>
      </w:tcPr>
    </w:tblStylePr>
    <w:tblStylePr w:type="firstCol">
      <w:rPr>
        <w:rFonts w:cs="Arial"/>
        <w:b/>
        <w:bCs/>
      </w:rPr>
      <w:tblPr/>
      <w:tcPr>
        <w:shd w:val="solid" w:color="C0C0C0" w:fill="FFFFFF"/>
      </w:tcPr>
    </w:tblStylePr>
    <w:tblStylePr w:type="neCell">
      <w:rPr>
        <w:rFonts w:cs="Arial"/>
        <w:b/>
        <w:bCs/>
      </w:rPr>
    </w:tblStylePr>
    <w:tblStylePr w:type="nwCell">
      <w:rPr>
        <w:rFonts w:cs="Arial"/>
      </w:rPr>
      <w:tblPr/>
      <w:tcPr>
        <w:shd w:val="solid" w:color="800080" w:fill="FFFFFF"/>
      </w:tcPr>
    </w:tblStylePr>
    <w:tblStylePr w:type="swCell">
      <w:rPr>
        <w:rFonts w:cs="Arial"/>
        <w:color w:val="000080"/>
      </w:rPr>
    </w:tblStylePr>
  </w:style>
  <w:style w:type="table" w:styleId="TableClassic3">
    <w:name w:val="Table Classic 3"/>
    <w:basedOn w:val="TableNormal"/>
    <w:uiPriority w:val="99"/>
    <w:unhideWhenUsed/>
    <w:rsid w:val="00FA6A77"/>
    <w:pPr>
      <w:spacing w:after="0" w:line="240" w:lineRule="auto"/>
    </w:pPr>
    <w:rPr>
      <w:rFonts w:ascii="Arial Narrow" w:hAnsi="Arial Narrow" w:cs="Arial"/>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Arial"/>
        <w:b/>
        <w:bCs/>
        <w:i/>
        <w:iCs/>
        <w:color w:val="FFFFFF"/>
      </w:rPr>
      <w:tblPr/>
      <w:tcPr>
        <w:tcBorders>
          <w:bottom w:val="single" w:sz="6" w:space="0" w:color="000000"/>
        </w:tcBorders>
        <w:shd w:val="solid" w:color="000080" w:fill="FFFFFF"/>
      </w:tcPr>
    </w:tblStylePr>
    <w:tblStylePr w:type="lastRow">
      <w:rPr>
        <w:rFonts w:cs="Arial"/>
        <w:color w:val="000080"/>
      </w:rPr>
      <w:tblPr/>
      <w:tcPr>
        <w:tcBorders>
          <w:top w:val="single" w:sz="12" w:space="0" w:color="000000"/>
        </w:tcBorders>
        <w:shd w:val="solid" w:color="FFFFFF" w:fill="FFFFFF"/>
      </w:tcPr>
    </w:tblStylePr>
    <w:tblStylePr w:type="firstCol">
      <w:rPr>
        <w:rFonts w:cs="Arial"/>
        <w:b/>
        <w:bCs/>
        <w:color w:val="000000"/>
      </w:rPr>
    </w:tblStylePr>
  </w:style>
  <w:style w:type="table" w:styleId="TableClassic4">
    <w:name w:val="Table Classic 4"/>
    <w:basedOn w:val="TableNormal"/>
    <w:uiPriority w:val="99"/>
    <w:unhideWhenUsed/>
    <w:rsid w:val="00FA6A77"/>
    <w:pPr>
      <w:spacing w:after="0" w:line="240" w:lineRule="auto"/>
    </w:pPr>
    <w:rPr>
      <w:rFonts w:ascii="Arial Narrow" w:hAnsi="Arial Narrow" w:cs="Arial"/>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cs="Arial"/>
        <w:b/>
        <w:bCs/>
        <w:i/>
        <w:iCs/>
        <w:color w:val="FFFFFF"/>
      </w:rPr>
      <w:tblPr/>
      <w:tcPr>
        <w:tcBorders>
          <w:bottom w:val="single" w:sz="6" w:space="0" w:color="000000"/>
        </w:tcBorders>
        <w:shd w:val="pct50" w:color="000080" w:fill="FFFFFF"/>
      </w:tcPr>
    </w:tblStylePr>
    <w:tblStylePr w:type="lastRow">
      <w:rPr>
        <w:rFonts w:cs="Arial"/>
        <w:color w:val="000080"/>
      </w:rPr>
      <w:tblPr/>
      <w:tcPr>
        <w:tcBorders>
          <w:bottom w:val="single" w:sz="6" w:space="0" w:color="000000"/>
        </w:tcBorders>
        <w:shd w:val="pct50" w:color="000000" w:fill="FFFFFF"/>
      </w:tcPr>
    </w:tblStylePr>
    <w:tblStylePr w:type="firstCol">
      <w:rPr>
        <w:rFonts w:cs="Arial"/>
        <w:b/>
        <w:bCs/>
      </w:rPr>
    </w:tblStylePr>
    <w:tblStylePr w:type="nwCell">
      <w:rPr>
        <w:rFonts w:cs="Arial"/>
        <w:b/>
        <w:bCs/>
      </w:rPr>
    </w:tblStylePr>
    <w:tblStylePr w:type="swCell">
      <w:rPr>
        <w:rFonts w:cs="Arial"/>
        <w:color w:val="000080"/>
      </w:rPr>
    </w:tblStylePr>
  </w:style>
  <w:style w:type="table" w:styleId="TableColorful1">
    <w:name w:val="Table Colorful 1"/>
    <w:basedOn w:val="TableNormal"/>
    <w:uiPriority w:val="99"/>
    <w:unhideWhenUsed/>
    <w:rsid w:val="00FA6A77"/>
    <w:pPr>
      <w:spacing w:after="0" w:line="240" w:lineRule="auto"/>
    </w:pPr>
    <w:rPr>
      <w:rFonts w:ascii="Arial Narrow" w:hAnsi="Arial Narrow" w:cs="Arial"/>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Arial"/>
        <w:b/>
        <w:bCs/>
        <w:i/>
        <w:iCs/>
      </w:rPr>
      <w:tblPr/>
      <w:tcPr>
        <w:shd w:val="solid" w:color="000000" w:fill="FFFFFF"/>
      </w:tcPr>
    </w:tblStylePr>
    <w:tblStylePr w:type="firstCol">
      <w:rPr>
        <w:rFonts w:cs="Arial"/>
        <w:b/>
        <w:bCs/>
        <w:i/>
        <w:iCs/>
      </w:rPr>
      <w:tblPr/>
      <w:tcPr>
        <w:shd w:val="solid" w:color="000080" w:fill="FFFFFF"/>
      </w:tcPr>
    </w:tblStylePr>
    <w:tblStylePr w:type="nwCell">
      <w:rPr>
        <w:rFonts w:cs="Arial"/>
      </w:rPr>
      <w:tblPr/>
      <w:tcPr>
        <w:shd w:val="solid" w:color="000000" w:fill="FFFFFF"/>
      </w:tcPr>
    </w:tblStylePr>
    <w:tblStylePr w:type="swCell">
      <w:rPr>
        <w:rFonts w:cs="Arial"/>
        <w:b/>
        <w:bCs/>
        <w:i w:val="0"/>
        <w:iCs w:val="0"/>
      </w:rPr>
    </w:tblStylePr>
  </w:style>
  <w:style w:type="table" w:styleId="TableColorful2">
    <w:name w:val="Table Colorful 2"/>
    <w:basedOn w:val="TableNormal"/>
    <w:uiPriority w:val="99"/>
    <w:unhideWhenUsed/>
    <w:rsid w:val="00FA6A77"/>
    <w:pPr>
      <w:spacing w:after="0" w:line="240" w:lineRule="auto"/>
    </w:pPr>
    <w:rPr>
      <w:rFonts w:ascii="Arial Narrow" w:hAnsi="Arial Narrow" w:cs="Arial"/>
    </w:rPr>
    <w:tblPr>
      <w:tblInd w:w="0" w:type="nil"/>
      <w:tblBorders>
        <w:bottom w:val="single" w:sz="12" w:space="0" w:color="000000"/>
      </w:tblBorders>
    </w:tblPr>
    <w:tcPr>
      <w:shd w:val="pct20" w:color="FFFF00" w:fill="FFFFFF"/>
    </w:tcPr>
    <w:tblStylePr w:type="firstRow">
      <w:rPr>
        <w:rFonts w:cs="Arial"/>
        <w:b/>
        <w:bCs/>
        <w:i/>
        <w:iCs/>
        <w:color w:val="FFFFFF"/>
      </w:rPr>
      <w:tblPr/>
      <w:tcPr>
        <w:tcBorders>
          <w:bottom w:val="single" w:sz="12" w:space="0" w:color="000000"/>
        </w:tcBorders>
        <w:shd w:val="solid" w:color="800000" w:fill="FFFFFF"/>
      </w:tcPr>
    </w:tblStylePr>
    <w:tblStylePr w:type="firstCol">
      <w:rPr>
        <w:rFonts w:cs="Arial"/>
        <w:b/>
        <w:bCs/>
        <w:i/>
        <w:iCs/>
      </w:rPr>
    </w:tblStylePr>
    <w:tblStylePr w:type="lastCol">
      <w:rPr>
        <w:rFonts w:cs="Arial"/>
      </w:rPr>
      <w:tblPr/>
      <w:tcPr>
        <w:shd w:val="solid" w:color="C0C0C0" w:fill="FFFFFF"/>
      </w:tcPr>
    </w:tblStylePr>
    <w:tblStylePr w:type="swCell">
      <w:rPr>
        <w:rFonts w:cs="Arial"/>
        <w:b/>
        <w:bCs/>
        <w:i w:val="0"/>
        <w:iCs w:val="0"/>
      </w:rPr>
    </w:tblStylePr>
  </w:style>
  <w:style w:type="table" w:styleId="TableColorful3">
    <w:name w:val="Table Colorful 3"/>
    <w:basedOn w:val="TableNormal"/>
    <w:uiPriority w:val="99"/>
    <w:unhideWhenUsed/>
    <w:rsid w:val="00FA6A77"/>
    <w:pPr>
      <w:spacing w:after="0" w:line="240" w:lineRule="auto"/>
    </w:pPr>
    <w:rPr>
      <w:rFonts w:ascii="Arial Narrow" w:hAnsi="Arial Narrow" w:cs="Arial"/>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Arial"/>
      </w:rPr>
      <w:tblPr/>
      <w:tcPr>
        <w:tcBorders>
          <w:bottom w:val="single" w:sz="6" w:space="0" w:color="000000"/>
        </w:tcBorders>
        <w:shd w:val="solid" w:color="008080" w:fill="FFFFFF"/>
      </w:tcPr>
    </w:tblStylePr>
    <w:tblStylePr w:type="firstCol">
      <w:rPr>
        <w:rFonts w:cs="Arial"/>
      </w:rPr>
      <w:tblPr/>
      <w:tcPr>
        <w:tcBorders>
          <w:left w:val="single" w:sz="36" w:space="0" w:color="000000"/>
          <w:right w:val="single" w:sz="6" w:space="0" w:color="000000"/>
        </w:tcBorders>
        <w:shd w:val="solid" w:color="008080" w:fill="FFFFFF"/>
      </w:tcPr>
    </w:tblStylePr>
    <w:tblStylePr w:type="nwCell">
      <w:rPr>
        <w:rFonts w:cs="Arial"/>
        <w:b/>
        <w:bCs/>
        <w:color w:val="FFFFFF"/>
      </w:rPr>
      <w:tblPr/>
      <w:tcPr>
        <w:shd w:val="solid" w:color="000000" w:fill="FFFFFF"/>
      </w:tcPr>
    </w:tblStylePr>
  </w:style>
  <w:style w:type="table" w:styleId="TableColumns1">
    <w:name w:val="Table Columns 1"/>
    <w:basedOn w:val="TableNormal"/>
    <w:uiPriority w:val="99"/>
    <w:unhideWhenUsed/>
    <w:rsid w:val="00FA6A77"/>
    <w:pPr>
      <w:spacing w:after="0" w:line="240" w:lineRule="auto"/>
    </w:pPr>
    <w:rPr>
      <w:rFonts w:ascii="Arial Narrow" w:hAnsi="Arial Narrow" w:cs="Arial"/>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cPr>
      <w:shd w:val="pct25" w:color="000000" w:fill="FFFFFF"/>
    </w:tcPr>
    <w:tblStylePr w:type="firstRow">
      <w:rPr>
        <w:rFonts w:cs="Arial"/>
        <w:b w:val="0"/>
        <w:bCs w:val="0"/>
      </w:rPr>
      <w:tblPr/>
      <w:tcPr>
        <w:tcBorders>
          <w:bottom w:val="double" w:sz="6" w:space="0" w:color="000000"/>
        </w:tcBorders>
      </w:tcPr>
    </w:tblStylePr>
    <w:tblStylePr w:type="lastRow">
      <w:rPr>
        <w:rFonts w:cs="Arial"/>
        <w:b w:val="0"/>
        <w:bCs w:val="0"/>
      </w:rPr>
    </w:tblStylePr>
    <w:tblStylePr w:type="firstCol">
      <w:rPr>
        <w:rFonts w:cs="Arial"/>
        <w:b w:val="0"/>
        <w:bCs w:val="0"/>
      </w:rPr>
    </w:tblStylePr>
    <w:tblStylePr w:type="lastCol">
      <w:rPr>
        <w:rFonts w:cs="Arial"/>
        <w:b w:val="0"/>
        <w:bCs w:val="0"/>
      </w:rPr>
    </w:tblStylePr>
    <w:tblStylePr w:type="band2Vert">
      <w:rPr>
        <w:rFonts w:cs="Arial"/>
        <w:color w:val="auto"/>
      </w:rPr>
      <w:tblPr/>
      <w:tcPr>
        <w:shd w:val="pct25" w:color="FFFF00" w:fill="FFFFFF"/>
      </w:tcPr>
    </w:tblStylePr>
    <w:tblStylePr w:type="neCell">
      <w:rPr>
        <w:rFonts w:cs="Arial"/>
        <w:b/>
        <w:bCs/>
      </w:rPr>
    </w:tblStylePr>
    <w:tblStylePr w:type="swCell">
      <w:rPr>
        <w:rFonts w:cs="Arial"/>
        <w:b/>
        <w:bCs/>
      </w:rPr>
    </w:tblStylePr>
  </w:style>
  <w:style w:type="table" w:styleId="TableColumns2">
    <w:name w:val="Table Columns 2"/>
    <w:basedOn w:val="TableNormal"/>
    <w:uiPriority w:val="99"/>
    <w:unhideWhenUsed/>
    <w:rsid w:val="00FA6A77"/>
    <w:pPr>
      <w:spacing w:after="0" w:line="240" w:lineRule="auto"/>
    </w:pPr>
    <w:rPr>
      <w:rFonts w:ascii="Arial Narrow" w:hAnsi="Arial Narrow" w:cs="Arial"/>
      <w:b/>
      <w:bCs/>
    </w:rPr>
    <w:tblPr>
      <w:tblStyleColBandSize w:val="1"/>
      <w:tblInd w:w="0" w:type="nil"/>
    </w:tblPr>
    <w:tcPr>
      <w:shd w:val="pct30" w:color="000000" w:fill="FFFFFF"/>
    </w:tcPr>
    <w:tblStylePr w:type="firstRow">
      <w:rPr>
        <w:rFonts w:cs="Arial"/>
        <w:color w:val="FFFFFF"/>
      </w:rPr>
      <w:tblPr/>
      <w:tcPr>
        <w:shd w:val="solid" w:color="000080" w:fill="FFFFFF"/>
      </w:tcPr>
    </w:tblStylePr>
    <w:tblStylePr w:type="lastRow">
      <w:rPr>
        <w:rFonts w:cs="Arial"/>
        <w:b w:val="0"/>
        <w:bCs w:val="0"/>
      </w:rPr>
    </w:tblStylePr>
    <w:tblStylePr w:type="firstCol">
      <w:rPr>
        <w:rFonts w:cs="Arial"/>
        <w:b w:val="0"/>
        <w:bCs w:val="0"/>
        <w:color w:val="000000"/>
      </w:rPr>
    </w:tblStylePr>
    <w:tblStylePr w:type="lastCol">
      <w:rPr>
        <w:rFonts w:cs="Arial"/>
        <w:b w:val="0"/>
        <w:bCs w:val="0"/>
      </w:rPr>
    </w:tblStylePr>
    <w:tblStylePr w:type="band2Vert">
      <w:rPr>
        <w:rFonts w:cs="Arial"/>
        <w:color w:val="auto"/>
      </w:rPr>
      <w:tblPr/>
      <w:tcPr>
        <w:shd w:val="pct25" w:color="00FF00" w:fill="FFFFFF"/>
      </w:tcPr>
    </w:tblStylePr>
    <w:tblStylePr w:type="neCell">
      <w:rPr>
        <w:rFonts w:cs="Arial"/>
        <w:b/>
        <w:bCs/>
      </w:rPr>
    </w:tblStylePr>
    <w:tblStylePr w:type="swCell">
      <w:rPr>
        <w:rFonts w:cs="Arial"/>
        <w:b/>
        <w:bCs/>
      </w:rPr>
    </w:tblStylePr>
  </w:style>
  <w:style w:type="table" w:styleId="TableColumns3">
    <w:name w:val="Table Columns 3"/>
    <w:basedOn w:val="TableNormal"/>
    <w:uiPriority w:val="99"/>
    <w:unhideWhenUsed/>
    <w:rsid w:val="00FA6A77"/>
    <w:pPr>
      <w:spacing w:after="0" w:line="240" w:lineRule="auto"/>
    </w:pPr>
    <w:rPr>
      <w:rFonts w:ascii="Arial Narrow" w:hAnsi="Arial Narrow" w:cs="Arial"/>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cPr>
      <w:shd w:val="solid" w:color="C0C0C0" w:fill="FFFFFF"/>
    </w:tcPr>
    <w:tblStylePr w:type="firstRow">
      <w:rPr>
        <w:rFonts w:cs="Arial"/>
        <w:color w:val="FFFFFF"/>
      </w:rPr>
      <w:tblPr/>
      <w:tcPr>
        <w:shd w:val="solid" w:color="000080" w:fill="FFFFFF"/>
      </w:tcPr>
    </w:tblStylePr>
    <w:tblStylePr w:type="lastRow">
      <w:rPr>
        <w:rFonts w:cs="Arial"/>
        <w:b w:val="0"/>
        <w:bCs w:val="0"/>
      </w:rPr>
      <w:tblPr/>
      <w:tcPr>
        <w:tcBorders>
          <w:top w:val="single" w:sz="6" w:space="0" w:color="000080"/>
        </w:tcBorders>
      </w:tcPr>
    </w:tblStylePr>
    <w:tblStylePr w:type="firstCol">
      <w:rPr>
        <w:rFonts w:cs="Arial"/>
        <w:b w:val="0"/>
        <w:bCs w:val="0"/>
      </w:rPr>
    </w:tblStylePr>
    <w:tblStylePr w:type="lastCol">
      <w:rPr>
        <w:rFonts w:cs="Arial"/>
        <w:b w:val="0"/>
        <w:bCs w:val="0"/>
      </w:rPr>
    </w:tblStylePr>
    <w:tblStylePr w:type="band2Vert">
      <w:rPr>
        <w:rFonts w:cs="Arial"/>
        <w:color w:val="auto"/>
      </w:rPr>
      <w:tblPr/>
      <w:tcPr>
        <w:shd w:val="pct10" w:color="000000" w:fill="FFFFFF"/>
      </w:tcPr>
    </w:tblStylePr>
    <w:tblStylePr w:type="neCell">
      <w:rPr>
        <w:rFonts w:cs="Arial"/>
        <w:b/>
        <w:bCs/>
      </w:rPr>
    </w:tblStylePr>
  </w:style>
  <w:style w:type="table" w:styleId="TableColumns4">
    <w:name w:val="Table Columns 4"/>
    <w:basedOn w:val="TableNormal"/>
    <w:uiPriority w:val="99"/>
    <w:unhideWhenUsed/>
    <w:rsid w:val="00FA6A77"/>
    <w:pPr>
      <w:spacing w:after="0" w:line="240" w:lineRule="auto"/>
    </w:pPr>
    <w:rPr>
      <w:rFonts w:ascii="Arial Narrow" w:hAnsi="Arial Narrow" w:cs="Arial"/>
    </w:rPr>
    <w:tblPr>
      <w:tblStyleColBandSize w:val="1"/>
      <w:tblInd w:w="0" w:type="nil"/>
    </w:tblPr>
    <w:tcPr>
      <w:shd w:val="pct50" w:color="008080" w:fill="FFFFFF"/>
    </w:tcPr>
    <w:tblStylePr w:type="firstRow">
      <w:rPr>
        <w:rFonts w:cs="Arial"/>
        <w:color w:val="FFFFFF"/>
      </w:rPr>
      <w:tblPr/>
      <w:tcPr>
        <w:shd w:val="solid" w:color="000000" w:fill="FFFFFF"/>
      </w:tcPr>
    </w:tblStylePr>
    <w:tblStylePr w:type="lastRow">
      <w:rPr>
        <w:rFonts w:cs="Arial"/>
        <w:b/>
        <w:bCs/>
      </w:rPr>
    </w:tblStylePr>
    <w:tblStylePr w:type="lastCol">
      <w:rPr>
        <w:rFonts w:cs="Arial"/>
        <w:b/>
        <w:bCs/>
      </w:rPr>
    </w:tblStylePr>
    <w:tblStylePr w:type="band2Vert">
      <w:rPr>
        <w:rFonts w:cs="Arial"/>
        <w:color w:val="auto"/>
      </w:rPr>
      <w:tblPr/>
      <w:tcPr>
        <w:shd w:val="pct10" w:color="000000" w:fill="FFFFFF"/>
      </w:tcPr>
    </w:tblStylePr>
  </w:style>
  <w:style w:type="table" w:styleId="TableColumns5">
    <w:name w:val="Table Columns 5"/>
    <w:basedOn w:val="TableNormal"/>
    <w:uiPriority w:val="99"/>
    <w:unhideWhenUsed/>
    <w:rsid w:val="00FA6A77"/>
    <w:pPr>
      <w:spacing w:after="0" w:line="240" w:lineRule="auto"/>
    </w:pPr>
    <w:rPr>
      <w:rFonts w:ascii="Arial Narrow" w:hAnsi="Arial Narrow" w:cs="Arial"/>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cPr>
      <w:shd w:val="solid" w:color="C0C0C0" w:fill="FFFFFF"/>
    </w:tcPr>
    <w:tblStylePr w:type="firstRow">
      <w:rPr>
        <w:rFonts w:cs="Arial"/>
        <w:b/>
        <w:bCs/>
        <w:i/>
        <w:iCs/>
      </w:rPr>
      <w:tblPr/>
      <w:tcPr>
        <w:tcBorders>
          <w:bottom w:val="single" w:sz="6" w:space="0" w:color="808080"/>
        </w:tcBorders>
      </w:tcPr>
    </w:tblStylePr>
    <w:tblStylePr w:type="lastRow">
      <w:rPr>
        <w:rFonts w:cs="Arial"/>
        <w:b/>
        <w:bCs/>
      </w:rPr>
      <w:tblPr/>
      <w:tcPr>
        <w:tcBorders>
          <w:top w:val="single" w:sz="6" w:space="0" w:color="808080"/>
        </w:tcBorders>
      </w:tcPr>
    </w:tblStylePr>
    <w:tblStylePr w:type="firstCol">
      <w:rPr>
        <w:rFonts w:cs="Arial"/>
        <w:b/>
        <w:bCs/>
      </w:rPr>
    </w:tblStylePr>
    <w:tblStylePr w:type="lastCol">
      <w:rPr>
        <w:rFonts w:cs="Arial"/>
        <w:b/>
        <w:bCs/>
      </w:rPr>
    </w:tblStylePr>
    <w:tblStylePr w:type="band2Vert">
      <w:rPr>
        <w:rFonts w:cs="Arial"/>
        <w:color w:val="auto"/>
      </w:rPr>
    </w:tblStylePr>
  </w:style>
  <w:style w:type="table" w:styleId="TableGrid1">
    <w:name w:val="Table Grid 1"/>
    <w:basedOn w:val="TableNormal"/>
    <w:uiPriority w:val="99"/>
    <w:unhideWhenUsed/>
    <w:rsid w:val="00FA6A77"/>
    <w:pPr>
      <w:spacing w:after="0" w:line="240" w:lineRule="auto"/>
    </w:pPr>
    <w:rPr>
      <w:rFonts w:ascii="Arial Narrow" w:hAnsi="Arial Narrow" w:cs="Arial"/>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Arial"/>
        <w:i/>
        <w:iCs/>
      </w:rPr>
    </w:tblStylePr>
    <w:tblStylePr w:type="lastCol">
      <w:rPr>
        <w:rFonts w:cs="Arial"/>
        <w:i/>
        <w:iCs/>
      </w:rPr>
    </w:tblStylePr>
  </w:style>
  <w:style w:type="table" w:styleId="TableGrid2">
    <w:name w:val="Table Grid 2"/>
    <w:basedOn w:val="TableNormal"/>
    <w:uiPriority w:val="99"/>
    <w:unhideWhenUsed/>
    <w:rsid w:val="00FA6A77"/>
    <w:pPr>
      <w:spacing w:after="0" w:line="240" w:lineRule="auto"/>
    </w:pPr>
    <w:rPr>
      <w:rFonts w:ascii="Arial Narrow" w:hAnsi="Arial Narrow" w:cs="Arial"/>
    </w:rPr>
    <w:tblPr>
      <w:tblInd w:w="0" w:type="nil"/>
      <w:tblBorders>
        <w:insideH w:val="single" w:sz="6" w:space="0" w:color="000000"/>
        <w:insideV w:val="single" w:sz="6" w:space="0" w:color="000000"/>
      </w:tblBorders>
    </w:tblPr>
    <w:tblStylePr w:type="firstRow">
      <w:rPr>
        <w:rFonts w:cs="Arial"/>
        <w:b/>
        <w:bCs/>
      </w:rPr>
    </w:tblStylePr>
    <w:tblStylePr w:type="lastRow">
      <w:rPr>
        <w:rFonts w:cs="Arial"/>
        <w:b/>
        <w:bCs/>
      </w:rPr>
      <w:tblPr/>
      <w:tcPr>
        <w:tcBorders>
          <w:top w:val="single" w:sz="6" w:space="0" w:color="000000"/>
        </w:tcBorders>
      </w:tcPr>
    </w:tblStylePr>
    <w:tblStylePr w:type="firstCol">
      <w:rPr>
        <w:rFonts w:cs="Arial"/>
        <w:b/>
        <w:bCs/>
      </w:rPr>
    </w:tblStylePr>
    <w:tblStylePr w:type="lastCol">
      <w:rPr>
        <w:rFonts w:cs="Arial"/>
        <w:b/>
        <w:bCs/>
      </w:rPr>
    </w:tblStylePr>
  </w:style>
  <w:style w:type="table" w:styleId="TableGrid3">
    <w:name w:val="Table Grid 3"/>
    <w:basedOn w:val="TableNormal"/>
    <w:uiPriority w:val="99"/>
    <w:unhideWhenUsed/>
    <w:rsid w:val="00FA6A77"/>
    <w:pPr>
      <w:spacing w:after="0" w:line="240" w:lineRule="auto"/>
    </w:pPr>
    <w:rPr>
      <w:rFonts w:ascii="Arial Narrow" w:hAnsi="Arial Narrow" w:cs="Arial"/>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Arial"/>
      </w:rPr>
      <w:tblPr/>
      <w:tcPr>
        <w:tcBorders>
          <w:bottom w:val="single" w:sz="6" w:space="0" w:color="000000"/>
        </w:tcBorders>
        <w:shd w:val="pct30" w:color="FFFF00" w:fill="FFFFFF"/>
      </w:tcPr>
    </w:tblStylePr>
    <w:tblStylePr w:type="lastRow">
      <w:rPr>
        <w:rFonts w:cs="Arial"/>
        <w:b/>
        <w:bCs/>
      </w:rPr>
    </w:tblStylePr>
    <w:tblStylePr w:type="lastCol">
      <w:rPr>
        <w:rFonts w:cs="Arial"/>
        <w:b/>
        <w:bCs/>
      </w:rPr>
    </w:tblStylePr>
  </w:style>
  <w:style w:type="table" w:styleId="TableGrid4">
    <w:name w:val="Table Grid 4"/>
    <w:basedOn w:val="TableNormal"/>
    <w:uiPriority w:val="99"/>
    <w:unhideWhenUsed/>
    <w:rsid w:val="00FA6A77"/>
    <w:pPr>
      <w:spacing w:after="0" w:line="240" w:lineRule="auto"/>
    </w:pPr>
    <w:rPr>
      <w:rFonts w:ascii="Arial Narrow" w:hAnsi="Arial Narrow" w:cs="Arial"/>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cs="Arial"/>
        <w:color w:val="auto"/>
      </w:rPr>
      <w:tblPr/>
      <w:tcPr>
        <w:tcBorders>
          <w:bottom w:val="single" w:sz="6" w:space="0" w:color="000000"/>
        </w:tcBorders>
        <w:shd w:val="pct30" w:color="FFFF00" w:fill="FFFFFF"/>
      </w:tcPr>
    </w:tblStylePr>
    <w:tblStylePr w:type="lastRow">
      <w:rPr>
        <w:rFonts w:cs="Arial"/>
        <w:b/>
        <w:bCs/>
        <w:color w:val="auto"/>
      </w:rPr>
      <w:tblPr/>
      <w:tcPr>
        <w:tcBorders>
          <w:top w:val="single" w:sz="6" w:space="0" w:color="000000"/>
        </w:tcBorders>
        <w:shd w:val="pct30" w:color="FFFF00" w:fill="FFFFFF"/>
      </w:tcPr>
    </w:tblStylePr>
    <w:tblStylePr w:type="lastCol">
      <w:rPr>
        <w:rFonts w:cs="Arial"/>
        <w:b/>
        <w:bCs/>
        <w:color w:val="auto"/>
      </w:rPr>
    </w:tblStylePr>
  </w:style>
  <w:style w:type="table" w:styleId="TableGrid5">
    <w:name w:val="Table Grid 5"/>
    <w:basedOn w:val="TableNormal"/>
    <w:uiPriority w:val="99"/>
    <w:unhideWhenUsed/>
    <w:rsid w:val="00FA6A77"/>
    <w:pPr>
      <w:spacing w:after="0" w:line="240" w:lineRule="auto"/>
    </w:pPr>
    <w:rPr>
      <w:rFonts w:ascii="Arial Narrow" w:hAnsi="Arial Narrow" w:cs="Arial"/>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Arial"/>
      </w:rPr>
      <w:tblPr/>
      <w:tcPr>
        <w:tcBorders>
          <w:bottom w:val="single" w:sz="12" w:space="0" w:color="000000"/>
        </w:tcBorders>
      </w:tcPr>
    </w:tblStylePr>
    <w:tblStylePr w:type="lastRow">
      <w:rPr>
        <w:rFonts w:cs="Arial"/>
        <w:b/>
        <w:bCs/>
      </w:rPr>
    </w:tblStylePr>
    <w:tblStylePr w:type="lastCol">
      <w:rPr>
        <w:rFonts w:cs="Arial"/>
        <w:b/>
        <w:bCs/>
      </w:rPr>
    </w:tblStylePr>
    <w:tblStylePr w:type="nwCell">
      <w:rPr>
        <w:rFonts w:cs="Arial"/>
      </w:rPr>
      <w:tblPr/>
      <w:tcPr>
        <w:tcBorders>
          <w:tl2br w:val="single" w:sz="6" w:space="0" w:color="000000"/>
        </w:tcBorders>
      </w:tcPr>
    </w:tblStylePr>
  </w:style>
  <w:style w:type="table" w:styleId="TableGrid6">
    <w:name w:val="Table Grid 6"/>
    <w:basedOn w:val="TableNormal"/>
    <w:uiPriority w:val="99"/>
    <w:unhideWhenUsed/>
    <w:rsid w:val="00FA6A77"/>
    <w:pPr>
      <w:spacing w:after="0" w:line="240" w:lineRule="auto"/>
    </w:pPr>
    <w:rPr>
      <w:rFonts w:ascii="Arial Narrow" w:hAnsi="Arial Narrow" w:cs="Arial"/>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Arial"/>
        <w:b/>
        <w:bCs/>
      </w:rPr>
      <w:tblPr/>
      <w:tcPr>
        <w:tcBorders>
          <w:bottom w:val="single" w:sz="6" w:space="0" w:color="000000"/>
        </w:tcBorders>
      </w:tcPr>
    </w:tblStylePr>
    <w:tblStylePr w:type="lastRow">
      <w:rPr>
        <w:rFonts w:cs="Arial"/>
        <w:color w:val="auto"/>
      </w:rPr>
      <w:tblPr/>
      <w:tcPr>
        <w:tcBorders>
          <w:top w:val="single" w:sz="6" w:space="0" w:color="000000"/>
        </w:tcBorders>
      </w:tcPr>
    </w:tblStylePr>
    <w:tblStylePr w:type="firstCol">
      <w:rPr>
        <w:rFonts w:cs="Arial"/>
        <w:b/>
        <w:bCs/>
      </w:rPr>
    </w:tblStylePr>
    <w:tblStylePr w:type="nwCell">
      <w:rPr>
        <w:rFonts w:cs="Arial"/>
      </w:rPr>
      <w:tblPr/>
      <w:tcPr>
        <w:tcBorders>
          <w:tl2br w:val="single" w:sz="6" w:space="0" w:color="000000"/>
        </w:tcBorders>
      </w:tcPr>
    </w:tblStylePr>
  </w:style>
  <w:style w:type="table" w:styleId="TableGrid7">
    <w:name w:val="Table Grid 7"/>
    <w:basedOn w:val="TableNormal"/>
    <w:uiPriority w:val="99"/>
    <w:unhideWhenUsed/>
    <w:rsid w:val="00FA6A77"/>
    <w:pPr>
      <w:spacing w:after="0" w:line="240" w:lineRule="auto"/>
    </w:pPr>
    <w:rPr>
      <w:rFonts w:ascii="Arial Narrow" w:hAnsi="Arial Narrow" w:cs="Arial"/>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Arial"/>
        <w:b w:val="0"/>
        <w:bCs w:val="0"/>
      </w:rPr>
      <w:tblPr/>
      <w:tcPr>
        <w:tcBorders>
          <w:bottom w:val="single" w:sz="12" w:space="0" w:color="000000"/>
        </w:tcBorders>
      </w:tcPr>
    </w:tblStylePr>
    <w:tblStylePr w:type="lastRow">
      <w:rPr>
        <w:rFonts w:cs="Arial"/>
        <w:b w:val="0"/>
        <w:bCs w:val="0"/>
      </w:rPr>
      <w:tblPr/>
      <w:tcPr>
        <w:tcBorders>
          <w:top w:val="single" w:sz="6" w:space="0" w:color="000000"/>
        </w:tcBorders>
      </w:tcPr>
    </w:tblStylePr>
    <w:tblStylePr w:type="firstCol">
      <w:rPr>
        <w:rFonts w:cs="Arial"/>
        <w:b w:val="0"/>
        <w:bCs w:val="0"/>
      </w:rPr>
    </w:tblStylePr>
    <w:tblStylePr w:type="lastCol">
      <w:rPr>
        <w:rFonts w:cs="Arial"/>
        <w:b w:val="0"/>
        <w:bCs w:val="0"/>
      </w:rPr>
    </w:tblStylePr>
    <w:tblStylePr w:type="nwCell">
      <w:rPr>
        <w:rFonts w:cs="Arial"/>
      </w:rPr>
      <w:tblPr/>
      <w:tcPr>
        <w:tcBorders>
          <w:tl2br w:val="single" w:sz="6" w:space="0" w:color="000000"/>
        </w:tcBorders>
      </w:tcPr>
    </w:tblStylePr>
  </w:style>
  <w:style w:type="table" w:styleId="TableGrid8">
    <w:name w:val="Table Grid 8"/>
    <w:basedOn w:val="TableNormal"/>
    <w:uiPriority w:val="99"/>
    <w:unhideWhenUsed/>
    <w:rsid w:val="00FA6A77"/>
    <w:pPr>
      <w:spacing w:after="0" w:line="240" w:lineRule="auto"/>
    </w:pPr>
    <w:rPr>
      <w:rFonts w:ascii="Arial Narrow" w:hAnsi="Arial Narrow" w:cs="Arial"/>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rial"/>
        <w:b/>
        <w:bCs/>
        <w:color w:val="FFFFFF"/>
      </w:rPr>
      <w:tblPr/>
      <w:tcPr>
        <w:shd w:val="solid" w:color="000080" w:fill="FFFFFF"/>
      </w:tcPr>
    </w:tblStylePr>
    <w:tblStylePr w:type="lastRow">
      <w:rPr>
        <w:rFonts w:cs="Arial"/>
        <w:b/>
        <w:bCs/>
        <w:color w:val="auto"/>
      </w:rPr>
    </w:tblStylePr>
    <w:tblStylePr w:type="lastCol">
      <w:rPr>
        <w:rFonts w:cs="Arial"/>
        <w:b/>
        <w:bCs/>
        <w:color w:val="auto"/>
      </w:rPr>
    </w:tblStylePr>
  </w:style>
  <w:style w:type="table" w:styleId="TableList1">
    <w:name w:val="Table List 1"/>
    <w:basedOn w:val="TableNormal"/>
    <w:uiPriority w:val="99"/>
    <w:unhideWhenUsed/>
    <w:rsid w:val="00FA6A77"/>
    <w:pPr>
      <w:spacing w:after="0" w:line="240" w:lineRule="auto"/>
    </w:pPr>
    <w:rPr>
      <w:rFonts w:ascii="Arial Narrow" w:hAnsi="Arial Narrow" w:cs="Arial"/>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Arial"/>
        <w:b/>
        <w:bCs/>
        <w:i/>
        <w:iCs/>
        <w:color w:val="800000"/>
      </w:rPr>
      <w:tblPr/>
      <w:tcPr>
        <w:tcBorders>
          <w:bottom w:val="single" w:sz="6" w:space="0" w:color="000000"/>
        </w:tcBorders>
        <w:shd w:val="solid" w:color="C0C0C0" w:fill="FFFFFF"/>
      </w:tcPr>
    </w:tblStylePr>
    <w:tblStylePr w:type="lastRow">
      <w:rPr>
        <w:rFonts w:cs="Arial"/>
      </w:rPr>
      <w:tblPr/>
      <w:tcPr>
        <w:tcBorders>
          <w:top w:val="single" w:sz="6" w:space="0" w:color="000000"/>
        </w:tcBorders>
      </w:tcPr>
    </w:tblStylePr>
    <w:tblStylePr w:type="band1Horz">
      <w:rPr>
        <w:rFonts w:cs="Arial"/>
        <w:color w:val="auto"/>
      </w:rPr>
      <w:tblPr/>
      <w:tcPr>
        <w:shd w:val="solid" w:color="C0C0C0" w:fill="FFFFFF"/>
      </w:tcPr>
    </w:tblStylePr>
    <w:tblStylePr w:type="band2Horz">
      <w:rPr>
        <w:rFonts w:cs="Arial"/>
        <w:color w:val="auto"/>
      </w:rPr>
    </w:tblStylePr>
    <w:tblStylePr w:type="swCell">
      <w:rPr>
        <w:rFonts w:cs="Arial"/>
        <w:b/>
        <w:bCs/>
      </w:rPr>
    </w:tblStylePr>
  </w:style>
  <w:style w:type="table" w:styleId="TableList2">
    <w:name w:val="Table List 2"/>
    <w:basedOn w:val="TableNormal"/>
    <w:uiPriority w:val="99"/>
    <w:unhideWhenUsed/>
    <w:rsid w:val="00FA6A77"/>
    <w:pPr>
      <w:spacing w:after="0" w:line="240" w:lineRule="auto"/>
    </w:pPr>
    <w:rPr>
      <w:rFonts w:ascii="Arial Narrow" w:hAnsi="Arial Narrow" w:cs="Arial"/>
    </w:rPr>
    <w:tblPr>
      <w:tblStyleRowBandSize w:val="2"/>
      <w:tblInd w:w="0" w:type="nil"/>
      <w:tblBorders>
        <w:bottom w:val="single" w:sz="12" w:space="0" w:color="808080"/>
      </w:tblBorders>
    </w:tblPr>
    <w:tblStylePr w:type="firstRow">
      <w:rPr>
        <w:rFonts w:cs="Arial"/>
        <w:b/>
        <w:bCs/>
        <w:color w:val="FFFFFF"/>
      </w:rPr>
      <w:tblPr/>
      <w:tcPr>
        <w:tcBorders>
          <w:bottom w:val="single" w:sz="6" w:space="0" w:color="000000"/>
        </w:tcBorders>
        <w:shd w:val="pct75" w:color="008080" w:fill="008000"/>
      </w:tcPr>
    </w:tblStylePr>
    <w:tblStylePr w:type="lastRow">
      <w:rPr>
        <w:rFonts w:cs="Arial"/>
      </w:rPr>
      <w:tblPr/>
      <w:tcPr>
        <w:tcBorders>
          <w:top w:val="single" w:sz="6" w:space="0" w:color="000000"/>
        </w:tcBorders>
      </w:tcPr>
    </w:tblStylePr>
    <w:tblStylePr w:type="band1Horz">
      <w:rPr>
        <w:rFonts w:cs="Arial"/>
        <w:color w:val="auto"/>
      </w:rPr>
      <w:tblPr/>
      <w:tcPr>
        <w:shd w:val="pct20" w:color="00FF00" w:fill="FFFFFF"/>
      </w:tcPr>
    </w:tblStylePr>
    <w:tblStylePr w:type="band2Horz">
      <w:rPr>
        <w:rFonts w:cs="Arial"/>
        <w:color w:val="auto"/>
      </w:rPr>
    </w:tblStylePr>
    <w:tblStylePr w:type="swCell">
      <w:rPr>
        <w:rFonts w:cs="Arial"/>
        <w:b/>
        <w:bCs/>
      </w:rPr>
    </w:tblStylePr>
  </w:style>
  <w:style w:type="table" w:styleId="TableList3">
    <w:name w:val="Table List 3"/>
    <w:basedOn w:val="TableNormal"/>
    <w:uiPriority w:val="99"/>
    <w:unhideWhenUsed/>
    <w:rsid w:val="00FA6A77"/>
    <w:pPr>
      <w:spacing w:after="0" w:line="240" w:lineRule="auto"/>
    </w:pPr>
    <w:rPr>
      <w:rFonts w:ascii="Arial Narrow" w:hAnsi="Arial Narrow" w:cs="Arial"/>
    </w:rPr>
    <w:tblPr>
      <w:tblInd w:w="0" w:type="nil"/>
      <w:tblBorders>
        <w:top w:val="single" w:sz="12" w:space="0" w:color="000000"/>
        <w:bottom w:val="single" w:sz="12" w:space="0" w:color="000000"/>
        <w:insideH w:val="single" w:sz="6" w:space="0" w:color="000000"/>
      </w:tblBorders>
    </w:tblPr>
    <w:tblStylePr w:type="firstRow">
      <w:rPr>
        <w:rFonts w:cs="Arial"/>
        <w:b/>
        <w:bCs/>
        <w:color w:val="000080"/>
      </w:rPr>
      <w:tblPr/>
      <w:tcPr>
        <w:tcBorders>
          <w:bottom w:val="single" w:sz="12" w:space="0" w:color="000000"/>
        </w:tcBorders>
      </w:tcPr>
    </w:tblStylePr>
    <w:tblStylePr w:type="lastRow">
      <w:rPr>
        <w:rFonts w:cs="Arial"/>
      </w:rPr>
      <w:tblPr/>
      <w:tcPr>
        <w:tcBorders>
          <w:top w:val="single" w:sz="12" w:space="0" w:color="000000"/>
        </w:tcBorders>
      </w:tcPr>
    </w:tblStylePr>
    <w:tblStylePr w:type="swCell">
      <w:rPr>
        <w:rFonts w:cs="Arial"/>
        <w:i/>
        <w:iCs/>
        <w:color w:val="000080"/>
      </w:rPr>
    </w:tblStylePr>
  </w:style>
  <w:style w:type="table" w:styleId="TableList4">
    <w:name w:val="Table List 4"/>
    <w:basedOn w:val="TableNormal"/>
    <w:uiPriority w:val="99"/>
    <w:unhideWhenUsed/>
    <w:rsid w:val="00FA6A77"/>
    <w:pPr>
      <w:spacing w:after="0" w:line="240" w:lineRule="auto"/>
    </w:pPr>
    <w:rPr>
      <w:rFonts w:ascii="Arial Narrow" w:hAnsi="Arial Narrow" w:cs="Arial"/>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Arial"/>
        <w:b/>
        <w:bCs/>
        <w:color w:val="FFFFFF"/>
      </w:rPr>
      <w:tblPr/>
      <w:tcPr>
        <w:tcBorders>
          <w:bottom w:val="single" w:sz="12" w:space="0" w:color="000000"/>
        </w:tcBorders>
        <w:shd w:val="solid" w:color="808080" w:fill="FFFFFF"/>
      </w:tcPr>
    </w:tblStylePr>
  </w:style>
  <w:style w:type="table" w:styleId="TableList5">
    <w:name w:val="Table List 5"/>
    <w:basedOn w:val="TableNormal"/>
    <w:uiPriority w:val="99"/>
    <w:unhideWhenUsed/>
    <w:rsid w:val="00FA6A77"/>
    <w:pPr>
      <w:spacing w:after="0" w:line="240" w:lineRule="auto"/>
    </w:pPr>
    <w:rPr>
      <w:rFonts w:ascii="Arial Narrow" w:hAnsi="Arial Narrow" w:cs="Arial"/>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Arial"/>
        <w:b/>
        <w:bCs/>
      </w:rPr>
      <w:tblPr/>
      <w:tcPr>
        <w:tcBorders>
          <w:bottom w:val="single" w:sz="12" w:space="0" w:color="000000"/>
        </w:tcBorders>
      </w:tcPr>
    </w:tblStylePr>
    <w:tblStylePr w:type="firstCol">
      <w:rPr>
        <w:rFonts w:cs="Arial"/>
        <w:b/>
        <w:bCs/>
      </w:rPr>
    </w:tblStylePr>
  </w:style>
  <w:style w:type="table" w:styleId="TableList6">
    <w:name w:val="Table List 6"/>
    <w:basedOn w:val="TableNormal"/>
    <w:uiPriority w:val="99"/>
    <w:unhideWhenUsed/>
    <w:rsid w:val="00FA6A77"/>
    <w:pPr>
      <w:spacing w:after="0" w:line="240" w:lineRule="auto"/>
    </w:pPr>
    <w:rPr>
      <w:rFonts w:ascii="Arial Narrow" w:hAnsi="Arial Narrow" w:cs="Arial"/>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Arial"/>
        <w:b/>
        <w:bCs/>
      </w:rPr>
      <w:tblPr/>
      <w:tcPr>
        <w:tcBorders>
          <w:bottom w:val="single" w:sz="12" w:space="0" w:color="000000"/>
        </w:tcBorders>
      </w:tcPr>
    </w:tblStylePr>
    <w:tblStylePr w:type="firstCol">
      <w:rPr>
        <w:rFonts w:cs="Arial"/>
        <w:b/>
        <w:bCs/>
      </w:rPr>
      <w:tblPr/>
      <w:tcPr>
        <w:tcBorders>
          <w:right w:val="single" w:sz="12" w:space="0" w:color="000000"/>
        </w:tcBorders>
      </w:tcPr>
    </w:tblStylePr>
    <w:tblStylePr w:type="band1Horz">
      <w:rPr>
        <w:rFonts w:cs="Arial"/>
      </w:rPr>
      <w:tblPr/>
      <w:tcPr>
        <w:shd w:val="pct25" w:color="000000" w:fill="FFFFFF"/>
      </w:tcPr>
    </w:tblStylePr>
  </w:style>
  <w:style w:type="table" w:styleId="TableList7">
    <w:name w:val="Table List 7"/>
    <w:basedOn w:val="TableNormal"/>
    <w:uiPriority w:val="99"/>
    <w:unhideWhenUsed/>
    <w:rsid w:val="00FA6A77"/>
    <w:pPr>
      <w:spacing w:after="0" w:line="240" w:lineRule="auto"/>
    </w:pPr>
    <w:rPr>
      <w:rFonts w:ascii="Arial Narrow" w:hAnsi="Arial Narrow" w:cs="Arial"/>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Arial"/>
        <w:b/>
        <w:bCs/>
      </w:rPr>
      <w:tblPr/>
      <w:tcPr>
        <w:tcBorders>
          <w:bottom w:val="single" w:sz="12" w:space="0" w:color="008000"/>
        </w:tcBorders>
        <w:shd w:val="solid" w:color="C0C0C0" w:fill="FFFFFF"/>
      </w:tcPr>
    </w:tblStylePr>
    <w:tblStylePr w:type="lastRow">
      <w:rPr>
        <w:rFonts w:cs="Arial"/>
        <w:b/>
        <w:bCs/>
      </w:rPr>
      <w:tblPr/>
      <w:tcPr>
        <w:tcBorders>
          <w:top w:val="single" w:sz="12" w:space="0" w:color="008000"/>
        </w:tcBorders>
      </w:tcPr>
    </w:tblStylePr>
    <w:tblStylePr w:type="firstCol">
      <w:rPr>
        <w:rFonts w:cs="Arial"/>
        <w:b/>
        <w:bCs/>
      </w:rPr>
    </w:tblStylePr>
    <w:tblStylePr w:type="lastCol">
      <w:rPr>
        <w:rFonts w:cs="Arial"/>
        <w:b/>
        <w:bCs/>
      </w:rPr>
    </w:tblStylePr>
    <w:tblStylePr w:type="band1Horz">
      <w:rPr>
        <w:rFonts w:cs="Arial"/>
        <w:color w:val="auto"/>
      </w:rPr>
      <w:tblPr/>
      <w:tcPr>
        <w:shd w:val="pct20" w:color="000000" w:fill="FFFFFF"/>
      </w:tcPr>
    </w:tblStylePr>
    <w:tblStylePr w:type="band2Horz">
      <w:rPr>
        <w:rFonts w:cs="Arial"/>
      </w:rPr>
      <w:tblPr/>
      <w:tcPr>
        <w:shd w:val="pct25" w:color="FFFF00" w:fill="FFFFFF"/>
      </w:tcPr>
    </w:tblStylePr>
  </w:style>
  <w:style w:type="table" w:styleId="TableList8">
    <w:name w:val="Table List 8"/>
    <w:basedOn w:val="TableNormal"/>
    <w:uiPriority w:val="99"/>
    <w:unhideWhenUsed/>
    <w:rsid w:val="00FA6A77"/>
    <w:pPr>
      <w:spacing w:after="0" w:line="240" w:lineRule="auto"/>
    </w:pPr>
    <w:rPr>
      <w:rFonts w:ascii="Arial Narrow" w:hAnsi="Arial Narrow" w:cs="Arial"/>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Arial"/>
        <w:b/>
        <w:bCs/>
        <w:i/>
        <w:iCs/>
      </w:rPr>
      <w:tblPr/>
      <w:tcPr>
        <w:tcBorders>
          <w:bottom w:val="single" w:sz="6" w:space="0" w:color="000000"/>
        </w:tcBorders>
        <w:shd w:val="solid" w:color="FFFF00" w:fill="FFFFFF"/>
      </w:tcPr>
    </w:tblStylePr>
    <w:tblStylePr w:type="lastRow">
      <w:rPr>
        <w:rFonts w:cs="Arial"/>
        <w:b/>
        <w:bCs/>
      </w:rPr>
      <w:tblPr/>
      <w:tcPr>
        <w:tcBorders>
          <w:top w:val="single" w:sz="6" w:space="0" w:color="000000"/>
        </w:tcBorders>
      </w:tcPr>
    </w:tblStylePr>
    <w:tblStylePr w:type="firstCol">
      <w:rPr>
        <w:rFonts w:cs="Arial"/>
        <w:b/>
        <w:bCs/>
      </w:rPr>
    </w:tblStylePr>
    <w:tblStylePr w:type="lastCol">
      <w:rPr>
        <w:rFonts w:cs="Arial"/>
        <w:b/>
        <w:bCs/>
      </w:rPr>
    </w:tblStylePr>
    <w:tblStylePr w:type="band1Horz">
      <w:rPr>
        <w:rFonts w:cs="Arial"/>
        <w:color w:val="auto"/>
      </w:rPr>
      <w:tblPr/>
      <w:tcPr>
        <w:shd w:val="pct25" w:color="FFFF00" w:fill="FFFFFF"/>
      </w:tcPr>
    </w:tblStylePr>
    <w:tblStylePr w:type="band2Horz">
      <w:rPr>
        <w:rFonts w:cs="Arial"/>
      </w:rPr>
      <w:tblPr/>
      <w:tcPr>
        <w:shd w:val="pct50" w:color="FF0000" w:fill="FFFFFF"/>
      </w:tcPr>
    </w:tblStylePr>
  </w:style>
  <w:style w:type="table" w:styleId="Table3Deffects1">
    <w:name w:val="Table 3D effects 1"/>
    <w:basedOn w:val="TableNormal"/>
    <w:uiPriority w:val="99"/>
    <w:unhideWhenUsed/>
    <w:rsid w:val="00FA6A77"/>
    <w:pPr>
      <w:spacing w:after="0" w:line="240" w:lineRule="auto"/>
    </w:pPr>
    <w:rPr>
      <w:rFonts w:ascii="Arial Narrow" w:hAnsi="Arial Narrow" w:cs="Arial"/>
    </w:rPr>
    <w:tblPr>
      <w:tblInd w:w="0" w:type="nil"/>
    </w:tblPr>
    <w:tcPr>
      <w:shd w:val="solid" w:color="C0C0C0" w:fill="FFFFFF"/>
    </w:tcPr>
    <w:tblStylePr w:type="firstRow">
      <w:rPr>
        <w:rFonts w:cs="Arial"/>
        <w:b/>
        <w:bCs/>
        <w:color w:val="800080"/>
      </w:rPr>
      <w:tblPr/>
      <w:tcPr>
        <w:tcBorders>
          <w:bottom w:val="single" w:sz="6" w:space="0" w:color="808080"/>
        </w:tcBorders>
      </w:tcPr>
    </w:tblStylePr>
    <w:tblStylePr w:type="lastRow">
      <w:rPr>
        <w:rFonts w:cs="Arial"/>
      </w:rPr>
      <w:tblPr/>
      <w:tcPr>
        <w:tcBorders>
          <w:top w:val="single" w:sz="6" w:space="0" w:color="FFFFFF"/>
        </w:tcBorders>
      </w:tcPr>
    </w:tblStylePr>
    <w:tblStylePr w:type="firstCol">
      <w:rPr>
        <w:rFonts w:cs="Arial"/>
        <w:b/>
        <w:bCs/>
      </w:rPr>
      <w:tblPr/>
      <w:tcPr>
        <w:tcBorders>
          <w:right w:val="single" w:sz="6" w:space="0" w:color="808080"/>
        </w:tcBorders>
      </w:tcPr>
    </w:tblStylePr>
    <w:tblStylePr w:type="lastCol">
      <w:rPr>
        <w:rFonts w:cs="Arial"/>
      </w:rPr>
      <w:tblPr/>
      <w:tcPr>
        <w:tcBorders>
          <w:left w:val="single" w:sz="6" w:space="0" w:color="FFFFFF"/>
        </w:tcBorders>
      </w:tcPr>
    </w:tblStylePr>
    <w:tblStylePr w:type="neCell">
      <w:rPr>
        <w:rFonts w:cs="Arial"/>
      </w:rPr>
      <w:tblPr/>
      <w:tcPr>
        <w:tcBorders>
          <w:left w:val="none" w:sz="6" w:space="0" w:color="auto"/>
          <w:bottom w:val="none" w:sz="6" w:space="0" w:color="auto"/>
        </w:tcBorders>
      </w:tcPr>
    </w:tblStylePr>
    <w:tblStylePr w:type="nwCell">
      <w:rPr>
        <w:rFonts w:cs="Arial"/>
      </w:rPr>
      <w:tblPr/>
      <w:tcPr>
        <w:tcBorders>
          <w:bottom w:val="none" w:sz="6" w:space="0" w:color="auto"/>
          <w:right w:val="none" w:sz="6" w:space="0" w:color="auto"/>
        </w:tcBorders>
      </w:tcPr>
    </w:tblStylePr>
    <w:tblStylePr w:type="seCell">
      <w:rPr>
        <w:rFonts w:cs="Arial"/>
      </w:rPr>
      <w:tblPr/>
      <w:tcPr>
        <w:tcBorders>
          <w:top w:val="none" w:sz="6" w:space="0" w:color="auto"/>
          <w:left w:val="none" w:sz="6" w:space="0" w:color="auto"/>
        </w:tcBorders>
      </w:tcPr>
    </w:tblStylePr>
    <w:tblStylePr w:type="swCell">
      <w:rPr>
        <w:rFonts w:cs="Arial"/>
        <w:color w:val="000080"/>
      </w:rPr>
      <w:tblPr/>
      <w:tcPr>
        <w:tcBorders>
          <w:top w:val="none" w:sz="6" w:space="0" w:color="auto"/>
          <w:right w:val="none" w:sz="6" w:space="0" w:color="auto"/>
        </w:tcBorders>
      </w:tcPr>
    </w:tblStylePr>
  </w:style>
  <w:style w:type="table" w:styleId="Table3Deffects2">
    <w:name w:val="Table 3D effects 2"/>
    <w:basedOn w:val="TableNormal"/>
    <w:uiPriority w:val="99"/>
    <w:unhideWhenUsed/>
    <w:rsid w:val="00FA6A77"/>
    <w:pPr>
      <w:spacing w:after="0" w:line="240" w:lineRule="auto"/>
    </w:pPr>
    <w:rPr>
      <w:rFonts w:ascii="Arial Narrow" w:hAnsi="Arial Narrow" w:cs="Arial"/>
    </w:rPr>
    <w:tblPr>
      <w:tblStyleRowBandSize w:val="1"/>
      <w:tblInd w:w="0" w:type="nil"/>
    </w:tblPr>
    <w:tcPr>
      <w:shd w:val="solid" w:color="C0C0C0" w:fill="FFFFFF"/>
    </w:tcPr>
    <w:tblStylePr w:type="firstRow">
      <w:rPr>
        <w:rFonts w:cs="Arial"/>
        <w:b/>
        <w:bCs/>
      </w:rPr>
    </w:tblStylePr>
    <w:tblStylePr w:type="firstCol">
      <w:rPr>
        <w:rFonts w:cs="Arial"/>
      </w:rPr>
      <w:tblPr/>
      <w:tcPr>
        <w:tcBorders>
          <w:top w:val="none" w:sz="6" w:space="0" w:color="auto"/>
          <w:bottom w:val="none" w:sz="6" w:space="0" w:color="auto"/>
          <w:right w:val="single" w:sz="6" w:space="0" w:color="808080"/>
        </w:tcBorders>
      </w:tcPr>
    </w:tblStylePr>
    <w:tblStylePr w:type="lastCol">
      <w:rPr>
        <w:rFonts w:cs="Arial"/>
      </w:rPr>
      <w:tblPr/>
      <w:tcPr>
        <w:tcBorders>
          <w:right w:val="single" w:sz="6" w:space="0" w:color="FFFFFF"/>
        </w:tcBorders>
      </w:tcPr>
    </w:tblStylePr>
    <w:tblStylePr w:type="band1Horz">
      <w:rPr>
        <w:rFonts w:cs="Arial"/>
      </w:rPr>
      <w:tblPr/>
      <w:tcPr>
        <w:tcBorders>
          <w:top w:val="single" w:sz="6" w:space="0" w:color="808080"/>
          <w:bottom w:val="single" w:sz="6" w:space="0" w:color="FFFFFF"/>
        </w:tcBorders>
      </w:tcPr>
    </w:tblStylePr>
    <w:tblStylePr w:type="swCell">
      <w:rPr>
        <w:rFonts w:cs="Arial"/>
        <w:b/>
        <w:bCs/>
      </w:rPr>
    </w:tblStylePr>
  </w:style>
  <w:style w:type="table" w:styleId="Table3Deffects3">
    <w:name w:val="Table 3D effects 3"/>
    <w:basedOn w:val="TableNormal"/>
    <w:uiPriority w:val="99"/>
    <w:unhideWhenUsed/>
    <w:rsid w:val="00FA6A77"/>
    <w:pPr>
      <w:spacing w:after="0" w:line="240" w:lineRule="auto"/>
    </w:pPr>
    <w:rPr>
      <w:rFonts w:ascii="Arial Narrow" w:hAnsi="Arial Narrow" w:cs="Arial"/>
    </w:rPr>
    <w:tblPr>
      <w:tblStyleRowBandSize w:val="1"/>
      <w:tblStyleColBandSize w:val="1"/>
      <w:tblInd w:w="0" w:type="nil"/>
    </w:tblPr>
    <w:tcPr>
      <w:shd w:val="solid" w:color="C0C0C0" w:fill="FFFFFF"/>
    </w:tcPr>
    <w:tblStylePr w:type="firstRow">
      <w:rPr>
        <w:rFonts w:cs="Arial"/>
        <w:b/>
        <w:bCs/>
      </w:rPr>
    </w:tblStylePr>
    <w:tblStylePr w:type="firstCol">
      <w:rPr>
        <w:rFonts w:cs="Arial"/>
      </w:rPr>
      <w:tblPr/>
      <w:tcPr>
        <w:tcBorders>
          <w:top w:val="none" w:sz="6" w:space="0" w:color="auto"/>
          <w:bottom w:val="none" w:sz="6" w:space="0" w:color="auto"/>
          <w:right w:val="single" w:sz="6" w:space="0" w:color="808080"/>
        </w:tcBorders>
      </w:tcPr>
    </w:tblStylePr>
    <w:tblStylePr w:type="lastCol">
      <w:rPr>
        <w:rFonts w:cs="Arial"/>
      </w:rPr>
      <w:tblPr/>
      <w:tcPr>
        <w:tcBorders>
          <w:right w:val="single" w:sz="6" w:space="0" w:color="FFFFFF"/>
        </w:tcBorders>
      </w:tcPr>
    </w:tblStylePr>
    <w:tblStylePr w:type="band2Vert">
      <w:rPr>
        <w:rFonts w:cs="Arial"/>
        <w:color w:val="auto"/>
      </w:rPr>
      <w:tblPr/>
      <w:tcPr>
        <w:shd w:val="pct50" w:color="C0C0C0" w:fill="FFFFFF"/>
      </w:tcPr>
    </w:tblStylePr>
    <w:tblStylePr w:type="band1Horz">
      <w:rPr>
        <w:rFonts w:cs="Arial"/>
      </w:rPr>
      <w:tblPr/>
      <w:tcPr>
        <w:tcBorders>
          <w:top w:val="single" w:sz="6" w:space="0" w:color="808080"/>
          <w:bottom w:val="single" w:sz="6" w:space="0" w:color="FFFFFF"/>
        </w:tcBorders>
      </w:tcPr>
    </w:tblStylePr>
    <w:tblStylePr w:type="swCell">
      <w:rPr>
        <w:rFonts w:cs="Arial"/>
        <w:b/>
        <w:bCs/>
      </w:rPr>
    </w:tblStylePr>
  </w:style>
  <w:style w:type="table" w:styleId="TableContemporary">
    <w:name w:val="Table Contemporary"/>
    <w:basedOn w:val="TableNormal"/>
    <w:uiPriority w:val="99"/>
    <w:unhideWhenUsed/>
    <w:rsid w:val="00FA6A77"/>
    <w:pPr>
      <w:spacing w:after="0" w:line="240" w:lineRule="auto"/>
    </w:pPr>
    <w:rPr>
      <w:rFonts w:ascii="Arial Narrow" w:hAnsi="Arial Narrow" w:cs="Arial"/>
    </w:rPr>
    <w:tblPr>
      <w:tblStyleRowBandSize w:val="1"/>
      <w:tblInd w:w="0" w:type="nil"/>
      <w:tblBorders>
        <w:insideH w:val="single" w:sz="18" w:space="0" w:color="FFFFFF"/>
        <w:insideV w:val="single" w:sz="18" w:space="0" w:color="FFFFFF"/>
      </w:tblBorders>
    </w:tblPr>
    <w:tblStylePr w:type="firstRow">
      <w:rPr>
        <w:rFonts w:cs="Arial"/>
        <w:b/>
        <w:bCs/>
        <w:color w:val="auto"/>
      </w:rPr>
      <w:tblPr/>
      <w:tcPr>
        <w:shd w:val="pct20" w:color="000000" w:fill="FFFFFF"/>
      </w:tcPr>
    </w:tblStylePr>
    <w:tblStylePr w:type="band1Horz">
      <w:rPr>
        <w:rFonts w:cs="Arial"/>
        <w:color w:val="auto"/>
      </w:rPr>
      <w:tblPr/>
      <w:tcPr>
        <w:shd w:val="pct5" w:color="000000" w:fill="FFFFFF"/>
      </w:tcPr>
    </w:tblStylePr>
    <w:tblStylePr w:type="band2Horz">
      <w:rPr>
        <w:rFonts w:cs="Arial"/>
        <w:color w:val="auto"/>
      </w:rPr>
      <w:tblPr/>
      <w:tcPr>
        <w:shd w:val="pct20" w:color="000000" w:fill="FFFFFF"/>
      </w:tcPr>
    </w:tblStylePr>
  </w:style>
  <w:style w:type="table" w:styleId="TableElegant">
    <w:name w:val="Table Elegant"/>
    <w:basedOn w:val="TableNormal"/>
    <w:uiPriority w:val="99"/>
    <w:unhideWhenUsed/>
    <w:rsid w:val="00FA6A77"/>
    <w:pPr>
      <w:spacing w:after="0" w:line="240" w:lineRule="auto"/>
    </w:pPr>
    <w:rPr>
      <w:rFonts w:ascii="Arial Narrow" w:hAnsi="Arial Narrow" w:cs="Arial"/>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Arial"/>
        <w:caps/>
        <w:color w:val="auto"/>
      </w:rPr>
    </w:tblStylePr>
  </w:style>
  <w:style w:type="table" w:styleId="TableProfessional">
    <w:name w:val="Table Professional"/>
    <w:basedOn w:val="TableNormal"/>
    <w:uiPriority w:val="99"/>
    <w:unhideWhenUsed/>
    <w:rsid w:val="00FA6A77"/>
    <w:pPr>
      <w:spacing w:after="0" w:line="240" w:lineRule="auto"/>
    </w:pPr>
    <w:rPr>
      <w:rFonts w:ascii="Arial Narrow" w:hAnsi="Arial Narrow" w:cs="Arial"/>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Arial"/>
        <w:b/>
        <w:bCs/>
        <w:color w:val="auto"/>
      </w:rPr>
      <w:tblPr/>
      <w:tcPr>
        <w:shd w:val="solid" w:color="000000" w:fill="FFFFFF"/>
      </w:tcPr>
    </w:tblStylePr>
  </w:style>
  <w:style w:type="table" w:styleId="TableSubtle1">
    <w:name w:val="Table Subtle 1"/>
    <w:basedOn w:val="TableNormal"/>
    <w:uiPriority w:val="99"/>
    <w:unhideWhenUsed/>
    <w:rsid w:val="00FA6A77"/>
    <w:pPr>
      <w:spacing w:after="0" w:line="240" w:lineRule="auto"/>
    </w:pPr>
    <w:rPr>
      <w:rFonts w:ascii="Arial Narrow" w:hAnsi="Arial Narrow" w:cs="Arial"/>
    </w:rPr>
    <w:tblPr>
      <w:tblStyleRowBandSize w:val="1"/>
      <w:tblInd w:w="0" w:type="nil"/>
    </w:tblPr>
    <w:tblStylePr w:type="firstRow">
      <w:rPr>
        <w:rFonts w:cs="Arial"/>
      </w:rPr>
      <w:tblPr/>
      <w:tcPr>
        <w:tcBorders>
          <w:top w:val="single" w:sz="6" w:space="0" w:color="000000"/>
          <w:bottom w:val="single" w:sz="12" w:space="0" w:color="000000"/>
        </w:tcBorders>
      </w:tcPr>
    </w:tblStylePr>
    <w:tblStylePr w:type="lastRow">
      <w:rPr>
        <w:rFonts w:cs="Arial"/>
      </w:rPr>
      <w:tblPr/>
      <w:tcPr>
        <w:tcBorders>
          <w:top w:val="single" w:sz="12" w:space="0" w:color="000000"/>
        </w:tcBorders>
        <w:shd w:val="pct25" w:color="800080" w:fill="FFFFFF"/>
      </w:tcPr>
    </w:tblStylePr>
    <w:tblStylePr w:type="firstCol">
      <w:rPr>
        <w:rFonts w:cs="Arial"/>
      </w:rPr>
      <w:tblPr/>
      <w:tcPr>
        <w:tcBorders>
          <w:right w:val="single" w:sz="12" w:space="0" w:color="000000"/>
        </w:tcBorders>
      </w:tcPr>
    </w:tblStylePr>
    <w:tblStylePr w:type="lastCol">
      <w:rPr>
        <w:rFonts w:cs="Arial"/>
      </w:rPr>
      <w:tblPr/>
      <w:tcPr>
        <w:tcBorders>
          <w:left w:val="single" w:sz="12" w:space="0" w:color="000000"/>
        </w:tcBorders>
      </w:tcPr>
    </w:tblStylePr>
    <w:tblStylePr w:type="band1Horz">
      <w:rPr>
        <w:rFonts w:cs="Arial"/>
      </w:rPr>
      <w:tblPr/>
      <w:tcPr>
        <w:tcBorders>
          <w:bottom w:val="single" w:sz="6" w:space="0" w:color="000000"/>
        </w:tcBorders>
        <w:shd w:val="pct25" w:color="808000" w:fill="FFFFFF"/>
      </w:tcPr>
    </w:tblStylePr>
    <w:tblStylePr w:type="neCell">
      <w:rPr>
        <w:rFonts w:cs="Arial"/>
        <w:b/>
        <w:bCs/>
      </w:rPr>
    </w:tblStylePr>
    <w:tblStylePr w:type="swCell">
      <w:rPr>
        <w:rFonts w:cs="Arial"/>
        <w:b/>
        <w:bCs/>
      </w:rPr>
    </w:tblStylePr>
  </w:style>
  <w:style w:type="table" w:styleId="TableSubtle2">
    <w:name w:val="Table Subtle 2"/>
    <w:basedOn w:val="TableNormal"/>
    <w:uiPriority w:val="99"/>
    <w:unhideWhenUsed/>
    <w:rsid w:val="00FA6A77"/>
    <w:pPr>
      <w:spacing w:after="0" w:line="240" w:lineRule="auto"/>
    </w:pPr>
    <w:rPr>
      <w:rFonts w:ascii="Arial Narrow" w:hAnsi="Arial Narrow" w:cs="Arial"/>
    </w:rPr>
    <w:tblPr>
      <w:tblInd w:w="0" w:type="nil"/>
      <w:tblBorders>
        <w:left w:val="single" w:sz="6" w:space="0" w:color="000000"/>
        <w:right w:val="single" w:sz="6" w:space="0" w:color="000000"/>
      </w:tblBorders>
    </w:tblPr>
    <w:tblStylePr w:type="firstRow">
      <w:rPr>
        <w:rFonts w:cs="Arial"/>
      </w:rPr>
      <w:tblPr/>
      <w:tcPr>
        <w:tcBorders>
          <w:bottom w:val="single" w:sz="12" w:space="0" w:color="000000"/>
        </w:tcBorders>
      </w:tcPr>
    </w:tblStylePr>
    <w:tblStylePr w:type="lastRow">
      <w:rPr>
        <w:rFonts w:cs="Arial"/>
      </w:rPr>
      <w:tblPr/>
      <w:tcPr>
        <w:tcBorders>
          <w:top w:val="single" w:sz="12" w:space="0" w:color="000000"/>
        </w:tcBorders>
      </w:tcPr>
    </w:tblStylePr>
    <w:tblStylePr w:type="firstCol">
      <w:rPr>
        <w:rFonts w:cs="Arial"/>
      </w:rPr>
      <w:tblPr/>
      <w:tcPr>
        <w:tcBorders>
          <w:right w:val="single" w:sz="12" w:space="0" w:color="000000"/>
        </w:tcBorders>
        <w:shd w:val="pct25" w:color="008000" w:fill="FFFFFF"/>
      </w:tcPr>
    </w:tblStylePr>
    <w:tblStylePr w:type="lastCol">
      <w:rPr>
        <w:rFonts w:cs="Arial"/>
      </w:rPr>
      <w:tblPr/>
      <w:tcPr>
        <w:tcBorders>
          <w:left w:val="single" w:sz="12" w:space="0" w:color="000000"/>
        </w:tcBorders>
        <w:shd w:val="pct25" w:color="808000" w:fill="FFFFFF"/>
      </w:tcPr>
    </w:tblStylePr>
    <w:tblStylePr w:type="neCell">
      <w:rPr>
        <w:rFonts w:cs="Arial"/>
        <w:b/>
        <w:bCs/>
      </w:rPr>
    </w:tblStylePr>
    <w:tblStylePr w:type="swCell">
      <w:rPr>
        <w:rFonts w:cs="Arial"/>
        <w:b/>
        <w:bCs/>
      </w:rPr>
    </w:tblStylePr>
  </w:style>
  <w:style w:type="table" w:styleId="TableWeb1">
    <w:name w:val="Table Web 1"/>
    <w:basedOn w:val="TableNormal"/>
    <w:uiPriority w:val="99"/>
    <w:unhideWhenUsed/>
    <w:rsid w:val="00FA6A77"/>
    <w:pPr>
      <w:spacing w:after="0" w:line="240" w:lineRule="auto"/>
    </w:pPr>
    <w:rPr>
      <w:rFonts w:ascii="Arial Narrow" w:hAnsi="Arial Narrow" w:cs="Arial"/>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Arial"/>
        <w:color w:val="auto"/>
      </w:rPr>
    </w:tblStylePr>
  </w:style>
  <w:style w:type="table" w:styleId="TableWeb2">
    <w:name w:val="Table Web 2"/>
    <w:basedOn w:val="TableNormal"/>
    <w:uiPriority w:val="99"/>
    <w:unhideWhenUsed/>
    <w:rsid w:val="00FA6A77"/>
    <w:pPr>
      <w:spacing w:after="0" w:line="240" w:lineRule="auto"/>
    </w:pPr>
    <w:rPr>
      <w:rFonts w:ascii="Arial Narrow" w:hAnsi="Arial Narrow" w:cs="Arial"/>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Arial"/>
        <w:color w:val="auto"/>
      </w:rPr>
    </w:tblStylePr>
  </w:style>
  <w:style w:type="table" w:styleId="TableWeb3">
    <w:name w:val="Table Web 3"/>
    <w:basedOn w:val="TableNormal"/>
    <w:uiPriority w:val="99"/>
    <w:unhideWhenUsed/>
    <w:rsid w:val="00FA6A77"/>
    <w:pPr>
      <w:spacing w:after="0" w:line="240" w:lineRule="auto"/>
    </w:pPr>
    <w:rPr>
      <w:rFonts w:ascii="Arial Narrow" w:hAnsi="Arial Narrow" w:cs="Arial"/>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Arial"/>
        <w:color w:val="auto"/>
      </w:rPr>
    </w:tblStylePr>
  </w:style>
  <w:style w:type="table" w:styleId="TableTheme">
    <w:name w:val="Table Theme"/>
    <w:basedOn w:val="TableNormal"/>
    <w:uiPriority w:val="99"/>
    <w:unhideWhenUsed/>
    <w:rsid w:val="00FA6A77"/>
    <w:pPr>
      <w:spacing w:after="0" w:line="240" w:lineRule="auto"/>
    </w:pPr>
    <w:rPr>
      <w:rFonts w:ascii="Arial Narrow" w:hAnsi="Arial Narrow"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
    <w:name w:val="Medium Grid 3"/>
    <w:basedOn w:val="TableNormal"/>
    <w:uiPriority w:val="69"/>
    <w:rsid w:val="00FA6A77"/>
    <w:pPr>
      <w:spacing w:after="0" w:line="240" w:lineRule="auto"/>
    </w:pPr>
    <w:rPr>
      <w:rFonts w:ascii="Arial Narrow" w:hAnsi="Arial Narrow" w:cs="Arial"/>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pPr>
      <w:rPr>
        <w:rFonts w:cs="Arial"/>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cs="Arial"/>
        <w:b/>
        <w:bCs/>
      </w:rPr>
      <w:tblPr/>
      <w:tcPr>
        <w:tcBorders>
          <w:top w:val="single" w:sz="8" w:space="0" w:color="000000"/>
          <w:left w:val="nil"/>
          <w:bottom w:val="single" w:sz="8" w:space="0" w:color="000000"/>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cPr>
    </w:tblStylePr>
    <w:tblStylePr w:type="band1Horz">
      <w:rPr>
        <w:rFonts w:cs="Arial"/>
      </w:rPr>
      <w:tblPr/>
      <w:tcPr>
        <w:tcBorders>
          <w:left w:val="nil"/>
          <w:right w:val="nil"/>
          <w:insideH w:val="nil"/>
          <w:insideV w:val="nil"/>
        </w:tcBorders>
        <w:shd w:val="clear" w:color="auto" w:fill="C0C0C0"/>
      </w:tcPr>
    </w:tblStylePr>
  </w:style>
  <w:style w:type="table" w:styleId="DarkList">
    <w:name w:val="Dark List"/>
    <w:basedOn w:val="TableNormal"/>
    <w:uiPriority w:val="70"/>
    <w:rsid w:val="00FA6A77"/>
    <w:pPr>
      <w:spacing w:after="0" w:line="240" w:lineRule="auto"/>
    </w:pPr>
    <w:rPr>
      <w:rFonts w:ascii="Arial Narrow" w:hAnsi="Arial Narrow" w:cs="Arial"/>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pPr>
      <w:rPr>
        <w:rFonts w:cs="Arial"/>
        <w:b/>
        <w:bCs/>
        <w:color w:val="FFFFFF"/>
      </w:rPr>
      <w:tblPr/>
      <w:tcPr>
        <w:shd w:val="clear" w:color="auto" w:fill="000000"/>
      </w:tcPr>
    </w:tblStylePr>
    <w:tblStylePr w:type="lastRow">
      <w:pPr>
        <w:spacing w:beforeLines="0" w:before="0" w:beforeAutospacing="0" w:afterLines="0" w:after="0" w:afterAutospacing="0"/>
      </w:pPr>
      <w:rPr>
        <w:rFonts w:cs="Arial"/>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000000"/>
          <w:left w:val="single" w:sz="8" w:space="0" w:color="000000"/>
          <w:bottom w:val="single" w:sz="8" w:space="0" w:color="000000"/>
          <w:right w:val="single" w:sz="8" w:space="0" w:color="000000"/>
        </w:tcBorders>
      </w:tcPr>
    </w:tblStylePr>
    <w:tblStylePr w:type="band1Horz">
      <w:rPr>
        <w:rFonts w:cs="Arial"/>
      </w:rPr>
      <w:tblPr/>
      <w:tcPr>
        <w:tcBorders>
          <w:top w:val="single" w:sz="8" w:space="0" w:color="000000"/>
          <w:left w:val="single" w:sz="8" w:space="0" w:color="000000"/>
          <w:bottom w:val="single" w:sz="8" w:space="0" w:color="000000"/>
          <w:right w:val="single" w:sz="8" w:space="0" w:color="000000"/>
        </w:tcBorders>
      </w:tcPr>
    </w:tblStylePr>
  </w:style>
  <w:style w:type="table" w:styleId="ColorfulShading">
    <w:name w:val="Colorful Shading"/>
    <w:basedOn w:val="TableNormal"/>
    <w:uiPriority w:val="71"/>
    <w:rsid w:val="00FA6A77"/>
    <w:pPr>
      <w:spacing w:after="0" w:line="240" w:lineRule="auto"/>
    </w:pPr>
    <w:rPr>
      <w:rFonts w:ascii="Arial Narrow" w:hAnsi="Arial Narrow" w:cs="Arial"/>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pPr>
      <w:rPr>
        <w:rFonts w:ascii="New York" w:eastAsia="Times New Roman" w:hAnsi="New Yor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New York" w:eastAsia="Times New Roman" w:hAnsi="New Yor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Arial"/>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Arial"/>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Arial"/>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olorfulList">
    <w:name w:val="Colorful List"/>
    <w:basedOn w:val="TableNormal"/>
    <w:uiPriority w:val="72"/>
    <w:rsid w:val="00FA6A77"/>
    <w:pPr>
      <w:spacing w:after="0" w:line="240" w:lineRule="auto"/>
    </w:pPr>
    <w:rPr>
      <w:rFonts w:ascii="Arial Narrow" w:hAnsi="Arial Narrow" w:cs="Arial"/>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cs="Arial"/>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cs="Arial"/>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C0C0C0"/>
      </w:tcPr>
    </w:tblStylePr>
    <w:tblStylePr w:type="band1Horz">
      <w:rPr>
        <w:rFonts w:cs="Arial"/>
      </w:rPr>
      <w:tblPr/>
      <w:tcPr>
        <w:tcBorders>
          <w:insideH w:val="nil"/>
          <w:insideV w:val="nil"/>
        </w:tcBorders>
        <w:shd w:val="clear" w:color="auto" w:fill="C0C0C0"/>
      </w:tcPr>
    </w:tblStylePr>
    <w:tblStylePr w:type="band2Horz">
      <w:rPr>
        <w:rFonts w:cs="Arial"/>
      </w:rPr>
      <w:tblPr/>
      <w:tcPr>
        <w:tcBorders>
          <w:insideH w:val="nil"/>
          <w:insideV w:val="nil"/>
        </w:tcBorders>
      </w:tcPr>
    </w:tblStylePr>
  </w:style>
  <w:style w:type="table" w:styleId="ColorfulGrid">
    <w:name w:val="Colorful Grid"/>
    <w:basedOn w:val="TableNormal"/>
    <w:uiPriority w:val="73"/>
    <w:rsid w:val="00FA6A77"/>
    <w:pPr>
      <w:spacing w:after="0" w:line="240" w:lineRule="auto"/>
    </w:pPr>
    <w:rPr>
      <w:rFonts w:ascii="Arial Narrow" w:hAnsi="Arial Narrow" w:cs="Arial"/>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rFonts w:cs="Arial"/>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pPr>
      <w:rPr>
        <w:rFonts w:cs="Arial"/>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Arial"/>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Arial"/>
        <w:b/>
        <w:bCs/>
        <w:color w:val="FFFFFF"/>
      </w:rPr>
      <w:tblPr/>
      <w:tcPr>
        <w:tcBorders>
          <w:left w:val="nil"/>
          <w:right w:val="nil"/>
          <w:insideH w:val="nil"/>
          <w:insideV w:val="nil"/>
        </w:tcBorders>
        <w:shd w:val="clear" w:color="auto" w:fill="000000"/>
      </w:tcPr>
    </w:tblStylePr>
    <w:tblStylePr w:type="band1Vert">
      <w:rPr>
        <w:rFonts w:cs="Arial"/>
      </w:rPr>
      <w:tblPr/>
      <w:tcPr>
        <w:tcBorders>
          <w:left w:val="nil"/>
          <w:right w:val="nil"/>
          <w:insideH w:val="nil"/>
          <w:insideV w:val="nil"/>
        </w:tcBorders>
        <w:shd w:val="clear" w:color="auto" w:fill="D8D8D8"/>
      </w:tcPr>
    </w:tblStylePr>
    <w:tblStylePr w:type="band1Horz">
      <w:rPr>
        <w:rFonts w:cs="Arial"/>
      </w:rPr>
      <w:tblPr/>
      <w:tcPr>
        <w:shd w:val="clear" w:color="auto" w:fill="D8D8D8"/>
      </w:tcPr>
    </w:tblStylePr>
    <w:tblStylePr w:type="neCell">
      <w:rPr>
        <w:rFonts w:cs="Arial"/>
      </w:rPr>
      <w:tblPr/>
      <w:tcPr>
        <w:tcBorders>
          <w:top w:val="single" w:sz="18" w:space="0" w:color="auto"/>
          <w:left w:val="nil"/>
          <w:bottom w:val="single" w:sz="18" w:space="0" w:color="auto"/>
          <w:right w:val="nil"/>
          <w:insideH w:val="nil"/>
          <w:insideV w:val="nil"/>
        </w:tcBorders>
      </w:tcPr>
    </w:tblStylePr>
    <w:tblStylePr w:type="nwCell">
      <w:rPr>
        <w:rFonts w:cs="Arial"/>
        <w:color w:val="FFFFFF"/>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FA6A77"/>
    <w:pPr>
      <w:spacing w:after="0" w:line="240" w:lineRule="auto"/>
    </w:pPr>
    <w:rPr>
      <w:rFonts w:ascii="Arial Narrow" w:hAnsi="Arial Narrow" w:cs="Arial"/>
      <w:color w:val="000000"/>
    </w:rPr>
    <w:tblPr>
      <w:tblStyleRowBandSize w:val="1"/>
      <w:tblStyleColBandSize w:val="1"/>
      <w:tblInd w:w="0" w:type="nil"/>
      <w:tblBorders>
        <w:top w:val="single" w:sz="8" w:space="0" w:color="000000"/>
        <w:bottom w:val="single" w:sz="8" w:space="0" w:color="000000"/>
      </w:tblBorders>
    </w:tblPr>
    <w:tblStylePr w:type="firstRow">
      <w:rPr>
        <w:rFonts w:ascii="New York" w:eastAsia="Times New Roman" w:hAnsi="New York" w:cs="Times New Roman"/>
      </w:rPr>
      <w:tblPr/>
      <w:tcPr>
        <w:tcBorders>
          <w:top w:val="nil"/>
          <w:bottom w:val="single" w:sz="8" w:space="0" w:color="000000"/>
        </w:tcBorders>
      </w:tcPr>
    </w:tblStylePr>
    <w:tblStylePr w:type="lastRow">
      <w:rPr>
        <w:rFonts w:cs="Arial"/>
        <w:b/>
        <w:bCs/>
        <w:color w:val="1F497D"/>
      </w:rPr>
      <w:tblPr/>
      <w:tcPr>
        <w:tcBorders>
          <w:top w:val="single" w:sz="8" w:space="0" w:color="000000"/>
          <w:bottom w:val="single" w:sz="8" w:space="0" w:color="000000"/>
        </w:tcBorders>
      </w:tcPr>
    </w:tblStylePr>
    <w:tblStylePr w:type="firstCol">
      <w:rPr>
        <w:rFonts w:cs="Arial"/>
        <w:b/>
        <w:bCs/>
      </w:rPr>
    </w:tblStylePr>
    <w:tblStylePr w:type="lastCol">
      <w:rPr>
        <w:rFonts w:cs="Arial"/>
        <w:b/>
        <w:bCs/>
      </w:rPr>
      <w:tblPr/>
      <w:tcPr>
        <w:tcBorders>
          <w:top w:val="single" w:sz="8" w:space="0" w:color="000000"/>
          <w:bottom w:val="single" w:sz="8" w:space="0" w:color="000000"/>
        </w:tcBorders>
      </w:tcPr>
    </w:tblStylePr>
    <w:tblStylePr w:type="band1Vert">
      <w:rPr>
        <w:rFonts w:cs="Arial"/>
      </w:rPr>
      <w:tblPr/>
      <w:tcPr>
        <w:shd w:val="clear" w:color="auto" w:fill="C0C0C0"/>
      </w:tcPr>
    </w:tblStylePr>
    <w:tblStylePr w:type="band1Horz">
      <w:rPr>
        <w:rFonts w:cs="Arial"/>
      </w:rPr>
      <w:tblPr/>
      <w:tcPr>
        <w:shd w:val="clear" w:color="auto" w:fill="C0C0C0"/>
      </w:tcPr>
    </w:tblStylePr>
  </w:style>
  <w:style w:type="table" w:styleId="LightList-Accent1">
    <w:name w:val="Light List Accent 1"/>
    <w:basedOn w:val="TableNormal"/>
    <w:uiPriority w:val="61"/>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cs="Arial"/>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Arial"/>
      </w:rPr>
      <w:tblPr/>
      <w:tcPr>
        <w:tcBorders>
          <w:top w:val="single" w:sz="8" w:space="0" w:color="000000"/>
          <w:left w:val="nil"/>
          <w:bottom w:val="nil"/>
          <w:right w:val="nil"/>
          <w:insideH w:val="nil"/>
          <w:insideV w:val="nil"/>
        </w:tcBorders>
        <w:shd w:val="clear" w:color="auto" w:fill="FFFFFF"/>
      </w:tcPr>
    </w:tblStylePr>
    <w:tblStylePr w:type="firstCol">
      <w:rPr>
        <w:rFonts w:cs="Arial"/>
      </w:rPr>
      <w:tblPr/>
      <w:tcPr>
        <w:tcBorders>
          <w:top w:val="nil"/>
          <w:left w:val="nil"/>
          <w:bottom w:val="nil"/>
          <w:right w:val="single" w:sz="8" w:space="0" w:color="000000"/>
          <w:insideH w:val="nil"/>
          <w:insideV w:val="nil"/>
        </w:tcBorders>
        <w:shd w:val="clear" w:color="auto" w:fill="FFFFFF"/>
      </w:tcPr>
    </w:tblStylePr>
    <w:tblStylePr w:type="lastCol">
      <w:rPr>
        <w:rFonts w:cs="Arial"/>
      </w:rPr>
      <w:tblPr/>
      <w:tcPr>
        <w:tcBorders>
          <w:top w:val="nil"/>
          <w:left w:val="single" w:sz="8" w:space="0" w:color="000000"/>
          <w:bottom w:val="nil"/>
          <w:right w:val="nil"/>
          <w:insideH w:val="nil"/>
          <w:insideV w:val="nil"/>
        </w:tcBorders>
        <w:shd w:val="clear" w:color="auto" w:fill="FFFFFF"/>
      </w:tcPr>
    </w:tblStylePr>
    <w:tblStylePr w:type="band1Vert">
      <w:rPr>
        <w:rFonts w:cs="Arial"/>
      </w:rPr>
      <w:tblPr/>
      <w:tcPr>
        <w:tcBorders>
          <w:left w:val="nil"/>
          <w:right w:val="nil"/>
          <w:insideH w:val="nil"/>
          <w:insideV w:val="nil"/>
        </w:tcBorders>
        <w:shd w:val="clear" w:color="auto" w:fill="C0C0C0"/>
      </w:tcPr>
    </w:tblStylePr>
    <w:tblStylePr w:type="band1Horz">
      <w:rPr>
        <w:rFonts w:cs="Arial"/>
      </w:rPr>
      <w:tblPr/>
      <w:tcPr>
        <w:tcBorders>
          <w:top w:val="nil"/>
          <w:bottom w:val="nil"/>
          <w:insideH w:val="nil"/>
          <w:insideV w:val="nil"/>
        </w:tcBorders>
        <w:shd w:val="clear" w:color="auto" w:fill="C0C0C0"/>
      </w:tcPr>
    </w:tblStylePr>
    <w:tblStylePr w:type="nwCell">
      <w:rPr>
        <w:rFonts w:cs="Arial"/>
      </w:rPr>
      <w:tblPr/>
      <w:tcPr>
        <w:shd w:val="clear" w:color="auto" w:fill="FFFFFF"/>
      </w:tcPr>
    </w:tblStylePr>
    <w:tblStylePr w:type="swCell">
      <w:rPr>
        <w:rFonts w:cs="Arial"/>
      </w:rPr>
      <w:tblPr/>
      <w:tcPr>
        <w:tcBorders>
          <w:top w:val="nil"/>
        </w:tcBorders>
      </w:tcPr>
    </w:tblStylePr>
  </w:style>
  <w:style w:type="table" w:styleId="LightGrid-Accent1">
    <w:name w:val="Light Grid Accent 1"/>
    <w:basedOn w:val="TableNormal"/>
    <w:uiPriority w:val="62"/>
    <w:rsid w:val="00FA6A77"/>
    <w:pPr>
      <w:spacing w:after="0" w:line="240" w:lineRule="auto"/>
    </w:pPr>
    <w:rPr>
      <w:rFonts w:ascii="Arial Narrow" w:hAnsi="Arial Narrow" w:cs="Arial"/>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Arial"/>
        <w:b/>
        <w:bCs/>
      </w:rPr>
    </w:tblStylePr>
    <w:tblStylePr w:type="lastRow">
      <w:rPr>
        <w:rFonts w:cs="Arial"/>
        <w:b/>
        <w:bCs/>
      </w:rPr>
      <w:tblPr/>
      <w:tcPr>
        <w:tcBorders>
          <w:top w:val="single" w:sz="18" w:space="0" w:color="404040"/>
        </w:tcBorders>
      </w:tcPr>
    </w:tblStylePr>
    <w:tblStylePr w:type="firstCol">
      <w:rPr>
        <w:rFonts w:cs="Arial"/>
        <w:b/>
        <w:bCs/>
      </w:rPr>
    </w:tblStylePr>
    <w:tblStylePr w:type="lastCol">
      <w:rPr>
        <w:rFonts w:cs="Arial"/>
        <w:b/>
        <w:bCs/>
      </w:rPr>
    </w:tblStylePr>
    <w:tblStylePr w:type="band1Vert">
      <w:rPr>
        <w:rFonts w:cs="Arial"/>
      </w:rPr>
      <w:tblPr/>
      <w:tcPr>
        <w:shd w:val="clear" w:color="auto" w:fill="808080"/>
      </w:tcPr>
    </w:tblStylePr>
    <w:tblStylePr w:type="band1Horz">
      <w:rPr>
        <w:rFonts w:cs="Arial"/>
      </w:rPr>
      <w:tblPr/>
      <w:tcPr>
        <w:shd w:val="clear" w:color="auto" w:fill="808080"/>
      </w:tcPr>
    </w:tblStylePr>
  </w:style>
  <w:style w:type="table" w:styleId="MediumShading1-Accent1">
    <w:name w:val="Medium Shading 1 Accent 1"/>
    <w:basedOn w:val="TableNormal"/>
    <w:uiPriority w:val="63"/>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Arial"/>
        <w:b/>
        <w:bCs/>
        <w:color w:val="000000"/>
      </w:rPr>
      <w:tblPr/>
      <w:tcPr>
        <w:shd w:val="clear" w:color="auto" w:fill="E6E6E6"/>
      </w:tcPr>
    </w:tblStylePr>
    <w:tblStylePr w:type="lastRow">
      <w:rPr>
        <w:rFonts w:cs="Arial"/>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Arial"/>
        <w:b/>
        <w:bCs/>
        <w:color w:val="000000"/>
      </w:rPr>
      <w:tblPr/>
      <w:tcPr>
        <w:tcBorders>
          <w:top w:val="nil"/>
          <w:left w:val="nil"/>
          <w:bottom w:val="nil"/>
          <w:right w:val="nil"/>
          <w:insideH w:val="nil"/>
          <w:insideV w:val="nil"/>
        </w:tcBorders>
        <w:shd w:val="clear" w:color="auto" w:fill="FFFFFF"/>
      </w:tcPr>
    </w:tblStylePr>
    <w:tblStylePr w:type="lastCol">
      <w:rPr>
        <w:rFonts w:cs="Arial"/>
        <w:b w:val="0"/>
        <w:bCs w:val="0"/>
        <w:color w:val="000000"/>
      </w:rPr>
      <w:tblPr/>
      <w:tcPr>
        <w:tcBorders>
          <w:top w:val="nil"/>
          <w:left w:val="nil"/>
          <w:bottom w:val="nil"/>
          <w:right w:val="nil"/>
          <w:insideH w:val="nil"/>
          <w:insideV w:val="nil"/>
        </w:tcBorders>
        <w:shd w:val="clear" w:color="auto" w:fill="CCCCCC"/>
      </w:tcPr>
    </w:tblStylePr>
    <w:tblStylePr w:type="band1Vert">
      <w:rPr>
        <w:rFonts w:cs="Arial"/>
      </w:rPr>
      <w:tblPr/>
      <w:tcPr>
        <w:shd w:val="clear" w:color="auto" w:fill="808080"/>
      </w:tcPr>
    </w:tblStylePr>
    <w:tblStylePr w:type="band1Horz">
      <w:rPr>
        <w:rFonts w:cs="Arial"/>
      </w:rPr>
      <w:tblPr/>
      <w:tcPr>
        <w:tcBorders>
          <w:insideH w:val="single" w:sz="6" w:space="0" w:color="000000"/>
          <w:insideV w:val="single" w:sz="6" w:space="0" w:color="000000"/>
        </w:tcBorders>
        <w:shd w:val="clear" w:color="auto" w:fill="808080"/>
      </w:tcPr>
    </w:tblStylePr>
    <w:tblStylePr w:type="nwCell">
      <w:rPr>
        <w:rFonts w:cs="Arial"/>
      </w:rPr>
      <w:tblPr/>
      <w:tcPr>
        <w:shd w:val="clear" w:color="auto" w:fill="FFFFFF"/>
      </w:tcPr>
    </w:tblStylePr>
  </w:style>
  <w:style w:type="table" w:styleId="MediumShading2-Accent1">
    <w:name w:val="Medium Shading 2 Accent 1"/>
    <w:basedOn w:val="TableNormal"/>
    <w:uiPriority w:val="64"/>
    <w:rsid w:val="00FA6A77"/>
    <w:pPr>
      <w:spacing w:after="0" w:line="240" w:lineRule="auto"/>
    </w:pPr>
    <w:rPr>
      <w:rFonts w:ascii="Arial Narrow" w:hAnsi="Arial Narrow" w:cs="Arial"/>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Arial"/>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Arial"/>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Arial"/>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Arial"/>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Arial"/>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Arial"/>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List1-Accent1">
    <w:name w:val="Medium List 1 Accent 1"/>
    <w:basedOn w:val="TableNormal"/>
    <w:uiPriority w:val="65"/>
    <w:rsid w:val="00FA6A77"/>
    <w:pPr>
      <w:spacing w:after="0" w:line="240" w:lineRule="auto"/>
    </w:pPr>
    <w:rPr>
      <w:rFonts w:ascii="Arial Narrow" w:hAnsi="Arial Narrow" w:cs="Arial"/>
      <w:color w:val="FFFFFF"/>
    </w:rPr>
    <w:tblPr>
      <w:tblStyleRowBandSize w:val="1"/>
      <w:tblStyleColBandSize w:val="1"/>
      <w:tblInd w:w="0" w:type="nil"/>
    </w:tblPr>
    <w:tcPr>
      <w:shd w:val="clear" w:color="auto" w:fill="000000"/>
    </w:tcPr>
    <w:tblStylePr w:type="firstRow">
      <w:rPr>
        <w:rFonts w:cs="Arial"/>
        <w:b/>
        <w:bCs/>
      </w:rPr>
      <w:tblPr/>
      <w:tcPr>
        <w:tcBorders>
          <w:top w:val="nil"/>
          <w:left w:val="nil"/>
          <w:bottom w:val="single" w:sz="18" w:space="0" w:color="FFFFFF"/>
          <w:right w:val="nil"/>
          <w:insideH w:val="nil"/>
          <w:insideV w:val="nil"/>
        </w:tcBorders>
        <w:shd w:val="clear" w:color="auto" w:fill="000000"/>
      </w:tcPr>
    </w:tblStylePr>
    <w:tblStylePr w:type="lastRow">
      <w:rPr>
        <w:rFonts w:cs="Arial"/>
      </w:rPr>
      <w:tblPr/>
      <w:tcPr>
        <w:tcBorders>
          <w:top w:val="single" w:sz="18" w:space="0" w:color="FFFFFF"/>
          <w:left w:val="nil"/>
          <w:bottom w:val="nil"/>
          <w:right w:val="nil"/>
          <w:insideH w:val="nil"/>
          <w:insideV w:val="nil"/>
        </w:tcBorders>
        <w:shd w:val="clear" w:color="auto" w:fill="000000"/>
      </w:tcPr>
    </w:tblStylePr>
    <w:tblStylePr w:type="firstCol">
      <w:rPr>
        <w:rFonts w:cs="Arial"/>
      </w:rPr>
      <w:tblPr/>
      <w:tcPr>
        <w:tcBorders>
          <w:top w:val="nil"/>
          <w:left w:val="nil"/>
          <w:bottom w:val="nil"/>
          <w:right w:val="single" w:sz="18" w:space="0" w:color="FFFFFF"/>
          <w:insideH w:val="nil"/>
          <w:insideV w:val="nil"/>
        </w:tcBorders>
        <w:shd w:val="clear" w:color="auto" w:fill="000000"/>
      </w:tcPr>
    </w:tblStylePr>
    <w:tblStylePr w:type="lastCol">
      <w:rPr>
        <w:rFonts w:cs="Arial"/>
      </w:rPr>
      <w:tblPr/>
      <w:tcPr>
        <w:tcBorders>
          <w:top w:val="nil"/>
          <w:left w:val="single" w:sz="18" w:space="0" w:color="FFFFFF"/>
          <w:bottom w:val="nil"/>
          <w:right w:val="nil"/>
          <w:insideH w:val="nil"/>
          <w:insideV w:val="nil"/>
        </w:tcBorders>
        <w:shd w:val="clear" w:color="auto" w:fill="000000"/>
      </w:tcPr>
    </w:tblStylePr>
    <w:tblStylePr w:type="band1Vert">
      <w:rPr>
        <w:rFonts w:cs="Arial"/>
      </w:rPr>
      <w:tblPr/>
      <w:tcPr>
        <w:tcBorders>
          <w:top w:val="nil"/>
          <w:left w:val="nil"/>
          <w:bottom w:val="nil"/>
          <w:right w:val="nil"/>
          <w:insideH w:val="nil"/>
          <w:insideV w:val="nil"/>
        </w:tcBorders>
        <w:shd w:val="clear" w:color="auto" w:fill="000000"/>
      </w:tcPr>
    </w:tblStylePr>
    <w:tblStylePr w:type="band1Horz">
      <w:rPr>
        <w:rFonts w:cs="Arial"/>
      </w:rPr>
      <w:tblPr/>
      <w:tcPr>
        <w:tcBorders>
          <w:top w:val="nil"/>
          <w:left w:val="nil"/>
          <w:bottom w:val="nil"/>
          <w:right w:val="nil"/>
          <w:insideH w:val="nil"/>
          <w:insideV w:val="nil"/>
        </w:tcBorders>
        <w:shd w:val="clear" w:color="auto" w:fill="000000"/>
      </w:tcPr>
    </w:tblStylePr>
  </w:style>
  <w:style w:type="table" w:styleId="MediumList2-Accent1">
    <w:name w:val="Medium List 2 Accent 1"/>
    <w:basedOn w:val="TableNormal"/>
    <w:uiPriority w:val="66"/>
    <w:rsid w:val="00FA6A77"/>
    <w:pPr>
      <w:spacing w:after="0" w:line="240" w:lineRule="auto"/>
    </w:pPr>
    <w:rPr>
      <w:rFonts w:ascii="Arial Narrow" w:hAnsi="Arial Narrow" w:cs="Arial"/>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cs="Arial"/>
        <w:b/>
        <w:bCs/>
        <w:color w:val="FFFFFF"/>
      </w:rPr>
      <w:tblPr/>
      <w:tcPr>
        <w:shd w:val="clear" w:color="auto" w:fill="4F81BD"/>
      </w:tcPr>
    </w:tblStylePr>
    <w:tblStylePr w:type="lastRow">
      <w:pPr>
        <w:spacing w:beforeLines="0" w:before="0" w:beforeAutospacing="0" w:afterLines="0" w:after="0" w:afterAutospacing="0"/>
      </w:pPr>
      <w:rPr>
        <w:rFonts w:cs="Arial"/>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F81BD"/>
          <w:left w:val="single" w:sz="8" w:space="0" w:color="4F81BD"/>
          <w:bottom w:val="single" w:sz="8" w:space="0" w:color="4F81BD"/>
          <w:right w:val="single" w:sz="8" w:space="0" w:color="4F81BD"/>
        </w:tcBorders>
      </w:tcPr>
    </w:tblStylePr>
    <w:tblStylePr w:type="band1Horz">
      <w:rPr>
        <w:rFonts w:cs="Arial"/>
      </w:rPr>
      <w:tblPr/>
      <w:tcPr>
        <w:tcBorders>
          <w:top w:val="single" w:sz="8" w:space="0" w:color="4F81BD"/>
          <w:left w:val="single" w:sz="8" w:space="0" w:color="4F81BD"/>
          <w:bottom w:val="single" w:sz="8" w:space="0" w:color="4F81BD"/>
          <w:right w:val="single" w:sz="8" w:space="0" w:color="4F81BD"/>
        </w:tcBorders>
      </w:tcPr>
    </w:tblStylePr>
  </w:style>
  <w:style w:type="table" w:styleId="MediumGrid1-Accent1">
    <w:name w:val="Medium Grid 1 Accent 1"/>
    <w:basedOn w:val="TableNormal"/>
    <w:uiPriority w:val="67"/>
    <w:rsid w:val="00FA6A77"/>
    <w:pPr>
      <w:spacing w:after="0" w:line="240" w:lineRule="auto"/>
    </w:pPr>
    <w:rPr>
      <w:rFonts w:ascii="Arial Narrow" w:hAnsi="Arial Narrow" w:cs="Arial"/>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New York" w:eastAsia="Times New Roman"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New York" w:eastAsia="Times New Roman"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Arial"/>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Arial"/>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Arial"/>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2-Accent1">
    <w:name w:val="Medium Grid 2 Accent 1"/>
    <w:basedOn w:val="TableNormal"/>
    <w:uiPriority w:val="68"/>
    <w:rsid w:val="00FA6A77"/>
    <w:pPr>
      <w:spacing w:after="0" w:line="240" w:lineRule="auto"/>
    </w:pPr>
    <w:rPr>
      <w:rFonts w:ascii="Arial Narrow" w:hAnsi="Arial Narrow" w:cs="Arial"/>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pPr>
      <w:rPr>
        <w:rFonts w:cs="Arial"/>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pPr>
      <w:rPr>
        <w:rFonts w:cs="Arial"/>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D3DFEE"/>
      </w:tcPr>
    </w:tblStylePr>
    <w:tblStylePr w:type="band1Horz">
      <w:rPr>
        <w:rFonts w:cs="Arial"/>
      </w:rPr>
      <w:tblPr/>
      <w:tcPr>
        <w:tcBorders>
          <w:insideH w:val="nil"/>
          <w:insideV w:val="nil"/>
        </w:tcBorders>
        <w:shd w:val="clear" w:color="auto" w:fill="D3DFEE"/>
      </w:tcPr>
    </w:tblStylePr>
    <w:tblStylePr w:type="band2Horz">
      <w:rPr>
        <w:rFonts w:cs="Arial"/>
      </w:rPr>
      <w:tblPr/>
      <w:tcPr>
        <w:tcBorders>
          <w:insideH w:val="nil"/>
          <w:insideV w:val="nil"/>
        </w:tcBorders>
      </w:tcPr>
    </w:tblStylePr>
  </w:style>
  <w:style w:type="table" w:styleId="MediumGrid3-Accent1">
    <w:name w:val="Medium Grid 3 Accent 1"/>
    <w:basedOn w:val="TableNormal"/>
    <w:uiPriority w:val="69"/>
    <w:rsid w:val="00FA6A77"/>
    <w:pPr>
      <w:spacing w:after="0" w:line="240" w:lineRule="auto"/>
    </w:pPr>
    <w:rPr>
      <w:rFonts w:ascii="Arial Narrow" w:hAnsi="Arial Narrow" w:cs="Arial"/>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rFonts w:cs="Arial"/>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pPr>
      <w:rPr>
        <w:rFonts w:cs="Arial"/>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Arial"/>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Arial"/>
        <w:b/>
        <w:bCs/>
        <w:color w:val="FFFFFF"/>
      </w:rPr>
      <w:tblPr/>
      <w:tcPr>
        <w:tcBorders>
          <w:left w:val="nil"/>
          <w:right w:val="nil"/>
          <w:insideH w:val="nil"/>
          <w:insideV w:val="nil"/>
        </w:tcBorders>
        <w:shd w:val="clear" w:color="auto" w:fill="4F81BD"/>
      </w:tcPr>
    </w:tblStylePr>
    <w:tblStylePr w:type="band1Vert">
      <w:rPr>
        <w:rFonts w:cs="Arial"/>
      </w:rPr>
      <w:tblPr/>
      <w:tcPr>
        <w:tcBorders>
          <w:left w:val="nil"/>
          <w:right w:val="nil"/>
          <w:insideH w:val="nil"/>
          <w:insideV w:val="nil"/>
        </w:tcBorders>
        <w:shd w:val="clear" w:color="auto" w:fill="D8D8D8"/>
      </w:tcPr>
    </w:tblStylePr>
    <w:tblStylePr w:type="band1Horz">
      <w:rPr>
        <w:rFonts w:cs="Arial"/>
      </w:rPr>
      <w:tblPr/>
      <w:tcPr>
        <w:shd w:val="clear" w:color="auto" w:fill="D8D8D8"/>
      </w:tcPr>
    </w:tblStylePr>
    <w:tblStylePr w:type="neCell">
      <w:rPr>
        <w:rFonts w:cs="Arial"/>
      </w:rPr>
      <w:tblPr/>
      <w:tcPr>
        <w:tcBorders>
          <w:top w:val="single" w:sz="18" w:space="0" w:color="auto"/>
          <w:left w:val="nil"/>
          <w:bottom w:val="single" w:sz="18" w:space="0" w:color="auto"/>
          <w:right w:val="nil"/>
          <w:insideH w:val="nil"/>
          <w:insideV w:val="nil"/>
        </w:tcBorders>
      </w:tcPr>
    </w:tblStylePr>
    <w:tblStylePr w:type="nwCell">
      <w:rPr>
        <w:rFonts w:cs="Arial"/>
        <w:color w:val="FFFFFF"/>
      </w:rPr>
      <w:tblPr/>
      <w:tcPr>
        <w:tcBorders>
          <w:top w:val="single" w:sz="18" w:space="0" w:color="auto"/>
          <w:left w:val="nil"/>
          <w:bottom w:val="single" w:sz="18" w:space="0" w:color="auto"/>
          <w:right w:val="nil"/>
          <w:insideH w:val="nil"/>
          <w:insideV w:val="nil"/>
        </w:tcBorders>
      </w:tcPr>
    </w:tblStylePr>
  </w:style>
  <w:style w:type="table" w:styleId="DarkList-Accent1">
    <w:name w:val="Dark List Accent 1"/>
    <w:basedOn w:val="TableNormal"/>
    <w:uiPriority w:val="70"/>
    <w:rsid w:val="00FA6A77"/>
    <w:pPr>
      <w:spacing w:after="0" w:line="240" w:lineRule="auto"/>
    </w:pPr>
    <w:rPr>
      <w:rFonts w:ascii="Arial Narrow" w:hAnsi="Arial Narrow" w:cs="Arial"/>
      <w:color w:val="000000"/>
    </w:rPr>
    <w:tblPr>
      <w:tblStyleRowBandSize w:val="1"/>
      <w:tblStyleColBandSize w:val="1"/>
      <w:tblInd w:w="0" w:type="nil"/>
      <w:tblBorders>
        <w:top w:val="single" w:sz="8" w:space="0" w:color="4F81BD"/>
        <w:bottom w:val="single" w:sz="8" w:space="0" w:color="4F81BD"/>
      </w:tblBorders>
    </w:tblPr>
    <w:tblStylePr w:type="firstRow">
      <w:rPr>
        <w:rFonts w:ascii="New York" w:eastAsia="Times New Roman" w:hAnsi="New York" w:cs="Times New Roman"/>
      </w:rPr>
      <w:tblPr/>
      <w:tcPr>
        <w:tcBorders>
          <w:top w:val="nil"/>
          <w:bottom w:val="single" w:sz="8" w:space="0" w:color="4F81BD"/>
        </w:tcBorders>
      </w:tcPr>
    </w:tblStylePr>
    <w:tblStylePr w:type="lastRow">
      <w:rPr>
        <w:rFonts w:cs="Arial"/>
        <w:b/>
        <w:bCs/>
        <w:color w:val="1F497D"/>
      </w:rPr>
      <w:tblPr/>
      <w:tcPr>
        <w:tcBorders>
          <w:top w:val="single" w:sz="8" w:space="0" w:color="4F81BD"/>
          <w:bottom w:val="single" w:sz="8" w:space="0" w:color="4F81BD"/>
        </w:tcBorders>
      </w:tcPr>
    </w:tblStylePr>
    <w:tblStylePr w:type="firstCol">
      <w:rPr>
        <w:rFonts w:cs="Arial"/>
        <w:b/>
        <w:bCs/>
      </w:rPr>
    </w:tblStylePr>
    <w:tblStylePr w:type="lastCol">
      <w:rPr>
        <w:rFonts w:cs="Arial"/>
        <w:b/>
        <w:bCs/>
      </w:rPr>
      <w:tblPr/>
      <w:tcPr>
        <w:tcBorders>
          <w:top w:val="single" w:sz="8" w:space="0" w:color="4F81BD"/>
          <w:bottom w:val="single" w:sz="8" w:space="0" w:color="4F81BD"/>
        </w:tcBorders>
      </w:tcPr>
    </w:tblStylePr>
    <w:tblStylePr w:type="band1Vert">
      <w:rPr>
        <w:rFonts w:cs="Arial"/>
      </w:rPr>
      <w:tblPr/>
      <w:tcPr>
        <w:shd w:val="clear" w:color="auto" w:fill="D3DFEE"/>
      </w:tcPr>
    </w:tblStylePr>
    <w:tblStylePr w:type="band1Horz">
      <w:rPr>
        <w:rFonts w:cs="Arial"/>
      </w:rPr>
      <w:tblPr/>
      <w:tcPr>
        <w:shd w:val="clear" w:color="auto" w:fill="D3DFEE"/>
      </w:tcPr>
    </w:tblStylePr>
  </w:style>
  <w:style w:type="table" w:styleId="LightList-Accent2">
    <w:name w:val="Light List Accent 2"/>
    <w:basedOn w:val="TableNormal"/>
    <w:uiPriority w:val="61"/>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rFonts w:cs="Arial"/>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Arial"/>
      </w:rPr>
      <w:tblPr/>
      <w:tcPr>
        <w:tcBorders>
          <w:top w:val="single" w:sz="8" w:space="0" w:color="4F81BD"/>
          <w:left w:val="nil"/>
          <w:bottom w:val="nil"/>
          <w:right w:val="nil"/>
          <w:insideH w:val="nil"/>
          <w:insideV w:val="nil"/>
        </w:tcBorders>
        <w:shd w:val="clear" w:color="auto" w:fill="FFFFFF"/>
      </w:tcPr>
    </w:tblStylePr>
    <w:tblStylePr w:type="firstCol">
      <w:rPr>
        <w:rFonts w:cs="Arial"/>
      </w:rPr>
      <w:tblPr/>
      <w:tcPr>
        <w:tcBorders>
          <w:top w:val="nil"/>
          <w:left w:val="nil"/>
          <w:bottom w:val="nil"/>
          <w:right w:val="single" w:sz="8" w:space="0" w:color="4F81BD"/>
          <w:insideH w:val="nil"/>
          <w:insideV w:val="nil"/>
        </w:tcBorders>
        <w:shd w:val="clear" w:color="auto" w:fill="FFFFFF"/>
      </w:tcPr>
    </w:tblStylePr>
    <w:tblStylePr w:type="lastCol">
      <w:rPr>
        <w:rFonts w:cs="Arial"/>
      </w:rPr>
      <w:tblPr/>
      <w:tcPr>
        <w:tcBorders>
          <w:top w:val="nil"/>
          <w:left w:val="single" w:sz="8" w:space="0" w:color="4F81BD"/>
          <w:bottom w:val="nil"/>
          <w:right w:val="nil"/>
          <w:insideH w:val="nil"/>
          <w:insideV w:val="nil"/>
        </w:tcBorders>
        <w:shd w:val="clear" w:color="auto" w:fill="FFFFFF"/>
      </w:tcPr>
    </w:tblStylePr>
    <w:tblStylePr w:type="band1Vert">
      <w:rPr>
        <w:rFonts w:cs="Arial"/>
      </w:rPr>
      <w:tblPr/>
      <w:tcPr>
        <w:tcBorders>
          <w:left w:val="nil"/>
          <w:right w:val="nil"/>
          <w:insideH w:val="nil"/>
          <w:insideV w:val="nil"/>
        </w:tcBorders>
        <w:shd w:val="clear" w:color="auto" w:fill="D3DFEE"/>
      </w:tcPr>
    </w:tblStylePr>
    <w:tblStylePr w:type="band1Horz">
      <w:rPr>
        <w:rFonts w:cs="Arial"/>
      </w:rPr>
      <w:tblPr/>
      <w:tcPr>
        <w:tcBorders>
          <w:top w:val="nil"/>
          <w:bottom w:val="nil"/>
          <w:insideH w:val="nil"/>
          <w:insideV w:val="nil"/>
        </w:tcBorders>
        <w:shd w:val="clear" w:color="auto" w:fill="D3DFEE"/>
      </w:tcPr>
    </w:tblStylePr>
    <w:tblStylePr w:type="nwCell">
      <w:rPr>
        <w:rFonts w:cs="Arial"/>
      </w:rPr>
      <w:tblPr/>
      <w:tcPr>
        <w:shd w:val="clear" w:color="auto" w:fill="FFFFFF"/>
      </w:tcPr>
    </w:tblStylePr>
    <w:tblStylePr w:type="swCell">
      <w:rPr>
        <w:rFonts w:cs="Arial"/>
      </w:rPr>
      <w:tblPr/>
      <w:tcPr>
        <w:tcBorders>
          <w:top w:val="nil"/>
        </w:tcBorders>
      </w:tcPr>
    </w:tblStylePr>
  </w:style>
  <w:style w:type="table" w:styleId="LightGrid-Accent2">
    <w:name w:val="Light Grid Accent 2"/>
    <w:basedOn w:val="TableNormal"/>
    <w:uiPriority w:val="62"/>
    <w:rsid w:val="00FA6A77"/>
    <w:pPr>
      <w:spacing w:after="0" w:line="240" w:lineRule="auto"/>
    </w:pPr>
    <w:rPr>
      <w:rFonts w:ascii="Arial Narrow" w:hAnsi="Arial Narrow" w:cs="Arial"/>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Arial"/>
        <w:b/>
        <w:bCs/>
      </w:rPr>
    </w:tblStylePr>
    <w:tblStylePr w:type="lastRow">
      <w:rPr>
        <w:rFonts w:cs="Arial"/>
        <w:b/>
        <w:bCs/>
      </w:rPr>
      <w:tblPr/>
      <w:tcPr>
        <w:tcBorders>
          <w:top w:val="single" w:sz="18" w:space="0" w:color="7BA0CD"/>
        </w:tcBorders>
      </w:tcPr>
    </w:tblStylePr>
    <w:tblStylePr w:type="firstCol">
      <w:rPr>
        <w:rFonts w:cs="Arial"/>
        <w:b/>
        <w:bCs/>
      </w:rPr>
    </w:tblStylePr>
    <w:tblStylePr w:type="lastCol">
      <w:rPr>
        <w:rFonts w:cs="Arial"/>
        <w:b/>
        <w:bCs/>
      </w:rPr>
    </w:tblStylePr>
    <w:tblStylePr w:type="band1Vert">
      <w:rPr>
        <w:rFonts w:cs="Arial"/>
      </w:rPr>
      <w:tblPr/>
      <w:tcPr>
        <w:shd w:val="clear" w:color="auto" w:fill="A7BFDE"/>
      </w:tcPr>
    </w:tblStylePr>
    <w:tblStylePr w:type="band1Horz">
      <w:rPr>
        <w:rFonts w:cs="Arial"/>
      </w:rPr>
      <w:tblPr/>
      <w:tcPr>
        <w:shd w:val="clear" w:color="auto" w:fill="A7BFDE"/>
      </w:tcPr>
    </w:tblStylePr>
  </w:style>
  <w:style w:type="table" w:styleId="MediumShading1-Accent2">
    <w:name w:val="Medium Shading 1 Accent 2"/>
    <w:basedOn w:val="TableNormal"/>
    <w:uiPriority w:val="63"/>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Arial"/>
        <w:b/>
        <w:bCs/>
        <w:color w:val="000000"/>
      </w:rPr>
      <w:tblPr/>
      <w:tcPr>
        <w:shd w:val="clear" w:color="auto" w:fill="EDF2F8"/>
      </w:tcPr>
    </w:tblStylePr>
    <w:tblStylePr w:type="lastRow">
      <w:rPr>
        <w:rFonts w:cs="Arial"/>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Arial"/>
        <w:b/>
        <w:bCs/>
        <w:color w:val="000000"/>
      </w:rPr>
      <w:tblPr/>
      <w:tcPr>
        <w:tcBorders>
          <w:top w:val="nil"/>
          <w:left w:val="nil"/>
          <w:bottom w:val="nil"/>
          <w:right w:val="nil"/>
          <w:insideH w:val="nil"/>
          <w:insideV w:val="nil"/>
        </w:tcBorders>
        <w:shd w:val="clear" w:color="auto" w:fill="FFFFFF"/>
      </w:tcPr>
    </w:tblStylePr>
    <w:tblStylePr w:type="lastCol">
      <w:rPr>
        <w:rFonts w:cs="Arial"/>
        <w:b w:val="0"/>
        <w:bCs w:val="0"/>
        <w:color w:val="000000"/>
      </w:rPr>
      <w:tblPr/>
      <w:tcPr>
        <w:tcBorders>
          <w:top w:val="nil"/>
          <w:left w:val="nil"/>
          <w:bottom w:val="nil"/>
          <w:right w:val="nil"/>
          <w:insideH w:val="nil"/>
          <w:insideV w:val="nil"/>
        </w:tcBorders>
        <w:shd w:val="clear" w:color="auto" w:fill="DBE5F1"/>
      </w:tcPr>
    </w:tblStylePr>
    <w:tblStylePr w:type="band1Vert">
      <w:rPr>
        <w:rFonts w:cs="Arial"/>
      </w:rPr>
      <w:tblPr/>
      <w:tcPr>
        <w:shd w:val="clear" w:color="auto" w:fill="A7BFDE"/>
      </w:tcPr>
    </w:tblStylePr>
    <w:tblStylePr w:type="band1Horz">
      <w:rPr>
        <w:rFonts w:cs="Arial"/>
      </w:rPr>
      <w:tblPr/>
      <w:tcPr>
        <w:tcBorders>
          <w:insideH w:val="single" w:sz="6" w:space="0" w:color="4F81BD"/>
          <w:insideV w:val="single" w:sz="6" w:space="0" w:color="4F81BD"/>
        </w:tcBorders>
        <w:shd w:val="clear" w:color="auto" w:fill="A7BFDE"/>
      </w:tcPr>
    </w:tblStylePr>
    <w:tblStylePr w:type="nwCell">
      <w:rPr>
        <w:rFonts w:cs="Arial"/>
      </w:rPr>
      <w:tblPr/>
      <w:tcPr>
        <w:shd w:val="clear" w:color="auto" w:fill="FFFFFF"/>
      </w:tcPr>
    </w:tblStylePr>
  </w:style>
  <w:style w:type="table" w:styleId="MediumShading2-Accent2">
    <w:name w:val="Medium Shading 2 Accent 2"/>
    <w:basedOn w:val="TableNormal"/>
    <w:uiPriority w:val="64"/>
    <w:rsid w:val="00FA6A77"/>
    <w:pPr>
      <w:spacing w:after="0" w:line="240" w:lineRule="auto"/>
    </w:pPr>
    <w:rPr>
      <w:rFonts w:ascii="Arial Narrow" w:hAnsi="Arial Narrow" w:cs="Arial"/>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Arial"/>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Arial"/>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Arial"/>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Arial"/>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Arial"/>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Arial"/>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List1-Accent2">
    <w:name w:val="Medium List 1 Accent 2"/>
    <w:basedOn w:val="TableNormal"/>
    <w:uiPriority w:val="65"/>
    <w:rsid w:val="00FA6A77"/>
    <w:pPr>
      <w:spacing w:after="0" w:line="240" w:lineRule="auto"/>
    </w:pPr>
    <w:rPr>
      <w:rFonts w:ascii="Arial Narrow" w:hAnsi="Arial Narrow" w:cs="Arial"/>
      <w:color w:val="FFFFFF"/>
    </w:rPr>
    <w:tblPr>
      <w:tblStyleRowBandSize w:val="1"/>
      <w:tblStyleColBandSize w:val="1"/>
      <w:tblInd w:w="0" w:type="nil"/>
    </w:tblPr>
    <w:tcPr>
      <w:shd w:val="clear" w:color="auto" w:fill="4F81BD"/>
    </w:tcPr>
    <w:tblStylePr w:type="firstRow">
      <w:rPr>
        <w:rFonts w:cs="Arial"/>
        <w:b/>
        <w:bCs/>
      </w:rPr>
      <w:tblPr/>
      <w:tcPr>
        <w:tcBorders>
          <w:top w:val="nil"/>
          <w:left w:val="nil"/>
          <w:bottom w:val="single" w:sz="18" w:space="0" w:color="FFFFFF"/>
          <w:right w:val="nil"/>
          <w:insideH w:val="nil"/>
          <w:insideV w:val="nil"/>
        </w:tcBorders>
        <w:shd w:val="clear" w:color="auto" w:fill="000000"/>
      </w:tcPr>
    </w:tblStylePr>
    <w:tblStylePr w:type="lastRow">
      <w:rPr>
        <w:rFonts w:cs="Arial"/>
      </w:rPr>
      <w:tblPr/>
      <w:tcPr>
        <w:tcBorders>
          <w:top w:val="single" w:sz="18" w:space="0" w:color="FFFFFF"/>
          <w:left w:val="nil"/>
          <w:bottom w:val="nil"/>
          <w:right w:val="nil"/>
          <w:insideH w:val="nil"/>
          <w:insideV w:val="nil"/>
        </w:tcBorders>
        <w:shd w:val="clear" w:color="auto" w:fill="243F60"/>
      </w:tcPr>
    </w:tblStylePr>
    <w:tblStylePr w:type="firstCol">
      <w:rPr>
        <w:rFonts w:cs="Arial"/>
      </w:rPr>
      <w:tblPr/>
      <w:tcPr>
        <w:tcBorders>
          <w:top w:val="nil"/>
          <w:left w:val="nil"/>
          <w:bottom w:val="nil"/>
          <w:right w:val="single" w:sz="18" w:space="0" w:color="FFFFFF"/>
          <w:insideH w:val="nil"/>
          <w:insideV w:val="nil"/>
        </w:tcBorders>
        <w:shd w:val="clear" w:color="auto" w:fill="365F91"/>
      </w:tcPr>
    </w:tblStylePr>
    <w:tblStylePr w:type="lastCol">
      <w:rPr>
        <w:rFonts w:cs="Arial"/>
      </w:rPr>
      <w:tblPr/>
      <w:tcPr>
        <w:tcBorders>
          <w:top w:val="nil"/>
          <w:left w:val="single" w:sz="18" w:space="0" w:color="FFFFFF"/>
          <w:bottom w:val="nil"/>
          <w:right w:val="nil"/>
          <w:insideH w:val="nil"/>
          <w:insideV w:val="nil"/>
        </w:tcBorders>
        <w:shd w:val="clear" w:color="auto" w:fill="365F91"/>
      </w:tcPr>
    </w:tblStylePr>
    <w:tblStylePr w:type="band1Vert">
      <w:rPr>
        <w:rFonts w:cs="Arial"/>
      </w:rPr>
      <w:tblPr/>
      <w:tcPr>
        <w:tcBorders>
          <w:top w:val="nil"/>
          <w:left w:val="nil"/>
          <w:bottom w:val="nil"/>
          <w:right w:val="nil"/>
          <w:insideH w:val="nil"/>
          <w:insideV w:val="nil"/>
        </w:tcBorders>
        <w:shd w:val="clear" w:color="auto" w:fill="365F91"/>
      </w:tcPr>
    </w:tblStylePr>
    <w:tblStylePr w:type="band1Horz">
      <w:rPr>
        <w:rFonts w:cs="Arial"/>
      </w:rPr>
      <w:tblPr/>
      <w:tcPr>
        <w:tcBorders>
          <w:top w:val="nil"/>
          <w:left w:val="nil"/>
          <w:bottom w:val="nil"/>
          <w:right w:val="nil"/>
          <w:insideH w:val="nil"/>
          <w:insideV w:val="nil"/>
        </w:tcBorders>
        <w:shd w:val="clear" w:color="auto" w:fill="365F91"/>
      </w:tcPr>
    </w:tblStylePr>
  </w:style>
  <w:style w:type="table" w:styleId="MediumList2-Accent2">
    <w:name w:val="Medium List 2 Accent 2"/>
    <w:basedOn w:val="TableNormal"/>
    <w:uiPriority w:val="66"/>
    <w:rsid w:val="00FA6A77"/>
    <w:pPr>
      <w:spacing w:after="0" w:line="240" w:lineRule="auto"/>
    </w:pPr>
    <w:rPr>
      <w:rFonts w:ascii="Arial Narrow" w:hAnsi="Arial Narrow" w:cs="Arial"/>
      <w:color w:val="000000"/>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Arial"/>
        <w:b/>
        <w:bCs/>
      </w:rPr>
      <w:tblPr/>
      <w:tcPr>
        <w:tcBorders>
          <w:top w:val="nil"/>
          <w:left w:val="nil"/>
          <w:bottom w:val="single" w:sz="24" w:space="0" w:color="C0504D"/>
          <w:right w:val="nil"/>
          <w:insideH w:val="nil"/>
          <w:insideV w:val="nil"/>
        </w:tcBorders>
        <w:shd w:val="clear" w:color="auto" w:fill="FFFFFF"/>
      </w:tcPr>
    </w:tblStylePr>
    <w:tblStylePr w:type="lastRow">
      <w:rPr>
        <w:rFonts w:cs="Arial"/>
        <w:b/>
        <w:bCs/>
        <w:color w:val="FFFFFF"/>
      </w:rPr>
      <w:tblPr/>
      <w:tcPr>
        <w:tcBorders>
          <w:top w:val="single" w:sz="6" w:space="0" w:color="FFFFFF"/>
        </w:tcBorders>
        <w:shd w:val="clear" w:color="auto" w:fill="2C4C74"/>
      </w:tcPr>
    </w:tblStylePr>
    <w:tblStylePr w:type="firstCol">
      <w:rPr>
        <w:rFonts w:cs="Arial"/>
        <w:color w:val="FFFFFF"/>
      </w:rPr>
      <w:tblPr/>
      <w:tcPr>
        <w:tcBorders>
          <w:top w:val="nil"/>
          <w:left w:val="nil"/>
          <w:bottom w:val="nil"/>
          <w:right w:val="nil"/>
          <w:insideH w:val="single" w:sz="4" w:space="0" w:color="2C4C74"/>
          <w:insideV w:val="nil"/>
        </w:tcBorders>
        <w:shd w:val="clear" w:color="auto" w:fill="2C4C74"/>
      </w:tcPr>
    </w:tblStylePr>
    <w:tblStylePr w:type="lastCol">
      <w:rPr>
        <w:rFonts w:cs="Arial"/>
        <w:color w:val="FFFFFF"/>
      </w:rPr>
      <w:tblPr/>
      <w:tcPr>
        <w:tcBorders>
          <w:top w:val="nil"/>
          <w:left w:val="nil"/>
          <w:bottom w:val="nil"/>
          <w:right w:val="nil"/>
          <w:insideH w:val="nil"/>
          <w:insideV w:val="nil"/>
        </w:tcBorders>
        <w:shd w:val="clear" w:color="auto" w:fill="2C4C74"/>
      </w:tcPr>
    </w:tblStylePr>
    <w:tblStylePr w:type="band1Vert">
      <w:rPr>
        <w:rFonts w:cs="Arial"/>
      </w:rPr>
      <w:tblPr/>
      <w:tcPr>
        <w:shd w:val="clear" w:color="auto" w:fill="B8CCE4"/>
      </w:tcPr>
    </w:tblStylePr>
    <w:tblStylePr w:type="band1Horz">
      <w:rPr>
        <w:rFonts w:cs="Arial"/>
      </w:rPr>
      <w:tblPr/>
      <w:tcPr>
        <w:shd w:val="clear" w:color="auto" w:fill="A7BFDE"/>
      </w:tcPr>
    </w:tblStylePr>
    <w:tblStylePr w:type="neCell">
      <w:rPr>
        <w:rFonts w:cs="Arial"/>
        <w:color w:val="000000"/>
      </w:rPr>
    </w:tblStylePr>
    <w:tblStylePr w:type="nwCell">
      <w:rPr>
        <w:rFonts w:cs="Arial"/>
        <w:color w:val="000000"/>
      </w:rPr>
    </w:tblStylePr>
  </w:style>
  <w:style w:type="table" w:styleId="MediumGrid1-Accent2">
    <w:name w:val="Medium Grid 1 Accent 2"/>
    <w:basedOn w:val="TableNormal"/>
    <w:uiPriority w:val="67"/>
    <w:rsid w:val="00FA6A77"/>
    <w:pPr>
      <w:spacing w:after="0" w:line="240" w:lineRule="auto"/>
    </w:pPr>
    <w:rPr>
      <w:rFonts w:ascii="Arial Narrow" w:hAnsi="Arial Narrow" w:cs="Arial"/>
      <w:color w:val="000000"/>
    </w:rPr>
    <w:tblPr>
      <w:tblStyleRowBandSize w:val="1"/>
      <w:tblStyleColBandSize w:val="1"/>
      <w:tblInd w:w="0" w:type="nil"/>
    </w:tblPr>
    <w:tcPr>
      <w:shd w:val="clear" w:color="auto" w:fill="EDF2F8"/>
    </w:tcPr>
    <w:tblStylePr w:type="firstRow">
      <w:rPr>
        <w:rFonts w:cs="Arial"/>
        <w:b/>
        <w:bCs/>
        <w:color w:val="FFFFFF"/>
      </w:rPr>
      <w:tblPr/>
      <w:tcPr>
        <w:tcBorders>
          <w:bottom w:val="single" w:sz="12" w:space="0" w:color="FFFFFF"/>
        </w:tcBorders>
        <w:shd w:val="clear" w:color="auto" w:fill="9E3A38"/>
      </w:tcPr>
    </w:tblStylePr>
    <w:tblStylePr w:type="lastRow">
      <w:rPr>
        <w:rFonts w:cs="Arial"/>
        <w:b/>
        <w:bCs/>
        <w:color w:val="9E3A38"/>
      </w:rPr>
      <w:tblPr/>
      <w:tcPr>
        <w:tcBorders>
          <w:top w:val="single" w:sz="12" w:space="0" w:color="000000"/>
        </w:tcBorders>
        <w:shd w:val="clear" w:color="auto" w:fill="FFFFFF"/>
      </w:tcPr>
    </w:tblStylePr>
    <w:tblStylePr w:type="firstCol">
      <w:rPr>
        <w:rFonts w:cs="Arial"/>
        <w:b/>
        <w:bCs/>
      </w:rPr>
    </w:tblStylePr>
    <w:tblStylePr w:type="lastCol">
      <w:rPr>
        <w:rFonts w:cs="Arial"/>
        <w:b/>
        <w:bCs/>
      </w:rPr>
    </w:tblStylePr>
    <w:tblStylePr w:type="band1Vert">
      <w:rPr>
        <w:rFonts w:cs="Arial"/>
      </w:rPr>
      <w:tblPr/>
      <w:tcPr>
        <w:tcBorders>
          <w:top w:val="nil"/>
          <w:left w:val="nil"/>
          <w:bottom w:val="nil"/>
          <w:right w:val="nil"/>
          <w:insideH w:val="nil"/>
          <w:insideV w:val="nil"/>
        </w:tcBorders>
        <w:shd w:val="clear" w:color="auto" w:fill="D3DFEE"/>
      </w:tcPr>
    </w:tblStylePr>
    <w:tblStylePr w:type="band1Horz">
      <w:rPr>
        <w:rFonts w:cs="Arial"/>
      </w:rPr>
      <w:tblPr/>
      <w:tcPr>
        <w:shd w:val="clear" w:color="auto" w:fill="DBE5F1"/>
      </w:tcPr>
    </w:tblStylePr>
  </w:style>
  <w:style w:type="table" w:styleId="MediumGrid2-Accent2">
    <w:name w:val="Medium Grid 2 Accent 2"/>
    <w:basedOn w:val="TableNormal"/>
    <w:uiPriority w:val="68"/>
    <w:rsid w:val="00FA6A77"/>
    <w:pPr>
      <w:spacing w:after="0" w:line="240" w:lineRule="auto"/>
    </w:pPr>
    <w:rPr>
      <w:rFonts w:ascii="Arial Narrow" w:hAnsi="Arial Narrow" w:cs="Arial"/>
      <w:color w:val="000000"/>
    </w:rPr>
    <w:tblPr>
      <w:tblStyleRowBandSize w:val="1"/>
      <w:tblStyleColBandSize w:val="1"/>
      <w:tblInd w:w="0" w:type="nil"/>
      <w:tblBorders>
        <w:insideH w:val="single" w:sz="4" w:space="0" w:color="FFFFFF"/>
      </w:tblBorders>
    </w:tblPr>
    <w:tcPr>
      <w:shd w:val="clear" w:color="auto" w:fill="DBE5F1"/>
    </w:tcPr>
    <w:tblStylePr w:type="firstRow">
      <w:rPr>
        <w:rFonts w:cs="Arial"/>
        <w:b/>
        <w:bCs/>
      </w:rPr>
      <w:tblPr/>
      <w:tcPr>
        <w:shd w:val="clear" w:color="auto" w:fill="B8CCE4"/>
      </w:tcPr>
    </w:tblStylePr>
    <w:tblStylePr w:type="lastRow">
      <w:rPr>
        <w:rFonts w:cs="Arial"/>
        <w:b/>
        <w:bCs/>
        <w:color w:val="000000"/>
      </w:rPr>
      <w:tblPr/>
      <w:tcPr>
        <w:shd w:val="clear" w:color="auto" w:fill="B8CCE4"/>
      </w:tcPr>
    </w:tblStylePr>
    <w:tblStylePr w:type="firstCol">
      <w:rPr>
        <w:rFonts w:cs="Arial"/>
        <w:color w:val="FFFFFF"/>
      </w:rPr>
      <w:tblPr/>
      <w:tcPr>
        <w:shd w:val="clear" w:color="auto" w:fill="365F91"/>
      </w:tcPr>
    </w:tblStylePr>
    <w:tblStylePr w:type="lastCol">
      <w:rPr>
        <w:rFonts w:cs="Arial"/>
        <w:color w:val="FFFFFF"/>
      </w:rPr>
      <w:tblPr/>
      <w:tcPr>
        <w:shd w:val="clear" w:color="auto" w:fill="365F91"/>
      </w:tcPr>
    </w:tblStylePr>
    <w:tblStylePr w:type="band1Vert">
      <w:rPr>
        <w:rFonts w:cs="Arial"/>
      </w:rPr>
      <w:tblPr/>
      <w:tcPr>
        <w:shd w:val="clear" w:color="auto" w:fill="A7BFDE"/>
      </w:tcPr>
    </w:tblStylePr>
    <w:tblStylePr w:type="band1Horz">
      <w:rPr>
        <w:rFonts w:cs="Arial"/>
      </w:rPr>
      <w:tblPr/>
      <w:tcPr>
        <w:shd w:val="clear" w:color="auto" w:fill="A7BFDE"/>
      </w:tcPr>
    </w:tblStylePr>
  </w:style>
  <w:style w:type="table" w:styleId="MediumGrid3-Accent2">
    <w:name w:val="Medium Grid 3 Accent 2"/>
    <w:basedOn w:val="TableNormal"/>
    <w:uiPriority w:val="69"/>
    <w:rsid w:val="00FA6A77"/>
    <w:pPr>
      <w:spacing w:after="0" w:line="240" w:lineRule="auto"/>
    </w:pPr>
    <w:rPr>
      <w:rFonts w:ascii="Arial Narrow" w:hAnsi="Arial Narrow" w:cs="Arial"/>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pPr>
      <w:rPr>
        <w:rFonts w:cs="Arial"/>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pPr>
      <w:rPr>
        <w:rFonts w:cs="Arial"/>
        <w:b/>
        <w:bCs/>
      </w:rPr>
      <w:tblPr/>
      <w:tcPr>
        <w:tcBorders>
          <w:top w:val="single" w:sz="8" w:space="0" w:color="C0504D"/>
          <w:left w:val="nil"/>
          <w:bottom w:val="single" w:sz="8" w:space="0" w:color="C0504D"/>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EFD3D2"/>
      </w:tcPr>
    </w:tblStylePr>
    <w:tblStylePr w:type="band1Horz">
      <w:rPr>
        <w:rFonts w:cs="Arial"/>
      </w:rPr>
      <w:tblPr/>
      <w:tcPr>
        <w:tcBorders>
          <w:left w:val="nil"/>
          <w:right w:val="nil"/>
          <w:insideH w:val="nil"/>
          <w:insideV w:val="nil"/>
        </w:tcBorders>
        <w:shd w:val="clear" w:color="auto" w:fill="EFD3D2"/>
      </w:tcPr>
    </w:tblStylePr>
  </w:style>
  <w:style w:type="table" w:styleId="DarkList-Accent2">
    <w:name w:val="Dark List Accent 2"/>
    <w:basedOn w:val="TableNormal"/>
    <w:uiPriority w:val="70"/>
    <w:rsid w:val="00FA6A77"/>
    <w:pPr>
      <w:spacing w:after="0" w:line="240" w:lineRule="auto"/>
    </w:pPr>
    <w:rPr>
      <w:rFonts w:ascii="Arial Narrow" w:hAnsi="Arial Narrow" w:cs="Arial"/>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pPr>
      <w:rPr>
        <w:rFonts w:cs="Arial"/>
        <w:b/>
        <w:bCs/>
        <w:color w:val="FFFFFF"/>
      </w:rPr>
      <w:tblPr/>
      <w:tcPr>
        <w:shd w:val="clear" w:color="auto" w:fill="C0504D"/>
      </w:tcPr>
    </w:tblStylePr>
    <w:tblStylePr w:type="lastRow">
      <w:pPr>
        <w:spacing w:beforeLines="0" w:before="0" w:beforeAutospacing="0" w:afterLines="0" w:after="0" w:afterAutospacing="0"/>
      </w:pPr>
      <w:rPr>
        <w:rFonts w:cs="Arial"/>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C0504D"/>
          <w:left w:val="single" w:sz="8" w:space="0" w:color="C0504D"/>
          <w:bottom w:val="single" w:sz="8" w:space="0" w:color="C0504D"/>
          <w:right w:val="single" w:sz="8" w:space="0" w:color="C0504D"/>
        </w:tcBorders>
      </w:tcPr>
    </w:tblStylePr>
    <w:tblStylePr w:type="band1Horz">
      <w:rPr>
        <w:rFonts w:cs="Arial"/>
      </w:rPr>
      <w:tblPr/>
      <w:tcPr>
        <w:tcBorders>
          <w:top w:val="single" w:sz="8" w:space="0" w:color="C0504D"/>
          <w:left w:val="single" w:sz="8" w:space="0" w:color="C0504D"/>
          <w:bottom w:val="single" w:sz="8" w:space="0" w:color="C0504D"/>
          <w:right w:val="single" w:sz="8" w:space="0" w:color="C0504D"/>
        </w:tcBorders>
      </w:tcPr>
    </w:tblStylePr>
  </w:style>
  <w:style w:type="table" w:styleId="ColorfulShading-Accent2">
    <w:name w:val="Colorful Shading Accent 2"/>
    <w:basedOn w:val="TableNormal"/>
    <w:uiPriority w:val="71"/>
    <w:rsid w:val="00FA6A77"/>
    <w:pPr>
      <w:spacing w:after="0" w:line="240" w:lineRule="auto"/>
    </w:pPr>
    <w:rPr>
      <w:rFonts w:ascii="Arial Narrow" w:hAnsi="Arial Narrow" w:cs="Arial"/>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pPr>
      <w:rPr>
        <w:rFonts w:ascii="New York" w:eastAsia="Times New Roman" w:hAnsi="New Yor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pPr>
      <w:rPr>
        <w:rFonts w:ascii="New York" w:eastAsia="Times New Roman" w:hAnsi="New Yor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Arial"/>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Arial"/>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Arial"/>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List-Accent2">
    <w:name w:val="Colorful List Accent 2"/>
    <w:basedOn w:val="TableNormal"/>
    <w:uiPriority w:val="72"/>
    <w:rsid w:val="00FA6A77"/>
    <w:pPr>
      <w:spacing w:after="0" w:line="240" w:lineRule="auto"/>
    </w:pPr>
    <w:rPr>
      <w:rFonts w:ascii="Arial Narrow" w:hAnsi="Arial Narrow" w:cs="Arial"/>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pPr>
      <w:rPr>
        <w:rFonts w:cs="Arial"/>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pPr>
      <w:rPr>
        <w:rFonts w:cs="Arial"/>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EFD3D2"/>
      </w:tcPr>
    </w:tblStylePr>
    <w:tblStylePr w:type="band1Horz">
      <w:rPr>
        <w:rFonts w:cs="Arial"/>
      </w:rPr>
      <w:tblPr/>
      <w:tcPr>
        <w:tcBorders>
          <w:insideH w:val="nil"/>
          <w:insideV w:val="nil"/>
        </w:tcBorders>
        <w:shd w:val="clear" w:color="auto" w:fill="EFD3D2"/>
      </w:tcPr>
    </w:tblStylePr>
    <w:tblStylePr w:type="band2Horz">
      <w:rPr>
        <w:rFonts w:cs="Arial"/>
      </w:rPr>
      <w:tblPr/>
      <w:tcPr>
        <w:tcBorders>
          <w:insideH w:val="nil"/>
          <w:insideV w:val="nil"/>
        </w:tcBorders>
      </w:tcPr>
    </w:tblStylePr>
  </w:style>
  <w:style w:type="table" w:styleId="ColorfulGrid-Accent2">
    <w:name w:val="Colorful Grid Accent 2"/>
    <w:basedOn w:val="TableNormal"/>
    <w:uiPriority w:val="73"/>
    <w:rsid w:val="00FA6A77"/>
    <w:pPr>
      <w:spacing w:after="0" w:line="240" w:lineRule="auto"/>
    </w:pPr>
    <w:rPr>
      <w:rFonts w:ascii="Arial Narrow" w:hAnsi="Arial Narrow" w:cs="Arial"/>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rFonts w:cs="Arial"/>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pPr>
      <w:rPr>
        <w:rFonts w:cs="Arial"/>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Arial"/>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Arial"/>
        <w:b/>
        <w:bCs/>
        <w:color w:val="FFFFFF"/>
      </w:rPr>
      <w:tblPr/>
      <w:tcPr>
        <w:tcBorders>
          <w:left w:val="nil"/>
          <w:right w:val="nil"/>
          <w:insideH w:val="nil"/>
          <w:insideV w:val="nil"/>
        </w:tcBorders>
        <w:shd w:val="clear" w:color="auto" w:fill="C0504D"/>
      </w:tcPr>
    </w:tblStylePr>
    <w:tblStylePr w:type="band1Vert">
      <w:rPr>
        <w:rFonts w:cs="Arial"/>
      </w:rPr>
      <w:tblPr/>
      <w:tcPr>
        <w:tcBorders>
          <w:left w:val="nil"/>
          <w:right w:val="nil"/>
          <w:insideH w:val="nil"/>
          <w:insideV w:val="nil"/>
        </w:tcBorders>
        <w:shd w:val="clear" w:color="auto" w:fill="D8D8D8"/>
      </w:tcPr>
    </w:tblStylePr>
    <w:tblStylePr w:type="band1Horz">
      <w:rPr>
        <w:rFonts w:cs="Arial"/>
      </w:rPr>
      <w:tblPr/>
      <w:tcPr>
        <w:shd w:val="clear" w:color="auto" w:fill="D8D8D8"/>
      </w:tcPr>
    </w:tblStylePr>
    <w:tblStylePr w:type="neCell">
      <w:rPr>
        <w:rFonts w:cs="Arial"/>
      </w:rPr>
      <w:tblPr/>
      <w:tcPr>
        <w:tcBorders>
          <w:top w:val="single" w:sz="18" w:space="0" w:color="auto"/>
          <w:left w:val="nil"/>
          <w:bottom w:val="single" w:sz="18" w:space="0" w:color="auto"/>
          <w:right w:val="nil"/>
          <w:insideH w:val="nil"/>
          <w:insideV w:val="nil"/>
        </w:tcBorders>
      </w:tcPr>
    </w:tblStylePr>
    <w:tblStylePr w:type="nwCell">
      <w:rPr>
        <w:rFonts w:cs="Arial"/>
        <w:color w:val="FFFFFF"/>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uiPriority w:val="60"/>
    <w:rsid w:val="00FA6A77"/>
    <w:pPr>
      <w:spacing w:after="0" w:line="240" w:lineRule="auto"/>
    </w:pPr>
    <w:rPr>
      <w:rFonts w:ascii="Arial Narrow" w:hAnsi="Arial Narrow" w:cs="Arial"/>
      <w:color w:val="000000"/>
    </w:rPr>
    <w:tblPr>
      <w:tblStyleRowBandSize w:val="1"/>
      <w:tblStyleColBandSize w:val="1"/>
      <w:tblInd w:w="0" w:type="nil"/>
      <w:tblBorders>
        <w:top w:val="single" w:sz="8" w:space="0" w:color="C0504D"/>
        <w:bottom w:val="single" w:sz="8" w:space="0" w:color="C0504D"/>
      </w:tblBorders>
    </w:tblPr>
    <w:tblStylePr w:type="firstRow">
      <w:rPr>
        <w:rFonts w:ascii="New York" w:eastAsia="Times New Roman" w:hAnsi="New York" w:cs="Times New Roman"/>
      </w:rPr>
      <w:tblPr/>
      <w:tcPr>
        <w:tcBorders>
          <w:top w:val="nil"/>
          <w:bottom w:val="single" w:sz="8" w:space="0" w:color="C0504D"/>
        </w:tcBorders>
      </w:tcPr>
    </w:tblStylePr>
    <w:tblStylePr w:type="lastRow">
      <w:rPr>
        <w:rFonts w:cs="Arial"/>
        <w:b/>
        <w:bCs/>
        <w:color w:val="1F497D"/>
      </w:rPr>
      <w:tblPr/>
      <w:tcPr>
        <w:tcBorders>
          <w:top w:val="single" w:sz="8" w:space="0" w:color="C0504D"/>
          <w:bottom w:val="single" w:sz="8" w:space="0" w:color="C0504D"/>
        </w:tcBorders>
      </w:tcPr>
    </w:tblStylePr>
    <w:tblStylePr w:type="firstCol">
      <w:rPr>
        <w:rFonts w:cs="Arial"/>
        <w:b/>
        <w:bCs/>
      </w:rPr>
    </w:tblStylePr>
    <w:tblStylePr w:type="lastCol">
      <w:rPr>
        <w:rFonts w:cs="Arial"/>
        <w:b/>
        <w:bCs/>
      </w:rPr>
      <w:tblPr/>
      <w:tcPr>
        <w:tcBorders>
          <w:top w:val="single" w:sz="8" w:space="0" w:color="C0504D"/>
          <w:bottom w:val="single" w:sz="8" w:space="0" w:color="C0504D"/>
        </w:tcBorders>
      </w:tcPr>
    </w:tblStylePr>
    <w:tblStylePr w:type="band1Vert">
      <w:rPr>
        <w:rFonts w:cs="Arial"/>
      </w:rPr>
      <w:tblPr/>
      <w:tcPr>
        <w:shd w:val="clear" w:color="auto" w:fill="EFD3D2"/>
      </w:tcPr>
    </w:tblStylePr>
    <w:tblStylePr w:type="band1Horz">
      <w:rPr>
        <w:rFonts w:cs="Arial"/>
      </w:rPr>
      <w:tblPr/>
      <w:tcPr>
        <w:shd w:val="clear" w:color="auto" w:fill="EFD3D2"/>
      </w:tcPr>
    </w:tblStylePr>
  </w:style>
  <w:style w:type="table" w:styleId="LightList-Accent3">
    <w:name w:val="Light List Accent 3"/>
    <w:basedOn w:val="TableNormal"/>
    <w:uiPriority w:val="61"/>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rPr>
        <w:rFonts w:cs="Arial"/>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Arial"/>
      </w:rPr>
      <w:tblPr/>
      <w:tcPr>
        <w:tcBorders>
          <w:top w:val="single" w:sz="8" w:space="0" w:color="C0504D"/>
          <w:left w:val="nil"/>
          <w:bottom w:val="nil"/>
          <w:right w:val="nil"/>
          <w:insideH w:val="nil"/>
          <w:insideV w:val="nil"/>
        </w:tcBorders>
        <w:shd w:val="clear" w:color="auto" w:fill="FFFFFF"/>
      </w:tcPr>
    </w:tblStylePr>
    <w:tblStylePr w:type="firstCol">
      <w:rPr>
        <w:rFonts w:cs="Arial"/>
      </w:rPr>
      <w:tblPr/>
      <w:tcPr>
        <w:tcBorders>
          <w:top w:val="nil"/>
          <w:left w:val="nil"/>
          <w:bottom w:val="nil"/>
          <w:right w:val="single" w:sz="8" w:space="0" w:color="C0504D"/>
          <w:insideH w:val="nil"/>
          <w:insideV w:val="nil"/>
        </w:tcBorders>
        <w:shd w:val="clear" w:color="auto" w:fill="FFFFFF"/>
      </w:tcPr>
    </w:tblStylePr>
    <w:tblStylePr w:type="lastCol">
      <w:rPr>
        <w:rFonts w:cs="Arial"/>
      </w:rPr>
      <w:tblPr/>
      <w:tcPr>
        <w:tcBorders>
          <w:top w:val="nil"/>
          <w:left w:val="single" w:sz="8" w:space="0" w:color="C0504D"/>
          <w:bottom w:val="nil"/>
          <w:right w:val="nil"/>
          <w:insideH w:val="nil"/>
          <w:insideV w:val="nil"/>
        </w:tcBorders>
        <w:shd w:val="clear" w:color="auto" w:fill="FFFFFF"/>
      </w:tcPr>
    </w:tblStylePr>
    <w:tblStylePr w:type="band1Vert">
      <w:rPr>
        <w:rFonts w:cs="Arial"/>
      </w:rPr>
      <w:tblPr/>
      <w:tcPr>
        <w:tcBorders>
          <w:left w:val="nil"/>
          <w:right w:val="nil"/>
          <w:insideH w:val="nil"/>
          <w:insideV w:val="nil"/>
        </w:tcBorders>
        <w:shd w:val="clear" w:color="auto" w:fill="EFD3D2"/>
      </w:tcPr>
    </w:tblStylePr>
    <w:tblStylePr w:type="band1Horz">
      <w:rPr>
        <w:rFonts w:cs="Arial"/>
      </w:rPr>
      <w:tblPr/>
      <w:tcPr>
        <w:tcBorders>
          <w:top w:val="nil"/>
          <w:bottom w:val="nil"/>
          <w:insideH w:val="nil"/>
          <w:insideV w:val="nil"/>
        </w:tcBorders>
        <w:shd w:val="clear" w:color="auto" w:fill="EFD3D2"/>
      </w:tcPr>
    </w:tblStylePr>
    <w:tblStylePr w:type="nwCell">
      <w:rPr>
        <w:rFonts w:cs="Arial"/>
      </w:rPr>
      <w:tblPr/>
      <w:tcPr>
        <w:shd w:val="clear" w:color="auto" w:fill="FFFFFF"/>
      </w:tcPr>
    </w:tblStylePr>
    <w:tblStylePr w:type="swCell">
      <w:rPr>
        <w:rFonts w:cs="Arial"/>
      </w:rPr>
      <w:tblPr/>
      <w:tcPr>
        <w:tcBorders>
          <w:top w:val="nil"/>
        </w:tcBorders>
      </w:tcPr>
    </w:tblStylePr>
  </w:style>
  <w:style w:type="table" w:styleId="LightGrid-Accent3">
    <w:name w:val="Light Grid Accent 3"/>
    <w:basedOn w:val="TableNormal"/>
    <w:uiPriority w:val="62"/>
    <w:rsid w:val="00FA6A77"/>
    <w:pPr>
      <w:spacing w:after="0" w:line="240" w:lineRule="auto"/>
    </w:pPr>
    <w:rPr>
      <w:rFonts w:ascii="Arial Narrow" w:hAnsi="Arial Narrow" w:cs="Arial"/>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Arial"/>
        <w:b/>
        <w:bCs/>
      </w:rPr>
    </w:tblStylePr>
    <w:tblStylePr w:type="lastRow">
      <w:rPr>
        <w:rFonts w:cs="Arial"/>
        <w:b/>
        <w:bCs/>
      </w:rPr>
      <w:tblPr/>
      <w:tcPr>
        <w:tcBorders>
          <w:top w:val="single" w:sz="18" w:space="0" w:color="CF7B79"/>
        </w:tcBorders>
      </w:tcPr>
    </w:tblStylePr>
    <w:tblStylePr w:type="firstCol">
      <w:rPr>
        <w:rFonts w:cs="Arial"/>
        <w:b/>
        <w:bCs/>
      </w:rPr>
    </w:tblStylePr>
    <w:tblStylePr w:type="lastCol">
      <w:rPr>
        <w:rFonts w:cs="Arial"/>
        <w:b/>
        <w:bCs/>
      </w:rPr>
    </w:tblStylePr>
    <w:tblStylePr w:type="band1Vert">
      <w:rPr>
        <w:rFonts w:cs="Arial"/>
      </w:rPr>
      <w:tblPr/>
      <w:tcPr>
        <w:shd w:val="clear" w:color="auto" w:fill="DFA7A6"/>
      </w:tcPr>
    </w:tblStylePr>
    <w:tblStylePr w:type="band1Horz">
      <w:rPr>
        <w:rFonts w:cs="Arial"/>
      </w:rPr>
      <w:tblPr/>
      <w:tcPr>
        <w:shd w:val="clear" w:color="auto" w:fill="DFA7A6"/>
      </w:tcPr>
    </w:tblStylePr>
  </w:style>
  <w:style w:type="table" w:styleId="MediumShading1-Accent3">
    <w:name w:val="Medium Shading 1 Accent 3"/>
    <w:basedOn w:val="TableNormal"/>
    <w:uiPriority w:val="63"/>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Arial"/>
        <w:b/>
        <w:bCs/>
        <w:color w:val="000000"/>
      </w:rPr>
      <w:tblPr/>
      <w:tcPr>
        <w:shd w:val="clear" w:color="auto" w:fill="F8EDED"/>
      </w:tcPr>
    </w:tblStylePr>
    <w:tblStylePr w:type="lastRow">
      <w:rPr>
        <w:rFonts w:cs="Arial"/>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Arial"/>
        <w:b/>
        <w:bCs/>
        <w:color w:val="000000"/>
      </w:rPr>
      <w:tblPr/>
      <w:tcPr>
        <w:tcBorders>
          <w:top w:val="nil"/>
          <w:left w:val="nil"/>
          <w:bottom w:val="nil"/>
          <w:right w:val="nil"/>
          <w:insideH w:val="nil"/>
          <w:insideV w:val="nil"/>
        </w:tcBorders>
        <w:shd w:val="clear" w:color="auto" w:fill="FFFFFF"/>
      </w:tcPr>
    </w:tblStylePr>
    <w:tblStylePr w:type="lastCol">
      <w:rPr>
        <w:rFonts w:cs="Arial"/>
        <w:b w:val="0"/>
        <w:bCs w:val="0"/>
        <w:color w:val="000000"/>
      </w:rPr>
      <w:tblPr/>
      <w:tcPr>
        <w:tcBorders>
          <w:top w:val="nil"/>
          <w:left w:val="nil"/>
          <w:bottom w:val="nil"/>
          <w:right w:val="nil"/>
          <w:insideH w:val="nil"/>
          <w:insideV w:val="nil"/>
        </w:tcBorders>
        <w:shd w:val="clear" w:color="auto" w:fill="F2DBDB"/>
      </w:tcPr>
    </w:tblStylePr>
    <w:tblStylePr w:type="band1Vert">
      <w:rPr>
        <w:rFonts w:cs="Arial"/>
      </w:rPr>
      <w:tblPr/>
      <w:tcPr>
        <w:shd w:val="clear" w:color="auto" w:fill="DFA7A6"/>
      </w:tcPr>
    </w:tblStylePr>
    <w:tblStylePr w:type="band1Horz">
      <w:rPr>
        <w:rFonts w:cs="Arial"/>
      </w:rPr>
      <w:tblPr/>
      <w:tcPr>
        <w:tcBorders>
          <w:insideH w:val="single" w:sz="6" w:space="0" w:color="C0504D"/>
          <w:insideV w:val="single" w:sz="6" w:space="0" w:color="C0504D"/>
        </w:tcBorders>
        <w:shd w:val="clear" w:color="auto" w:fill="DFA7A6"/>
      </w:tcPr>
    </w:tblStylePr>
    <w:tblStylePr w:type="nwCell">
      <w:rPr>
        <w:rFonts w:cs="Arial"/>
      </w:rPr>
      <w:tblPr/>
      <w:tcPr>
        <w:shd w:val="clear" w:color="auto" w:fill="FFFFFF"/>
      </w:tcPr>
    </w:tblStylePr>
  </w:style>
  <w:style w:type="table" w:styleId="MediumShading2-Accent3">
    <w:name w:val="Medium Shading 2 Accent 3"/>
    <w:basedOn w:val="TableNormal"/>
    <w:uiPriority w:val="64"/>
    <w:rsid w:val="00FA6A77"/>
    <w:pPr>
      <w:spacing w:after="0" w:line="240" w:lineRule="auto"/>
    </w:pPr>
    <w:rPr>
      <w:rFonts w:ascii="Arial Narrow" w:hAnsi="Arial Narrow" w:cs="Arial"/>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Arial"/>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Arial"/>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Arial"/>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Arial"/>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Arial"/>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Arial"/>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List1-Accent3">
    <w:name w:val="Medium List 1 Accent 3"/>
    <w:basedOn w:val="TableNormal"/>
    <w:uiPriority w:val="65"/>
    <w:rsid w:val="00FA6A77"/>
    <w:pPr>
      <w:spacing w:after="0" w:line="240" w:lineRule="auto"/>
    </w:pPr>
    <w:rPr>
      <w:rFonts w:ascii="Arial Narrow" w:hAnsi="Arial Narrow" w:cs="Arial"/>
      <w:color w:val="FFFFFF"/>
    </w:rPr>
    <w:tblPr>
      <w:tblStyleRowBandSize w:val="1"/>
      <w:tblStyleColBandSize w:val="1"/>
      <w:tblInd w:w="0" w:type="nil"/>
    </w:tblPr>
    <w:tcPr>
      <w:shd w:val="clear" w:color="auto" w:fill="C0504D"/>
    </w:tcPr>
    <w:tblStylePr w:type="firstRow">
      <w:rPr>
        <w:rFonts w:cs="Arial"/>
        <w:b/>
        <w:bCs/>
      </w:rPr>
      <w:tblPr/>
      <w:tcPr>
        <w:tcBorders>
          <w:top w:val="nil"/>
          <w:left w:val="nil"/>
          <w:bottom w:val="single" w:sz="18" w:space="0" w:color="FFFFFF"/>
          <w:right w:val="nil"/>
          <w:insideH w:val="nil"/>
          <w:insideV w:val="nil"/>
        </w:tcBorders>
        <w:shd w:val="clear" w:color="auto" w:fill="000000"/>
      </w:tcPr>
    </w:tblStylePr>
    <w:tblStylePr w:type="lastRow">
      <w:rPr>
        <w:rFonts w:cs="Arial"/>
      </w:rPr>
      <w:tblPr/>
      <w:tcPr>
        <w:tcBorders>
          <w:top w:val="single" w:sz="18" w:space="0" w:color="FFFFFF"/>
          <w:left w:val="nil"/>
          <w:bottom w:val="nil"/>
          <w:right w:val="nil"/>
          <w:insideH w:val="nil"/>
          <w:insideV w:val="nil"/>
        </w:tcBorders>
        <w:shd w:val="clear" w:color="auto" w:fill="622423"/>
      </w:tcPr>
    </w:tblStylePr>
    <w:tblStylePr w:type="firstCol">
      <w:rPr>
        <w:rFonts w:cs="Arial"/>
      </w:rPr>
      <w:tblPr/>
      <w:tcPr>
        <w:tcBorders>
          <w:top w:val="nil"/>
          <w:left w:val="nil"/>
          <w:bottom w:val="nil"/>
          <w:right w:val="single" w:sz="18" w:space="0" w:color="FFFFFF"/>
          <w:insideH w:val="nil"/>
          <w:insideV w:val="nil"/>
        </w:tcBorders>
        <w:shd w:val="clear" w:color="auto" w:fill="943634"/>
      </w:tcPr>
    </w:tblStylePr>
    <w:tblStylePr w:type="lastCol">
      <w:rPr>
        <w:rFonts w:cs="Arial"/>
      </w:rPr>
      <w:tblPr/>
      <w:tcPr>
        <w:tcBorders>
          <w:top w:val="nil"/>
          <w:left w:val="single" w:sz="18" w:space="0" w:color="FFFFFF"/>
          <w:bottom w:val="nil"/>
          <w:right w:val="nil"/>
          <w:insideH w:val="nil"/>
          <w:insideV w:val="nil"/>
        </w:tcBorders>
        <w:shd w:val="clear" w:color="auto" w:fill="943634"/>
      </w:tcPr>
    </w:tblStylePr>
    <w:tblStylePr w:type="band1Vert">
      <w:rPr>
        <w:rFonts w:cs="Arial"/>
      </w:rPr>
      <w:tblPr/>
      <w:tcPr>
        <w:tcBorders>
          <w:top w:val="nil"/>
          <w:left w:val="nil"/>
          <w:bottom w:val="nil"/>
          <w:right w:val="nil"/>
          <w:insideH w:val="nil"/>
          <w:insideV w:val="nil"/>
        </w:tcBorders>
        <w:shd w:val="clear" w:color="auto" w:fill="943634"/>
      </w:tcPr>
    </w:tblStylePr>
    <w:tblStylePr w:type="band1Horz">
      <w:rPr>
        <w:rFonts w:cs="Arial"/>
      </w:rPr>
      <w:tblPr/>
      <w:tcPr>
        <w:tcBorders>
          <w:top w:val="nil"/>
          <w:left w:val="nil"/>
          <w:bottom w:val="nil"/>
          <w:right w:val="nil"/>
          <w:insideH w:val="nil"/>
          <w:insideV w:val="nil"/>
        </w:tcBorders>
        <w:shd w:val="clear" w:color="auto" w:fill="943634"/>
      </w:tcPr>
    </w:tblStylePr>
  </w:style>
  <w:style w:type="table" w:styleId="MediumGrid1-Accent3">
    <w:name w:val="Medium Grid 1 Accent 3"/>
    <w:basedOn w:val="TableNormal"/>
    <w:uiPriority w:val="67"/>
    <w:rsid w:val="00FA6A77"/>
    <w:pPr>
      <w:spacing w:after="0" w:line="240" w:lineRule="auto"/>
    </w:pPr>
    <w:rPr>
      <w:rFonts w:ascii="Arial Narrow" w:hAnsi="Arial Narrow" w:cs="Arial"/>
      <w:color w:val="000000"/>
    </w:rPr>
    <w:tblPr>
      <w:tblStyleRowBandSize w:val="1"/>
      <w:tblStyleColBandSize w:val="1"/>
      <w:tblInd w:w="0" w:type="nil"/>
    </w:tblPr>
    <w:tcPr>
      <w:shd w:val="clear" w:color="auto" w:fill="F8EDED"/>
    </w:tcPr>
    <w:tblStylePr w:type="firstRow">
      <w:rPr>
        <w:rFonts w:cs="Arial"/>
        <w:b/>
        <w:bCs/>
        <w:color w:val="FFFFFF"/>
      </w:rPr>
      <w:tblPr/>
      <w:tcPr>
        <w:tcBorders>
          <w:bottom w:val="single" w:sz="12" w:space="0" w:color="FFFFFF"/>
        </w:tcBorders>
        <w:shd w:val="clear" w:color="auto" w:fill="9E3A38"/>
      </w:tcPr>
    </w:tblStylePr>
    <w:tblStylePr w:type="lastRow">
      <w:rPr>
        <w:rFonts w:cs="Arial"/>
        <w:b/>
        <w:bCs/>
        <w:color w:val="9E3A38"/>
      </w:rPr>
      <w:tblPr/>
      <w:tcPr>
        <w:tcBorders>
          <w:top w:val="single" w:sz="12" w:space="0" w:color="000000"/>
        </w:tcBorders>
        <w:shd w:val="clear" w:color="auto" w:fill="FFFFFF"/>
      </w:tcPr>
    </w:tblStylePr>
    <w:tblStylePr w:type="firstCol">
      <w:rPr>
        <w:rFonts w:cs="Arial"/>
        <w:b/>
        <w:bCs/>
      </w:rPr>
    </w:tblStylePr>
    <w:tblStylePr w:type="lastCol">
      <w:rPr>
        <w:rFonts w:cs="Arial"/>
        <w:b/>
        <w:bCs/>
      </w:rPr>
    </w:tblStylePr>
    <w:tblStylePr w:type="band1Vert">
      <w:rPr>
        <w:rFonts w:cs="Arial"/>
      </w:rPr>
      <w:tblPr/>
      <w:tcPr>
        <w:tcBorders>
          <w:top w:val="nil"/>
          <w:left w:val="nil"/>
          <w:bottom w:val="nil"/>
          <w:right w:val="nil"/>
          <w:insideH w:val="nil"/>
          <w:insideV w:val="nil"/>
        </w:tcBorders>
        <w:shd w:val="clear" w:color="auto" w:fill="EFD3D2"/>
      </w:tcPr>
    </w:tblStylePr>
    <w:tblStylePr w:type="band1Horz">
      <w:rPr>
        <w:rFonts w:cs="Arial"/>
      </w:rPr>
      <w:tblPr/>
      <w:tcPr>
        <w:shd w:val="clear" w:color="auto" w:fill="F2DBDB"/>
      </w:tcPr>
    </w:tblStylePr>
  </w:style>
  <w:style w:type="table" w:styleId="MediumGrid2-Accent3">
    <w:name w:val="Medium Grid 2 Accent 3"/>
    <w:basedOn w:val="TableNormal"/>
    <w:uiPriority w:val="68"/>
    <w:rsid w:val="00FA6A77"/>
    <w:pPr>
      <w:spacing w:after="0" w:line="240" w:lineRule="auto"/>
    </w:pPr>
    <w:rPr>
      <w:rFonts w:ascii="Arial Narrow" w:hAnsi="Arial Narrow" w:cs="Arial"/>
      <w:color w:val="000000"/>
    </w:rPr>
    <w:tblPr>
      <w:tblStyleRowBandSize w:val="1"/>
      <w:tblStyleColBandSize w:val="1"/>
      <w:tblInd w:w="0" w:type="nil"/>
      <w:tblBorders>
        <w:insideH w:val="single" w:sz="4" w:space="0" w:color="FFFFFF"/>
      </w:tblBorders>
    </w:tblPr>
    <w:tcPr>
      <w:shd w:val="clear" w:color="auto" w:fill="F2DBDB"/>
    </w:tcPr>
    <w:tblStylePr w:type="firstRow">
      <w:rPr>
        <w:rFonts w:cs="Arial"/>
        <w:b/>
        <w:bCs/>
      </w:rPr>
      <w:tblPr/>
      <w:tcPr>
        <w:shd w:val="clear" w:color="auto" w:fill="E5B8B7"/>
      </w:tcPr>
    </w:tblStylePr>
    <w:tblStylePr w:type="lastRow">
      <w:rPr>
        <w:rFonts w:cs="Arial"/>
        <w:b/>
        <w:bCs/>
        <w:color w:val="000000"/>
      </w:rPr>
      <w:tblPr/>
      <w:tcPr>
        <w:shd w:val="clear" w:color="auto" w:fill="E5B8B7"/>
      </w:tcPr>
    </w:tblStylePr>
    <w:tblStylePr w:type="firstCol">
      <w:rPr>
        <w:rFonts w:cs="Arial"/>
        <w:color w:val="FFFFFF"/>
      </w:rPr>
      <w:tblPr/>
      <w:tcPr>
        <w:shd w:val="clear" w:color="auto" w:fill="943634"/>
      </w:tcPr>
    </w:tblStylePr>
    <w:tblStylePr w:type="lastCol">
      <w:rPr>
        <w:rFonts w:cs="Arial"/>
        <w:color w:val="FFFFFF"/>
      </w:rPr>
      <w:tblPr/>
      <w:tcPr>
        <w:shd w:val="clear" w:color="auto" w:fill="943634"/>
      </w:tcPr>
    </w:tblStylePr>
    <w:tblStylePr w:type="band1Vert">
      <w:rPr>
        <w:rFonts w:cs="Arial"/>
      </w:rPr>
      <w:tblPr/>
      <w:tcPr>
        <w:shd w:val="clear" w:color="auto" w:fill="DFA7A6"/>
      </w:tcPr>
    </w:tblStylePr>
    <w:tblStylePr w:type="band1Horz">
      <w:rPr>
        <w:rFonts w:cs="Arial"/>
      </w:rPr>
      <w:tblPr/>
      <w:tcPr>
        <w:shd w:val="clear" w:color="auto" w:fill="DFA7A6"/>
      </w:tcPr>
    </w:tblStylePr>
  </w:style>
  <w:style w:type="table" w:styleId="MediumGrid3-Accent3">
    <w:name w:val="Medium Grid 3 Accent 3"/>
    <w:basedOn w:val="TableNormal"/>
    <w:uiPriority w:val="69"/>
    <w:rsid w:val="00FA6A77"/>
    <w:pPr>
      <w:spacing w:after="0" w:line="240" w:lineRule="auto"/>
    </w:pPr>
    <w:rPr>
      <w:rFonts w:ascii="Arial Narrow" w:hAnsi="Arial Narrow" w:cs="Arial"/>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pPr>
      <w:rPr>
        <w:rFonts w:cs="Arial"/>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pPr>
      <w:rPr>
        <w:rFonts w:cs="Arial"/>
        <w:b/>
        <w:bCs/>
      </w:rPr>
      <w:tblPr/>
      <w:tcPr>
        <w:tcBorders>
          <w:top w:val="single" w:sz="8" w:space="0" w:color="9BBB59"/>
          <w:left w:val="nil"/>
          <w:bottom w:val="single" w:sz="8" w:space="0" w:color="9BBB59"/>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E6EED5"/>
      </w:tcPr>
    </w:tblStylePr>
    <w:tblStylePr w:type="band1Horz">
      <w:rPr>
        <w:rFonts w:cs="Arial"/>
      </w:rPr>
      <w:tblPr/>
      <w:tcPr>
        <w:tcBorders>
          <w:left w:val="nil"/>
          <w:right w:val="nil"/>
          <w:insideH w:val="nil"/>
          <w:insideV w:val="nil"/>
        </w:tcBorders>
        <w:shd w:val="clear" w:color="auto" w:fill="E6EED5"/>
      </w:tcPr>
    </w:tblStylePr>
  </w:style>
  <w:style w:type="table" w:styleId="DarkList-Accent3">
    <w:name w:val="Dark List Accent 3"/>
    <w:basedOn w:val="TableNormal"/>
    <w:uiPriority w:val="70"/>
    <w:rsid w:val="00FA6A77"/>
    <w:pPr>
      <w:spacing w:after="0" w:line="240" w:lineRule="auto"/>
    </w:pPr>
    <w:rPr>
      <w:rFonts w:ascii="Arial Narrow" w:hAnsi="Arial Narrow" w:cs="Arial"/>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pPr>
      <w:rPr>
        <w:rFonts w:cs="Arial"/>
        <w:b/>
        <w:bCs/>
        <w:color w:val="FFFFFF"/>
      </w:rPr>
      <w:tblPr/>
      <w:tcPr>
        <w:shd w:val="clear" w:color="auto" w:fill="9BBB59"/>
      </w:tcPr>
    </w:tblStylePr>
    <w:tblStylePr w:type="lastRow">
      <w:pPr>
        <w:spacing w:beforeLines="0" w:before="0" w:beforeAutospacing="0" w:afterLines="0" w:after="0" w:afterAutospacing="0"/>
      </w:pPr>
      <w:rPr>
        <w:rFonts w:cs="Arial"/>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9BBB59"/>
          <w:left w:val="single" w:sz="8" w:space="0" w:color="9BBB59"/>
          <w:bottom w:val="single" w:sz="8" w:space="0" w:color="9BBB59"/>
          <w:right w:val="single" w:sz="8" w:space="0" w:color="9BBB59"/>
        </w:tcBorders>
      </w:tcPr>
    </w:tblStylePr>
    <w:tblStylePr w:type="band1Horz">
      <w:rPr>
        <w:rFonts w:cs="Arial"/>
      </w:rPr>
      <w:tblPr/>
      <w:tcPr>
        <w:tcBorders>
          <w:top w:val="single" w:sz="8" w:space="0" w:color="9BBB59"/>
          <w:left w:val="single" w:sz="8" w:space="0" w:color="9BBB59"/>
          <w:bottom w:val="single" w:sz="8" w:space="0" w:color="9BBB59"/>
          <w:right w:val="single" w:sz="8" w:space="0" w:color="9BBB59"/>
        </w:tcBorders>
      </w:tcPr>
    </w:tblStylePr>
  </w:style>
  <w:style w:type="table" w:styleId="ColorfulShading-Accent3">
    <w:name w:val="Colorful Shading Accent 3"/>
    <w:basedOn w:val="TableNormal"/>
    <w:uiPriority w:val="71"/>
    <w:rsid w:val="00FA6A77"/>
    <w:pPr>
      <w:spacing w:after="0" w:line="240" w:lineRule="auto"/>
    </w:pPr>
    <w:rPr>
      <w:rFonts w:ascii="Arial Narrow" w:hAnsi="Arial Narrow" w:cs="Arial"/>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pPr>
      <w:rPr>
        <w:rFonts w:ascii="New York" w:eastAsia="Times New Roman" w:hAnsi="New Yor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pPr>
      <w:rPr>
        <w:rFonts w:ascii="New York" w:eastAsia="Times New Roman" w:hAnsi="New Yor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Arial"/>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Arial"/>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Arial"/>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List-Accent3">
    <w:name w:val="Colorful List Accent 3"/>
    <w:basedOn w:val="TableNormal"/>
    <w:uiPriority w:val="72"/>
    <w:rsid w:val="00FA6A77"/>
    <w:pPr>
      <w:spacing w:after="0" w:line="240" w:lineRule="auto"/>
    </w:pPr>
    <w:rPr>
      <w:rFonts w:ascii="Arial Narrow" w:hAnsi="Arial Narrow" w:cs="Arial"/>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pPr>
      <w:rPr>
        <w:rFonts w:cs="Arial"/>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pPr>
      <w:rPr>
        <w:rFonts w:cs="Arial"/>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E6EED5"/>
      </w:tcPr>
    </w:tblStylePr>
    <w:tblStylePr w:type="band1Horz">
      <w:rPr>
        <w:rFonts w:cs="Arial"/>
      </w:rPr>
      <w:tblPr/>
      <w:tcPr>
        <w:tcBorders>
          <w:insideH w:val="nil"/>
          <w:insideV w:val="nil"/>
        </w:tcBorders>
        <w:shd w:val="clear" w:color="auto" w:fill="E6EED5"/>
      </w:tcPr>
    </w:tblStylePr>
    <w:tblStylePr w:type="band2Horz">
      <w:rPr>
        <w:rFonts w:cs="Arial"/>
      </w:rPr>
      <w:tblPr/>
      <w:tcPr>
        <w:tcBorders>
          <w:insideH w:val="nil"/>
          <w:insideV w:val="nil"/>
        </w:tcBorders>
      </w:tcPr>
    </w:tblStylePr>
  </w:style>
  <w:style w:type="table" w:styleId="ColorfulGrid-Accent3">
    <w:name w:val="Colorful Grid Accent 3"/>
    <w:basedOn w:val="TableNormal"/>
    <w:uiPriority w:val="73"/>
    <w:rsid w:val="00FA6A77"/>
    <w:pPr>
      <w:spacing w:after="0" w:line="240" w:lineRule="auto"/>
    </w:pPr>
    <w:rPr>
      <w:rFonts w:ascii="Arial Narrow" w:hAnsi="Arial Narrow" w:cs="Arial"/>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rFonts w:cs="Arial"/>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pPr>
      <w:rPr>
        <w:rFonts w:cs="Arial"/>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Arial"/>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Arial"/>
        <w:b/>
        <w:bCs/>
        <w:color w:val="FFFFFF"/>
      </w:rPr>
      <w:tblPr/>
      <w:tcPr>
        <w:tcBorders>
          <w:left w:val="nil"/>
          <w:right w:val="nil"/>
          <w:insideH w:val="nil"/>
          <w:insideV w:val="nil"/>
        </w:tcBorders>
        <w:shd w:val="clear" w:color="auto" w:fill="9BBB59"/>
      </w:tcPr>
    </w:tblStylePr>
    <w:tblStylePr w:type="band1Vert">
      <w:rPr>
        <w:rFonts w:cs="Arial"/>
      </w:rPr>
      <w:tblPr/>
      <w:tcPr>
        <w:tcBorders>
          <w:left w:val="nil"/>
          <w:right w:val="nil"/>
          <w:insideH w:val="nil"/>
          <w:insideV w:val="nil"/>
        </w:tcBorders>
        <w:shd w:val="clear" w:color="auto" w:fill="D8D8D8"/>
      </w:tcPr>
    </w:tblStylePr>
    <w:tblStylePr w:type="band1Horz">
      <w:rPr>
        <w:rFonts w:cs="Arial"/>
      </w:rPr>
      <w:tblPr/>
      <w:tcPr>
        <w:shd w:val="clear" w:color="auto" w:fill="D8D8D8"/>
      </w:tcPr>
    </w:tblStylePr>
    <w:tblStylePr w:type="neCell">
      <w:rPr>
        <w:rFonts w:cs="Arial"/>
      </w:rPr>
      <w:tblPr/>
      <w:tcPr>
        <w:tcBorders>
          <w:top w:val="single" w:sz="18" w:space="0" w:color="auto"/>
          <w:left w:val="nil"/>
          <w:bottom w:val="single" w:sz="18" w:space="0" w:color="auto"/>
          <w:right w:val="nil"/>
          <w:insideH w:val="nil"/>
          <w:insideV w:val="nil"/>
        </w:tcBorders>
      </w:tcPr>
    </w:tblStylePr>
    <w:tblStylePr w:type="nwCell">
      <w:rPr>
        <w:rFonts w:cs="Arial"/>
        <w:color w:val="FFFFFF"/>
      </w:rPr>
      <w:tblPr/>
      <w:tcPr>
        <w:tcBorders>
          <w:top w:val="single" w:sz="18" w:space="0" w:color="auto"/>
          <w:left w:val="nil"/>
          <w:bottom w:val="single" w:sz="18" w:space="0" w:color="auto"/>
          <w:right w:val="nil"/>
          <w:insideH w:val="nil"/>
          <w:insideV w:val="nil"/>
        </w:tcBorders>
      </w:tcPr>
    </w:tblStylePr>
  </w:style>
  <w:style w:type="table" w:styleId="LightShading-Accent4">
    <w:name w:val="Light Shading Accent 4"/>
    <w:basedOn w:val="TableNormal"/>
    <w:uiPriority w:val="60"/>
    <w:rsid w:val="00FA6A77"/>
    <w:pPr>
      <w:spacing w:after="0" w:line="240" w:lineRule="auto"/>
    </w:pPr>
    <w:rPr>
      <w:rFonts w:ascii="Arial Narrow" w:hAnsi="Arial Narrow" w:cs="Arial"/>
      <w:color w:val="000000"/>
    </w:rPr>
    <w:tblPr>
      <w:tblStyleRowBandSize w:val="1"/>
      <w:tblStyleColBandSize w:val="1"/>
      <w:tblInd w:w="0" w:type="nil"/>
      <w:tblBorders>
        <w:top w:val="single" w:sz="8" w:space="0" w:color="9BBB59"/>
        <w:bottom w:val="single" w:sz="8" w:space="0" w:color="9BBB59"/>
      </w:tblBorders>
    </w:tblPr>
    <w:tblStylePr w:type="firstRow">
      <w:rPr>
        <w:rFonts w:ascii="New York" w:eastAsia="Times New Roman" w:hAnsi="New York" w:cs="Times New Roman"/>
      </w:rPr>
      <w:tblPr/>
      <w:tcPr>
        <w:tcBorders>
          <w:top w:val="nil"/>
          <w:bottom w:val="single" w:sz="8" w:space="0" w:color="9BBB59"/>
        </w:tcBorders>
      </w:tcPr>
    </w:tblStylePr>
    <w:tblStylePr w:type="lastRow">
      <w:rPr>
        <w:rFonts w:cs="Arial"/>
        <w:b/>
        <w:bCs/>
        <w:color w:val="1F497D"/>
      </w:rPr>
      <w:tblPr/>
      <w:tcPr>
        <w:tcBorders>
          <w:top w:val="single" w:sz="8" w:space="0" w:color="9BBB59"/>
          <w:bottom w:val="single" w:sz="8" w:space="0" w:color="9BBB59"/>
        </w:tcBorders>
      </w:tcPr>
    </w:tblStylePr>
    <w:tblStylePr w:type="firstCol">
      <w:rPr>
        <w:rFonts w:cs="Arial"/>
        <w:b/>
        <w:bCs/>
      </w:rPr>
    </w:tblStylePr>
    <w:tblStylePr w:type="lastCol">
      <w:rPr>
        <w:rFonts w:cs="Arial"/>
        <w:b/>
        <w:bCs/>
      </w:rPr>
      <w:tblPr/>
      <w:tcPr>
        <w:tcBorders>
          <w:top w:val="single" w:sz="8" w:space="0" w:color="9BBB59"/>
          <w:bottom w:val="single" w:sz="8" w:space="0" w:color="9BBB59"/>
        </w:tcBorders>
      </w:tcPr>
    </w:tblStylePr>
    <w:tblStylePr w:type="band1Vert">
      <w:rPr>
        <w:rFonts w:cs="Arial"/>
      </w:rPr>
      <w:tblPr/>
      <w:tcPr>
        <w:shd w:val="clear" w:color="auto" w:fill="E6EED5"/>
      </w:tcPr>
    </w:tblStylePr>
    <w:tblStylePr w:type="band1Horz">
      <w:rPr>
        <w:rFonts w:cs="Arial"/>
      </w:rPr>
      <w:tblPr/>
      <w:tcPr>
        <w:shd w:val="clear" w:color="auto" w:fill="E6EED5"/>
      </w:tcPr>
    </w:tblStylePr>
  </w:style>
  <w:style w:type="table" w:styleId="LightList-Accent4">
    <w:name w:val="Light List Accent 4"/>
    <w:basedOn w:val="TableNormal"/>
    <w:uiPriority w:val="61"/>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rPr>
        <w:rFonts w:cs="Arial"/>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Arial"/>
      </w:rPr>
      <w:tblPr/>
      <w:tcPr>
        <w:tcBorders>
          <w:top w:val="single" w:sz="8" w:space="0" w:color="9BBB59"/>
          <w:left w:val="nil"/>
          <w:bottom w:val="nil"/>
          <w:right w:val="nil"/>
          <w:insideH w:val="nil"/>
          <w:insideV w:val="nil"/>
        </w:tcBorders>
        <w:shd w:val="clear" w:color="auto" w:fill="FFFFFF"/>
      </w:tcPr>
    </w:tblStylePr>
    <w:tblStylePr w:type="firstCol">
      <w:rPr>
        <w:rFonts w:cs="Arial"/>
      </w:rPr>
      <w:tblPr/>
      <w:tcPr>
        <w:tcBorders>
          <w:top w:val="nil"/>
          <w:left w:val="nil"/>
          <w:bottom w:val="nil"/>
          <w:right w:val="single" w:sz="8" w:space="0" w:color="9BBB59"/>
          <w:insideH w:val="nil"/>
          <w:insideV w:val="nil"/>
        </w:tcBorders>
        <w:shd w:val="clear" w:color="auto" w:fill="FFFFFF"/>
      </w:tcPr>
    </w:tblStylePr>
    <w:tblStylePr w:type="lastCol">
      <w:rPr>
        <w:rFonts w:cs="Arial"/>
      </w:rPr>
      <w:tblPr/>
      <w:tcPr>
        <w:tcBorders>
          <w:top w:val="nil"/>
          <w:left w:val="single" w:sz="8" w:space="0" w:color="9BBB59"/>
          <w:bottom w:val="nil"/>
          <w:right w:val="nil"/>
          <w:insideH w:val="nil"/>
          <w:insideV w:val="nil"/>
        </w:tcBorders>
        <w:shd w:val="clear" w:color="auto" w:fill="FFFFFF"/>
      </w:tcPr>
    </w:tblStylePr>
    <w:tblStylePr w:type="band1Vert">
      <w:rPr>
        <w:rFonts w:cs="Arial"/>
      </w:rPr>
      <w:tblPr/>
      <w:tcPr>
        <w:tcBorders>
          <w:left w:val="nil"/>
          <w:right w:val="nil"/>
          <w:insideH w:val="nil"/>
          <w:insideV w:val="nil"/>
        </w:tcBorders>
        <w:shd w:val="clear" w:color="auto" w:fill="E6EED5"/>
      </w:tcPr>
    </w:tblStylePr>
    <w:tblStylePr w:type="band1Horz">
      <w:rPr>
        <w:rFonts w:cs="Arial"/>
      </w:rPr>
      <w:tblPr/>
      <w:tcPr>
        <w:tcBorders>
          <w:top w:val="nil"/>
          <w:bottom w:val="nil"/>
          <w:insideH w:val="nil"/>
          <w:insideV w:val="nil"/>
        </w:tcBorders>
        <w:shd w:val="clear" w:color="auto" w:fill="E6EED5"/>
      </w:tcPr>
    </w:tblStylePr>
    <w:tblStylePr w:type="nwCell">
      <w:rPr>
        <w:rFonts w:cs="Arial"/>
      </w:rPr>
      <w:tblPr/>
      <w:tcPr>
        <w:shd w:val="clear" w:color="auto" w:fill="FFFFFF"/>
      </w:tcPr>
    </w:tblStylePr>
    <w:tblStylePr w:type="swCell">
      <w:rPr>
        <w:rFonts w:cs="Arial"/>
      </w:rPr>
      <w:tblPr/>
      <w:tcPr>
        <w:tcBorders>
          <w:top w:val="nil"/>
        </w:tcBorders>
      </w:tcPr>
    </w:tblStylePr>
  </w:style>
  <w:style w:type="table" w:styleId="LightGrid-Accent4">
    <w:name w:val="Light Grid Accent 4"/>
    <w:basedOn w:val="TableNormal"/>
    <w:uiPriority w:val="62"/>
    <w:rsid w:val="00FA6A77"/>
    <w:pPr>
      <w:spacing w:after="0" w:line="240" w:lineRule="auto"/>
    </w:pPr>
    <w:rPr>
      <w:rFonts w:ascii="Arial Narrow" w:hAnsi="Arial Narrow" w:cs="Arial"/>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Arial"/>
        <w:b/>
        <w:bCs/>
      </w:rPr>
    </w:tblStylePr>
    <w:tblStylePr w:type="lastRow">
      <w:rPr>
        <w:rFonts w:cs="Arial"/>
        <w:b/>
        <w:bCs/>
      </w:rPr>
      <w:tblPr/>
      <w:tcPr>
        <w:tcBorders>
          <w:top w:val="single" w:sz="18" w:space="0" w:color="B3CC82"/>
        </w:tcBorders>
      </w:tcPr>
    </w:tblStylePr>
    <w:tblStylePr w:type="firstCol">
      <w:rPr>
        <w:rFonts w:cs="Arial"/>
        <w:b/>
        <w:bCs/>
      </w:rPr>
    </w:tblStylePr>
    <w:tblStylePr w:type="lastCol">
      <w:rPr>
        <w:rFonts w:cs="Arial"/>
        <w:b/>
        <w:bCs/>
      </w:rPr>
    </w:tblStylePr>
    <w:tblStylePr w:type="band1Vert">
      <w:rPr>
        <w:rFonts w:cs="Arial"/>
      </w:rPr>
      <w:tblPr/>
      <w:tcPr>
        <w:shd w:val="clear" w:color="auto" w:fill="CDDDAC"/>
      </w:tcPr>
    </w:tblStylePr>
    <w:tblStylePr w:type="band1Horz">
      <w:rPr>
        <w:rFonts w:cs="Arial"/>
      </w:rPr>
      <w:tblPr/>
      <w:tcPr>
        <w:shd w:val="clear" w:color="auto" w:fill="CDDDAC"/>
      </w:tcPr>
    </w:tblStylePr>
  </w:style>
  <w:style w:type="table" w:styleId="MediumShading1-Accent4">
    <w:name w:val="Medium Shading 1 Accent 4"/>
    <w:basedOn w:val="TableNormal"/>
    <w:uiPriority w:val="63"/>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Arial"/>
        <w:b/>
        <w:bCs/>
        <w:color w:val="000000"/>
      </w:rPr>
      <w:tblPr/>
      <w:tcPr>
        <w:shd w:val="clear" w:color="auto" w:fill="F5F8EE"/>
      </w:tcPr>
    </w:tblStylePr>
    <w:tblStylePr w:type="lastRow">
      <w:rPr>
        <w:rFonts w:cs="Arial"/>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Arial"/>
        <w:b/>
        <w:bCs/>
        <w:color w:val="000000"/>
      </w:rPr>
      <w:tblPr/>
      <w:tcPr>
        <w:tcBorders>
          <w:top w:val="nil"/>
          <w:left w:val="nil"/>
          <w:bottom w:val="nil"/>
          <w:right w:val="nil"/>
          <w:insideH w:val="nil"/>
          <w:insideV w:val="nil"/>
        </w:tcBorders>
        <w:shd w:val="clear" w:color="auto" w:fill="FFFFFF"/>
      </w:tcPr>
    </w:tblStylePr>
    <w:tblStylePr w:type="lastCol">
      <w:rPr>
        <w:rFonts w:cs="Arial"/>
        <w:b w:val="0"/>
        <w:bCs w:val="0"/>
        <w:color w:val="000000"/>
      </w:rPr>
      <w:tblPr/>
      <w:tcPr>
        <w:tcBorders>
          <w:top w:val="nil"/>
          <w:left w:val="nil"/>
          <w:bottom w:val="nil"/>
          <w:right w:val="nil"/>
          <w:insideH w:val="nil"/>
          <w:insideV w:val="nil"/>
        </w:tcBorders>
        <w:shd w:val="clear" w:color="auto" w:fill="EAF1DD"/>
      </w:tcPr>
    </w:tblStylePr>
    <w:tblStylePr w:type="band1Vert">
      <w:rPr>
        <w:rFonts w:cs="Arial"/>
      </w:rPr>
      <w:tblPr/>
      <w:tcPr>
        <w:shd w:val="clear" w:color="auto" w:fill="CDDDAC"/>
      </w:tcPr>
    </w:tblStylePr>
    <w:tblStylePr w:type="band1Horz">
      <w:rPr>
        <w:rFonts w:cs="Arial"/>
      </w:rPr>
      <w:tblPr/>
      <w:tcPr>
        <w:tcBorders>
          <w:insideH w:val="single" w:sz="6" w:space="0" w:color="9BBB59"/>
          <w:insideV w:val="single" w:sz="6" w:space="0" w:color="9BBB59"/>
        </w:tcBorders>
        <w:shd w:val="clear" w:color="auto" w:fill="CDDDAC"/>
      </w:tcPr>
    </w:tblStylePr>
    <w:tblStylePr w:type="nwCell">
      <w:rPr>
        <w:rFonts w:cs="Arial"/>
      </w:rPr>
      <w:tblPr/>
      <w:tcPr>
        <w:shd w:val="clear" w:color="auto" w:fill="FFFFFF"/>
      </w:tcPr>
    </w:tblStylePr>
  </w:style>
  <w:style w:type="table" w:styleId="MediumShading2-Accent4">
    <w:name w:val="Medium Shading 2 Accent 4"/>
    <w:basedOn w:val="TableNormal"/>
    <w:uiPriority w:val="64"/>
    <w:rsid w:val="00FA6A77"/>
    <w:pPr>
      <w:spacing w:after="0" w:line="240" w:lineRule="auto"/>
    </w:pPr>
    <w:rPr>
      <w:rFonts w:ascii="Arial Narrow" w:hAnsi="Arial Narrow" w:cs="Arial"/>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Arial"/>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Arial"/>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Arial"/>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Arial"/>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Arial"/>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Arial"/>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List1-Accent4">
    <w:name w:val="Medium List 1 Accent 4"/>
    <w:basedOn w:val="TableNormal"/>
    <w:uiPriority w:val="65"/>
    <w:rsid w:val="00FA6A77"/>
    <w:pPr>
      <w:spacing w:after="0" w:line="240" w:lineRule="auto"/>
    </w:pPr>
    <w:rPr>
      <w:rFonts w:ascii="Arial Narrow" w:hAnsi="Arial Narrow" w:cs="Arial"/>
      <w:color w:val="FFFFFF"/>
    </w:rPr>
    <w:tblPr>
      <w:tblStyleRowBandSize w:val="1"/>
      <w:tblStyleColBandSize w:val="1"/>
      <w:tblInd w:w="0" w:type="nil"/>
    </w:tblPr>
    <w:tcPr>
      <w:shd w:val="clear" w:color="auto" w:fill="9BBB59"/>
    </w:tcPr>
    <w:tblStylePr w:type="firstRow">
      <w:rPr>
        <w:rFonts w:cs="Arial"/>
        <w:b/>
        <w:bCs/>
      </w:rPr>
      <w:tblPr/>
      <w:tcPr>
        <w:tcBorders>
          <w:top w:val="nil"/>
          <w:left w:val="nil"/>
          <w:bottom w:val="single" w:sz="18" w:space="0" w:color="FFFFFF"/>
          <w:right w:val="nil"/>
          <w:insideH w:val="nil"/>
          <w:insideV w:val="nil"/>
        </w:tcBorders>
        <w:shd w:val="clear" w:color="auto" w:fill="000000"/>
      </w:tcPr>
    </w:tblStylePr>
    <w:tblStylePr w:type="lastRow">
      <w:rPr>
        <w:rFonts w:cs="Arial"/>
      </w:rPr>
      <w:tblPr/>
      <w:tcPr>
        <w:tcBorders>
          <w:top w:val="single" w:sz="18" w:space="0" w:color="FFFFFF"/>
          <w:left w:val="nil"/>
          <w:bottom w:val="nil"/>
          <w:right w:val="nil"/>
          <w:insideH w:val="nil"/>
          <w:insideV w:val="nil"/>
        </w:tcBorders>
        <w:shd w:val="clear" w:color="auto" w:fill="4E6128"/>
      </w:tcPr>
    </w:tblStylePr>
    <w:tblStylePr w:type="firstCol">
      <w:rPr>
        <w:rFonts w:cs="Arial"/>
      </w:rPr>
      <w:tblPr/>
      <w:tcPr>
        <w:tcBorders>
          <w:top w:val="nil"/>
          <w:left w:val="nil"/>
          <w:bottom w:val="nil"/>
          <w:right w:val="single" w:sz="18" w:space="0" w:color="FFFFFF"/>
          <w:insideH w:val="nil"/>
          <w:insideV w:val="nil"/>
        </w:tcBorders>
        <w:shd w:val="clear" w:color="auto" w:fill="76923C"/>
      </w:tcPr>
    </w:tblStylePr>
    <w:tblStylePr w:type="lastCol">
      <w:rPr>
        <w:rFonts w:cs="Arial"/>
      </w:rPr>
      <w:tblPr/>
      <w:tcPr>
        <w:tcBorders>
          <w:top w:val="nil"/>
          <w:left w:val="single" w:sz="18" w:space="0" w:color="FFFFFF"/>
          <w:bottom w:val="nil"/>
          <w:right w:val="nil"/>
          <w:insideH w:val="nil"/>
          <w:insideV w:val="nil"/>
        </w:tcBorders>
        <w:shd w:val="clear" w:color="auto" w:fill="76923C"/>
      </w:tcPr>
    </w:tblStylePr>
    <w:tblStylePr w:type="band1Vert">
      <w:rPr>
        <w:rFonts w:cs="Arial"/>
      </w:rPr>
      <w:tblPr/>
      <w:tcPr>
        <w:tcBorders>
          <w:top w:val="nil"/>
          <w:left w:val="nil"/>
          <w:bottom w:val="nil"/>
          <w:right w:val="nil"/>
          <w:insideH w:val="nil"/>
          <w:insideV w:val="nil"/>
        </w:tcBorders>
        <w:shd w:val="clear" w:color="auto" w:fill="76923C"/>
      </w:tcPr>
    </w:tblStylePr>
    <w:tblStylePr w:type="band1Horz">
      <w:rPr>
        <w:rFonts w:cs="Arial"/>
      </w:rPr>
      <w:tblPr/>
      <w:tcPr>
        <w:tcBorders>
          <w:top w:val="nil"/>
          <w:left w:val="nil"/>
          <w:bottom w:val="nil"/>
          <w:right w:val="nil"/>
          <w:insideH w:val="nil"/>
          <w:insideV w:val="nil"/>
        </w:tcBorders>
        <w:shd w:val="clear" w:color="auto" w:fill="76923C"/>
      </w:tcPr>
    </w:tblStylePr>
  </w:style>
  <w:style w:type="table" w:styleId="MediumList2-Accent4">
    <w:name w:val="Medium List 2 Accent 4"/>
    <w:basedOn w:val="TableNormal"/>
    <w:uiPriority w:val="66"/>
    <w:rsid w:val="00FA6A77"/>
    <w:pPr>
      <w:spacing w:after="0" w:line="240" w:lineRule="auto"/>
    </w:pPr>
    <w:rPr>
      <w:rFonts w:ascii="Arial Narrow" w:hAnsi="Arial Narrow" w:cs="Arial"/>
      <w:color w:val="000000"/>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Arial"/>
        <w:b/>
        <w:bCs/>
      </w:rPr>
      <w:tblPr/>
      <w:tcPr>
        <w:tcBorders>
          <w:top w:val="nil"/>
          <w:left w:val="nil"/>
          <w:bottom w:val="single" w:sz="24" w:space="0" w:color="8064A2"/>
          <w:right w:val="nil"/>
          <w:insideH w:val="nil"/>
          <w:insideV w:val="nil"/>
        </w:tcBorders>
        <w:shd w:val="clear" w:color="auto" w:fill="FFFFFF"/>
      </w:tcPr>
    </w:tblStylePr>
    <w:tblStylePr w:type="lastRow">
      <w:rPr>
        <w:rFonts w:cs="Arial"/>
        <w:b/>
        <w:bCs/>
        <w:color w:val="FFFFFF"/>
      </w:rPr>
      <w:tblPr/>
      <w:tcPr>
        <w:tcBorders>
          <w:top w:val="single" w:sz="6" w:space="0" w:color="FFFFFF"/>
        </w:tcBorders>
        <w:shd w:val="clear" w:color="auto" w:fill="5E7530"/>
      </w:tcPr>
    </w:tblStylePr>
    <w:tblStylePr w:type="firstCol">
      <w:rPr>
        <w:rFonts w:cs="Arial"/>
        <w:color w:val="FFFFFF"/>
      </w:rPr>
      <w:tblPr/>
      <w:tcPr>
        <w:tcBorders>
          <w:top w:val="nil"/>
          <w:left w:val="nil"/>
          <w:bottom w:val="nil"/>
          <w:right w:val="nil"/>
          <w:insideH w:val="single" w:sz="4" w:space="0" w:color="5E7530"/>
          <w:insideV w:val="nil"/>
        </w:tcBorders>
        <w:shd w:val="clear" w:color="auto" w:fill="5E7530"/>
      </w:tcPr>
    </w:tblStylePr>
    <w:tblStylePr w:type="lastCol">
      <w:rPr>
        <w:rFonts w:cs="Arial"/>
        <w:color w:val="FFFFFF"/>
      </w:rPr>
      <w:tblPr/>
      <w:tcPr>
        <w:tcBorders>
          <w:top w:val="nil"/>
          <w:left w:val="nil"/>
          <w:bottom w:val="nil"/>
          <w:right w:val="nil"/>
          <w:insideH w:val="nil"/>
          <w:insideV w:val="nil"/>
        </w:tcBorders>
        <w:shd w:val="clear" w:color="auto" w:fill="5E7530"/>
      </w:tcPr>
    </w:tblStylePr>
    <w:tblStylePr w:type="band1Vert">
      <w:rPr>
        <w:rFonts w:cs="Arial"/>
      </w:rPr>
      <w:tblPr/>
      <w:tcPr>
        <w:shd w:val="clear" w:color="auto" w:fill="D6E3BC"/>
      </w:tcPr>
    </w:tblStylePr>
    <w:tblStylePr w:type="band1Horz">
      <w:rPr>
        <w:rFonts w:cs="Arial"/>
      </w:rPr>
      <w:tblPr/>
      <w:tcPr>
        <w:shd w:val="clear" w:color="auto" w:fill="CDDDAC"/>
      </w:tcPr>
    </w:tblStylePr>
  </w:style>
  <w:style w:type="table" w:styleId="MediumGrid1-Accent4">
    <w:name w:val="Medium Grid 1 Accent 4"/>
    <w:basedOn w:val="TableNormal"/>
    <w:uiPriority w:val="67"/>
    <w:rsid w:val="00FA6A77"/>
    <w:pPr>
      <w:spacing w:after="0" w:line="240" w:lineRule="auto"/>
    </w:pPr>
    <w:rPr>
      <w:rFonts w:ascii="Arial Narrow" w:hAnsi="Arial Narrow" w:cs="Arial"/>
      <w:color w:val="000000"/>
    </w:rPr>
    <w:tblPr>
      <w:tblStyleRowBandSize w:val="1"/>
      <w:tblStyleColBandSize w:val="1"/>
      <w:tblInd w:w="0" w:type="nil"/>
    </w:tblPr>
    <w:tcPr>
      <w:shd w:val="clear" w:color="auto" w:fill="F5F8EE"/>
    </w:tcPr>
    <w:tblStylePr w:type="firstRow">
      <w:rPr>
        <w:rFonts w:cs="Arial"/>
        <w:b/>
        <w:bCs/>
        <w:color w:val="FFFFFF"/>
      </w:rPr>
      <w:tblPr/>
      <w:tcPr>
        <w:tcBorders>
          <w:bottom w:val="single" w:sz="12" w:space="0" w:color="FFFFFF"/>
        </w:tcBorders>
        <w:shd w:val="clear" w:color="auto" w:fill="664E82"/>
      </w:tcPr>
    </w:tblStylePr>
    <w:tblStylePr w:type="lastRow">
      <w:rPr>
        <w:rFonts w:cs="Arial"/>
        <w:b/>
        <w:bCs/>
        <w:color w:val="664E82"/>
      </w:rPr>
      <w:tblPr/>
      <w:tcPr>
        <w:tcBorders>
          <w:top w:val="single" w:sz="12" w:space="0" w:color="000000"/>
        </w:tcBorders>
        <w:shd w:val="clear" w:color="auto" w:fill="FFFFFF"/>
      </w:tcPr>
    </w:tblStylePr>
    <w:tblStylePr w:type="firstCol">
      <w:rPr>
        <w:rFonts w:cs="Arial"/>
        <w:b/>
        <w:bCs/>
      </w:rPr>
    </w:tblStylePr>
    <w:tblStylePr w:type="lastCol">
      <w:rPr>
        <w:rFonts w:cs="Arial"/>
        <w:b/>
        <w:bCs/>
      </w:rPr>
    </w:tblStylePr>
    <w:tblStylePr w:type="band1Vert">
      <w:rPr>
        <w:rFonts w:cs="Arial"/>
      </w:rPr>
      <w:tblPr/>
      <w:tcPr>
        <w:tcBorders>
          <w:top w:val="nil"/>
          <w:left w:val="nil"/>
          <w:bottom w:val="nil"/>
          <w:right w:val="nil"/>
          <w:insideH w:val="nil"/>
          <w:insideV w:val="nil"/>
        </w:tcBorders>
        <w:shd w:val="clear" w:color="auto" w:fill="E6EED5"/>
      </w:tcPr>
    </w:tblStylePr>
    <w:tblStylePr w:type="band1Horz">
      <w:rPr>
        <w:rFonts w:cs="Arial"/>
      </w:rPr>
      <w:tblPr/>
      <w:tcPr>
        <w:shd w:val="clear" w:color="auto" w:fill="EAF1DD"/>
      </w:tcPr>
    </w:tblStylePr>
  </w:style>
  <w:style w:type="table" w:styleId="MediumGrid2-Accent4">
    <w:name w:val="Medium Grid 2 Accent 4"/>
    <w:basedOn w:val="TableNormal"/>
    <w:uiPriority w:val="68"/>
    <w:rsid w:val="00FA6A77"/>
    <w:pPr>
      <w:spacing w:after="0" w:line="240" w:lineRule="auto"/>
    </w:pPr>
    <w:rPr>
      <w:rFonts w:ascii="Arial Narrow" w:hAnsi="Arial Narrow" w:cs="Arial"/>
      <w:color w:val="000000"/>
    </w:rPr>
    <w:tblPr>
      <w:tblStyleRowBandSize w:val="1"/>
      <w:tblStyleColBandSize w:val="1"/>
      <w:tblInd w:w="0" w:type="nil"/>
      <w:tblBorders>
        <w:insideH w:val="single" w:sz="4" w:space="0" w:color="FFFFFF"/>
      </w:tblBorders>
    </w:tblPr>
    <w:tcPr>
      <w:shd w:val="clear" w:color="auto" w:fill="EAF1DD"/>
    </w:tcPr>
    <w:tblStylePr w:type="firstRow">
      <w:rPr>
        <w:rFonts w:cs="Arial"/>
        <w:b/>
        <w:bCs/>
      </w:rPr>
      <w:tblPr/>
      <w:tcPr>
        <w:shd w:val="clear" w:color="auto" w:fill="D6E3BC"/>
      </w:tcPr>
    </w:tblStylePr>
    <w:tblStylePr w:type="lastRow">
      <w:rPr>
        <w:rFonts w:cs="Arial"/>
        <w:b/>
        <w:bCs/>
        <w:color w:val="000000"/>
      </w:rPr>
      <w:tblPr/>
      <w:tcPr>
        <w:shd w:val="clear" w:color="auto" w:fill="D6E3BC"/>
      </w:tcPr>
    </w:tblStylePr>
    <w:tblStylePr w:type="firstCol">
      <w:rPr>
        <w:rFonts w:cs="Arial"/>
        <w:color w:val="FFFFFF"/>
      </w:rPr>
      <w:tblPr/>
      <w:tcPr>
        <w:shd w:val="clear" w:color="auto" w:fill="76923C"/>
      </w:tcPr>
    </w:tblStylePr>
    <w:tblStylePr w:type="lastCol">
      <w:rPr>
        <w:rFonts w:cs="Arial"/>
        <w:color w:val="FFFFFF"/>
      </w:rPr>
      <w:tblPr/>
      <w:tcPr>
        <w:shd w:val="clear" w:color="auto" w:fill="76923C"/>
      </w:tcPr>
    </w:tblStylePr>
    <w:tblStylePr w:type="band1Vert">
      <w:rPr>
        <w:rFonts w:cs="Arial"/>
      </w:rPr>
      <w:tblPr/>
      <w:tcPr>
        <w:shd w:val="clear" w:color="auto" w:fill="CDDDAC"/>
      </w:tcPr>
    </w:tblStylePr>
    <w:tblStylePr w:type="band1Horz">
      <w:rPr>
        <w:rFonts w:cs="Arial"/>
      </w:rPr>
      <w:tblPr/>
      <w:tcPr>
        <w:shd w:val="clear" w:color="auto" w:fill="CDDDAC"/>
      </w:tcPr>
    </w:tblStylePr>
  </w:style>
  <w:style w:type="table" w:styleId="MediumGrid3-Accent4">
    <w:name w:val="Medium Grid 3 Accent 4"/>
    <w:basedOn w:val="TableNormal"/>
    <w:uiPriority w:val="69"/>
    <w:rsid w:val="00FA6A77"/>
    <w:pPr>
      <w:spacing w:after="0" w:line="240" w:lineRule="auto"/>
    </w:pPr>
    <w:rPr>
      <w:rFonts w:ascii="Arial Narrow" w:hAnsi="Arial Narrow" w:cs="Arial"/>
      <w:color w:val="5F497A"/>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pPr>
      <w:rPr>
        <w:rFonts w:cs="Arial"/>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pPr>
      <w:rPr>
        <w:rFonts w:cs="Arial"/>
        <w:b/>
        <w:bCs/>
      </w:rPr>
      <w:tblPr/>
      <w:tcPr>
        <w:tcBorders>
          <w:top w:val="single" w:sz="8" w:space="0" w:color="8064A2"/>
          <w:left w:val="nil"/>
          <w:bottom w:val="single" w:sz="8" w:space="0" w:color="8064A2"/>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DFD8E8"/>
      </w:tcPr>
    </w:tblStylePr>
    <w:tblStylePr w:type="band1Horz">
      <w:rPr>
        <w:rFonts w:cs="Arial"/>
      </w:rPr>
      <w:tblPr/>
      <w:tcPr>
        <w:tcBorders>
          <w:left w:val="nil"/>
          <w:right w:val="nil"/>
          <w:insideH w:val="nil"/>
          <w:insideV w:val="nil"/>
        </w:tcBorders>
        <w:shd w:val="clear" w:color="auto" w:fill="DFD8E8"/>
      </w:tcPr>
    </w:tblStylePr>
  </w:style>
  <w:style w:type="table" w:styleId="DarkList-Accent4">
    <w:name w:val="Dark List Accent 4"/>
    <w:basedOn w:val="TableNormal"/>
    <w:uiPriority w:val="70"/>
    <w:rsid w:val="00FA6A77"/>
    <w:pPr>
      <w:spacing w:after="0" w:line="240" w:lineRule="auto"/>
    </w:pPr>
    <w:rPr>
      <w:rFonts w:ascii="Arial Narrow" w:hAnsi="Arial Narrow" w:cs="Arial"/>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pPr>
      <w:rPr>
        <w:rFonts w:cs="Arial"/>
        <w:b/>
        <w:bCs/>
        <w:color w:val="FFFFFF"/>
      </w:rPr>
      <w:tblPr/>
      <w:tcPr>
        <w:shd w:val="clear" w:color="auto" w:fill="8064A2"/>
      </w:tcPr>
    </w:tblStylePr>
    <w:tblStylePr w:type="lastRow">
      <w:pPr>
        <w:spacing w:beforeLines="0" w:before="0" w:beforeAutospacing="0" w:afterLines="0" w:after="0" w:afterAutospacing="0"/>
      </w:pPr>
      <w:rPr>
        <w:rFonts w:cs="Arial"/>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8064A2"/>
          <w:left w:val="single" w:sz="8" w:space="0" w:color="8064A2"/>
          <w:bottom w:val="single" w:sz="8" w:space="0" w:color="8064A2"/>
          <w:right w:val="single" w:sz="8" w:space="0" w:color="8064A2"/>
        </w:tcBorders>
      </w:tcPr>
    </w:tblStylePr>
    <w:tblStylePr w:type="band1Horz">
      <w:rPr>
        <w:rFonts w:cs="Arial"/>
      </w:rPr>
      <w:tblPr/>
      <w:tcPr>
        <w:tcBorders>
          <w:top w:val="single" w:sz="8" w:space="0" w:color="8064A2"/>
          <w:left w:val="single" w:sz="8" w:space="0" w:color="8064A2"/>
          <w:bottom w:val="single" w:sz="8" w:space="0" w:color="8064A2"/>
          <w:right w:val="single" w:sz="8" w:space="0" w:color="8064A2"/>
        </w:tcBorders>
      </w:tcPr>
    </w:tblStylePr>
  </w:style>
  <w:style w:type="table" w:styleId="ColorfulShading-Accent4">
    <w:name w:val="Colorful Shading Accent 4"/>
    <w:basedOn w:val="TableNormal"/>
    <w:uiPriority w:val="71"/>
    <w:rsid w:val="00FA6A77"/>
    <w:pPr>
      <w:spacing w:after="0" w:line="240" w:lineRule="auto"/>
    </w:pPr>
    <w:rPr>
      <w:rFonts w:ascii="Arial Narrow" w:hAnsi="Arial Narrow" w:cs="Arial"/>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pPr>
      <w:rPr>
        <w:rFonts w:ascii="New York" w:eastAsia="Times New Roman" w:hAnsi="New York"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pPr>
      <w:rPr>
        <w:rFonts w:ascii="New York" w:eastAsia="Times New Roman" w:hAnsi="New York"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Arial"/>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Arial"/>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Arial"/>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olorfulList-Accent4">
    <w:name w:val="Colorful List Accent 4"/>
    <w:basedOn w:val="TableNormal"/>
    <w:uiPriority w:val="72"/>
    <w:rsid w:val="00FA6A77"/>
    <w:pPr>
      <w:spacing w:after="0" w:line="240" w:lineRule="auto"/>
    </w:pPr>
    <w:rPr>
      <w:rFonts w:ascii="Arial Narrow" w:hAnsi="Arial Narrow" w:cs="Arial"/>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pPr>
      <w:rPr>
        <w:rFonts w:cs="Arial"/>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pPr>
      <w:rPr>
        <w:rFonts w:cs="Arial"/>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DFD8E8"/>
      </w:tcPr>
    </w:tblStylePr>
    <w:tblStylePr w:type="band1Horz">
      <w:rPr>
        <w:rFonts w:cs="Arial"/>
      </w:rPr>
      <w:tblPr/>
      <w:tcPr>
        <w:tcBorders>
          <w:insideH w:val="nil"/>
          <w:insideV w:val="nil"/>
        </w:tcBorders>
        <w:shd w:val="clear" w:color="auto" w:fill="DFD8E8"/>
      </w:tcPr>
    </w:tblStylePr>
    <w:tblStylePr w:type="band2Horz">
      <w:rPr>
        <w:rFonts w:cs="Arial"/>
      </w:rPr>
      <w:tblPr/>
      <w:tcPr>
        <w:tcBorders>
          <w:insideH w:val="nil"/>
          <w:insideV w:val="nil"/>
        </w:tcBorders>
      </w:tcPr>
    </w:tblStylePr>
  </w:style>
  <w:style w:type="table" w:styleId="ColorfulGrid-Accent4">
    <w:name w:val="Colorful Grid Accent 4"/>
    <w:basedOn w:val="TableNormal"/>
    <w:uiPriority w:val="73"/>
    <w:rsid w:val="00FA6A77"/>
    <w:pPr>
      <w:spacing w:after="0" w:line="240" w:lineRule="auto"/>
    </w:pPr>
    <w:rPr>
      <w:rFonts w:ascii="Arial Narrow" w:hAnsi="Arial Narrow" w:cs="Arial"/>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rFonts w:cs="Arial"/>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pPr>
      <w:rPr>
        <w:rFonts w:cs="Arial"/>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Arial"/>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Arial"/>
        <w:b/>
        <w:bCs/>
        <w:color w:val="FFFFFF"/>
      </w:rPr>
      <w:tblPr/>
      <w:tcPr>
        <w:tcBorders>
          <w:left w:val="nil"/>
          <w:right w:val="nil"/>
          <w:insideH w:val="nil"/>
          <w:insideV w:val="nil"/>
        </w:tcBorders>
        <w:shd w:val="clear" w:color="auto" w:fill="8064A2"/>
      </w:tcPr>
    </w:tblStylePr>
    <w:tblStylePr w:type="band1Vert">
      <w:rPr>
        <w:rFonts w:cs="Arial"/>
      </w:rPr>
      <w:tblPr/>
      <w:tcPr>
        <w:tcBorders>
          <w:left w:val="nil"/>
          <w:right w:val="nil"/>
          <w:insideH w:val="nil"/>
          <w:insideV w:val="nil"/>
        </w:tcBorders>
        <w:shd w:val="clear" w:color="auto" w:fill="D8D8D8"/>
      </w:tcPr>
    </w:tblStylePr>
    <w:tblStylePr w:type="band1Horz">
      <w:rPr>
        <w:rFonts w:cs="Arial"/>
      </w:rPr>
      <w:tblPr/>
      <w:tcPr>
        <w:shd w:val="clear" w:color="auto" w:fill="D8D8D8"/>
      </w:tcPr>
    </w:tblStylePr>
    <w:tblStylePr w:type="neCell">
      <w:rPr>
        <w:rFonts w:cs="Arial"/>
      </w:rPr>
      <w:tblPr/>
      <w:tcPr>
        <w:tcBorders>
          <w:top w:val="single" w:sz="18" w:space="0" w:color="auto"/>
          <w:left w:val="nil"/>
          <w:bottom w:val="single" w:sz="18" w:space="0" w:color="auto"/>
          <w:right w:val="nil"/>
          <w:insideH w:val="nil"/>
          <w:insideV w:val="nil"/>
        </w:tcBorders>
      </w:tcPr>
    </w:tblStylePr>
    <w:tblStylePr w:type="nwCell">
      <w:rPr>
        <w:rFonts w:cs="Arial"/>
        <w:color w:val="FFFFFF"/>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uiPriority w:val="60"/>
    <w:rsid w:val="00FA6A77"/>
    <w:pPr>
      <w:spacing w:after="0" w:line="240" w:lineRule="auto"/>
    </w:pPr>
    <w:rPr>
      <w:rFonts w:ascii="Arial Narrow" w:hAnsi="Arial Narrow" w:cs="Arial"/>
      <w:color w:val="000000"/>
    </w:rPr>
    <w:tblPr>
      <w:tblStyleRowBandSize w:val="1"/>
      <w:tblStyleColBandSize w:val="1"/>
      <w:tblInd w:w="0" w:type="nil"/>
      <w:tblBorders>
        <w:top w:val="single" w:sz="8" w:space="0" w:color="8064A2"/>
        <w:bottom w:val="single" w:sz="8" w:space="0" w:color="8064A2"/>
      </w:tblBorders>
    </w:tblPr>
    <w:tblStylePr w:type="firstRow">
      <w:rPr>
        <w:rFonts w:ascii="New York" w:eastAsia="Times New Roman" w:hAnsi="New York" w:cs="Times New Roman"/>
      </w:rPr>
      <w:tblPr/>
      <w:tcPr>
        <w:tcBorders>
          <w:top w:val="nil"/>
          <w:bottom w:val="single" w:sz="8" w:space="0" w:color="8064A2"/>
        </w:tcBorders>
      </w:tcPr>
    </w:tblStylePr>
    <w:tblStylePr w:type="lastRow">
      <w:rPr>
        <w:rFonts w:cs="Arial"/>
        <w:b/>
        <w:bCs/>
        <w:color w:val="1F497D"/>
      </w:rPr>
      <w:tblPr/>
      <w:tcPr>
        <w:tcBorders>
          <w:top w:val="single" w:sz="8" w:space="0" w:color="8064A2"/>
          <w:bottom w:val="single" w:sz="8" w:space="0" w:color="8064A2"/>
        </w:tcBorders>
      </w:tcPr>
    </w:tblStylePr>
    <w:tblStylePr w:type="firstCol">
      <w:rPr>
        <w:rFonts w:cs="Arial"/>
        <w:b/>
        <w:bCs/>
      </w:rPr>
    </w:tblStylePr>
    <w:tblStylePr w:type="lastCol">
      <w:rPr>
        <w:rFonts w:cs="Arial"/>
        <w:b/>
        <w:bCs/>
      </w:rPr>
      <w:tblPr/>
      <w:tcPr>
        <w:tcBorders>
          <w:top w:val="single" w:sz="8" w:space="0" w:color="8064A2"/>
          <w:bottom w:val="single" w:sz="8" w:space="0" w:color="8064A2"/>
        </w:tcBorders>
      </w:tcPr>
    </w:tblStylePr>
    <w:tblStylePr w:type="band1Vert">
      <w:rPr>
        <w:rFonts w:cs="Arial"/>
      </w:rPr>
      <w:tblPr/>
      <w:tcPr>
        <w:shd w:val="clear" w:color="auto" w:fill="DFD8E8"/>
      </w:tcPr>
    </w:tblStylePr>
    <w:tblStylePr w:type="band1Horz">
      <w:rPr>
        <w:rFonts w:cs="Arial"/>
      </w:rPr>
      <w:tblPr/>
      <w:tcPr>
        <w:shd w:val="clear" w:color="auto" w:fill="DFD8E8"/>
      </w:tcPr>
    </w:tblStylePr>
  </w:style>
  <w:style w:type="table" w:styleId="LightList-Accent5">
    <w:name w:val="Light List Accent 5"/>
    <w:basedOn w:val="TableNormal"/>
    <w:uiPriority w:val="61"/>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rFonts w:cs="Arial"/>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Arial"/>
      </w:rPr>
      <w:tblPr/>
      <w:tcPr>
        <w:tcBorders>
          <w:top w:val="single" w:sz="8" w:space="0" w:color="8064A2"/>
          <w:left w:val="nil"/>
          <w:bottom w:val="nil"/>
          <w:right w:val="nil"/>
          <w:insideH w:val="nil"/>
          <w:insideV w:val="nil"/>
        </w:tcBorders>
        <w:shd w:val="clear" w:color="auto" w:fill="FFFFFF"/>
      </w:tcPr>
    </w:tblStylePr>
    <w:tblStylePr w:type="firstCol">
      <w:rPr>
        <w:rFonts w:cs="Arial"/>
      </w:rPr>
      <w:tblPr/>
      <w:tcPr>
        <w:tcBorders>
          <w:top w:val="nil"/>
          <w:left w:val="nil"/>
          <w:bottom w:val="nil"/>
          <w:right w:val="single" w:sz="8" w:space="0" w:color="8064A2"/>
          <w:insideH w:val="nil"/>
          <w:insideV w:val="nil"/>
        </w:tcBorders>
        <w:shd w:val="clear" w:color="auto" w:fill="FFFFFF"/>
      </w:tcPr>
    </w:tblStylePr>
    <w:tblStylePr w:type="lastCol">
      <w:rPr>
        <w:rFonts w:cs="Arial"/>
      </w:rPr>
      <w:tblPr/>
      <w:tcPr>
        <w:tcBorders>
          <w:top w:val="nil"/>
          <w:left w:val="single" w:sz="8" w:space="0" w:color="8064A2"/>
          <w:bottom w:val="nil"/>
          <w:right w:val="nil"/>
          <w:insideH w:val="nil"/>
          <w:insideV w:val="nil"/>
        </w:tcBorders>
        <w:shd w:val="clear" w:color="auto" w:fill="FFFFFF"/>
      </w:tcPr>
    </w:tblStylePr>
    <w:tblStylePr w:type="band1Vert">
      <w:rPr>
        <w:rFonts w:cs="Arial"/>
      </w:rPr>
      <w:tblPr/>
      <w:tcPr>
        <w:tcBorders>
          <w:left w:val="nil"/>
          <w:right w:val="nil"/>
          <w:insideH w:val="nil"/>
          <w:insideV w:val="nil"/>
        </w:tcBorders>
        <w:shd w:val="clear" w:color="auto" w:fill="DFD8E8"/>
      </w:tcPr>
    </w:tblStylePr>
    <w:tblStylePr w:type="band1Horz">
      <w:rPr>
        <w:rFonts w:cs="Arial"/>
      </w:rPr>
      <w:tblPr/>
      <w:tcPr>
        <w:tcBorders>
          <w:top w:val="nil"/>
          <w:bottom w:val="nil"/>
          <w:insideH w:val="nil"/>
          <w:insideV w:val="nil"/>
        </w:tcBorders>
        <w:shd w:val="clear" w:color="auto" w:fill="DFD8E8"/>
      </w:tcPr>
    </w:tblStylePr>
    <w:tblStylePr w:type="nwCell">
      <w:rPr>
        <w:rFonts w:cs="Arial"/>
      </w:rPr>
      <w:tblPr/>
      <w:tcPr>
        <w:shd w:val="clear" w:color="auto" w:fill="FFFFFF"/>
      </w:tcPr>
    </w:tblStylePr>
    <w:tblStylePr w:type="swCell">
      <w:rPr>
        <w:rFonts w:cs="Arial"/>
      </w:rPr>
      <w:tblPr/>
      <w:tcPr>
        <w:tcBorders>
          <w:top w:val="nil"/>
        </w:tcBorders>
      </w:tcPr>
    </w:tblStylePr>
  </w:style>
  <w:style w:type="table" w:styleId="LightGrid-Accent5">
    <w:name w:val="Light Grid Accent 5"/>
    <w:basedOn w:val="TableNormal"/>
    <w:uiPriority w:val="62"/>
    <w:rsid w:val="00FA6A77"/>
    <w:pPr>
      <w:spacing w:after="0" w:line="240" w:lineRule="auto"/>
    </w:pPr>
    <w:rPr>
      <w:rFonts w:ascii="Arial Narrow" w:hAnsi="Arial Narrow" w:cs="Arial"/>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Arial"/>
        <w:b/>
        <w:bCs/>
      </w:rPr>
    </w:tblStylePr>
    <w:tblStylePr w:type="lastRow">
      <w:rPr>
        <w:rFonts w:cs="Arial"/>
        <w:b/>
        <w:bCs/>
      </w:rPr>
      <w:tblPr/>
      <w:tcPr>
        <w:tcBorders>
          <w:top w:val="single" w:sz="18" w:space="0" w:color="9F8AB9"/>
        </w:tcBorders>
      </w:tcPr>
    </w:tblStylePr>
    <w:tblStylePr w:type="firstCol">
      <w:rPr>
        <w:rFonts w:cs="Arial"/>
        <w:b/>
        <w:bCs/>
      </w:rPr>
    </w:tblStylePr>
    <w:tblStylePr w:type="lastCol">
      <w:rPr>
        <w:rFonts w:cs="Arial"/>
        <w:b/>
        <w:bCs/>
      </w:rPr>
    </w:tblStylePr>
    <w:tblStylePr w:type="band1Vert">
      <w:rPr>
        <w:rFonts w:cs="Arial"/>
      </w:rPr>
      <w:tblPr/>
      <w:tcPr>
        <w:shd w:val="clear" w:color="auto" w:fill="BFB1D0"/>
      </w:tcPr>
    </w:tblStylePr>
    <w:tblStylePr w:type="band1Horz">
      <w:rPr>
        <w:rFonts w:cs="Arial"/>
      </w:rPr>
      <w:tblPr/>
      <w:tcPr>
        <w:shd w:val="clear" w:color="auto" w:fill="BFB1D0"/>
      </w:tcPr>
    </w:tblStylePr>
  </w:style>
  <w:style w:type="table" w:styleId="MediumShading1-Accent5">
    <w:name w:val="Medium Shading 1 Accent 5"/>
    <w:basedOn w:val="TableNormal"/>
    <w:uiPriority w:val="63"/>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Arial"/>
        <w:b/>
        <w:bCs/>
        <w:color w:val="000000"/>
      </w:rPr>
      <w:tblPr/>
      <w:tcPr>
        <w:shd w:val="clear" w:color="auto" w:fill="F2EFF6"/>
      </w:tcPr>
    </w:tblStylePr>
    <w:tblStylePr w:type="lastRow">
      <w:rPr>
        <w:rFonts w:cs="Arial"/>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Arial"/>
        <w:b/>
        <w:bCs/>
        <w:color w:val="000000"/>
      </w:rPr>
      <w:tblPr/>
      <w:tcPr>
        <w:tcBorders>
          <w:top w:val="nil"/>
          <w:left w:val="nil"/>
          <w:bottom w:val="nil"/>
          <w:right w:val="nil"/>
          <w:insideH w:val="nil"/>
          <w:insideV w:val="nil"/>
        </w:tcBorders>
        <w:shd w:val="clear" w:color="auto" w:fill="FFFFFF"/>
      </w:tcPr>
    </w:tblStylePr>
    <w:tblStylePr w:type="lastCol">
      <w:rPr>
        <w:rFonts w:cs="Arial"/>
        <w:b w:val="0"/>
        <w:bCs w:val="0"/>
        <w:color w:val="000000"/>
      </w:rPr>
      <w:tblPr/>
      <w:tcPr>
        <w:tcBorders>
          <w:top w:val="nil"/>
          <w:left w:val="nil"/>
          <w:bottom w:val="nil"/>
          <w:right w:val="nil"/>
          <w:insideH w:val="nil"/>
          <w:insideV w:val="nil"/>
        </w:tcBorders>
        <w:shd w:val="clear" w:color="auto" w:fill="E5DFEC"/>
      </w:tcPr>
    </w:tblStylePr>
    <w:tblStylePr w:type="band1Vert">
      <w:rPr>
        <w:rFonts w:cs="Arial"/>
      </w:rPr>
      <w:tblPr/>
      <w:tcPr>
        <w:shd w:val="clear" w:color="auto" w:fill="BFB1D0"/>
      </w:tcPr>
    </w:tblStylePr>
    <w:tblStylePr w:type="band1Horz">
      <w:rPr>
        <w:rFonts w:cs="Arial"/>
      </w:rPr>
      <w:tblPr/>
      <w:tcPr>
        <w:tcBorders>
          <w:insideH w:val="single" w:sz="6" w:space="0" w:color="8064A2"/>
          <w:insideV w:val="single" w:sz="6" w:space="0" w:color="8064A2"/>
        </w:tcBorders>
        <w:shd w:val="clear" w:color="auto" w:fill="BFB1D0"/>
      </w:tcPr>
    </w:tblStylePr>
    <w:tblStylePr w:type="nwCell">
      <w:rPr>
        <w:rFonts w:cs="Arial"/>
      </w:rPr>
      <w:tblPr/>
      <w:tcPr>
        <w:shd w:val="clear" w:color="auto" w:fill="FFFFFF"/>
      </w:tcPr>
    </w:tblStylePr>
  </w:style>
  <w:style w:type="table" w:styleId="MediumShading2-Accent5">
    <w:name w:val="Medium Shading 2 Accent 5"/>
    <w:basedOn w:val="TableNormal"/>
    <w:uiPriority w:val="64"/>
    <w:rsid w:val="00FA6A77"/>
    <w:pPr>
      <w:spacing w:after="0" w:line="240" w:lineRule="auto"/>
    </w:pPr>
    <w:rPr>
      <w:rFonts w:ascii="Arial Narrow" w:hAnsi="Arial Narrow" w:cs="Arial"/>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Arial"/>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Arial"/>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Arial"/>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Arial"/>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Arial"/>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Arial"/>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List1-Accent5">
    <w:name w:val="Medium List 1 Accent 5"/>
    <w:basedOn w:val="TableNormal"/>
    <w:uiPriority w:val="65"/>
    <w:rsid w:val="00FA6A77"/>
    <w:pPr>
      <w:spacing w:after="0" w:line="240" w:lineRule="auto"/>
    </w:pPr>
    <w:rPr>
      <w:rFonts w:ascii="Arial Narrow" w:hAnsi="Arial Narrow" w:cs="Arial"/>
      <w:color w:val="FFFFFF"/>
    </w:rPr>
    <w:tblPr>
      <w:tblStyleRowBandSize w:val="1"/>
      <w:tblStyleColBandSize w:val="1"/>
      <w:tblInd w:w="0" w:type="nil"/>
    </w:tblPr>
    <w:tcPr>
      <w:shd w:val="clear" w:color="auto" w:fill="8064A2"/>
    </w:tcPr>
    <w:tblStylePr w:type="firstRow">
      <w:rPr>
        <w:rFonts w:cs="Arial"/>
        <w:b/>
        <w:bCs/>
      </w:rPr>
      <w:tblPr/>
      <w:tcPr>
        <w:tcBorders>
          <w:top w:val="nil"/>
          <w:left w:val="nil"/>
          <w:bottom w:val="single" w:sz="18" w:space="0" w:color="FFFFFF"/>
          <w:right w:val="nil"/>
          <w:insideH w:val="nil"/>
          <w:insideV w:val="nil"/>
        </w:tcBorders>
        <w:shd w:val="clear" w:color="auto" w:fill="000000"/>
      </w:tcPr>
    </w:tblStylePr>
    <w:tblStylePr w:type="lastRow">
      <w:rPr>
        <w:rFonts w:cs="Arial"/>
      </w:rPr>
      <w:tblPr/>
      <w:tcPr>
        <w:tcBorders>
          <w:top w:val="single" w:sz="18" w:space="0" w:color="FFFFFF"/>
          <w:left w:val="nil"/>
          <w:bottom w:val="nil"/>
          <w:right w:val="nil"/>
          <w:insideH w:val="nil"/>
          <w:insideV w:val="nil"/>
        </w:tcBorders>
        <w:shd w:val="clear" w:color="auto" w:fill="3F3151"/>
      </w:tcPr>
    </w:tblStylePr>
    <w:tblStylePr w:type="firstCol">
      <w:rPr>
        <w:rFonts w:cs="Arial"/>
      </w:rPr>
      <w:tblPr/>
      <w:tcPr>
        <w:tcBorders>
          <w:top w:val="nil"/>
          <w:left w:val="nil"/>
          <w:bottom w:val="nil"/>
          <w:right w:val="single" w:sz="18" w:space="0" w:color="FFFFFF"/>
          <w:insideH w:val="nil"/>
          <w:insideV w:val="nil"/>
        </w:tcBorders>
        <w:shd w:val="clear" w:color="auto" w:fill="5F497A"/>
      </w:tcPr>
    </w:tblStylePr>
    <w:tblStylePr w:type="lastCol">
      <w:rPr>
        <w:rFonts w:cs="Arial"/>
      </w:rPr>
      <w:tblPr/>
      <w:tcPr>
        <w:tcBorders>
          <w:top w:val="nil"/>
          <w:left w:val="single" w:sz="18" w:space="0" w:color="FFFFFF"/>
          <w:bottom w:val="nil"/>
          <w:right w:val="nil"/>
          <w:insideH w:val="nil"/>
          <w:insideV w:val="nil"/>
        </w:tcBorders>
        <w:shd w:val="clear" w:color="auto" w:fill="5F497A"/>
      </w:tcPr>
    </w:tblStylePr>
    <w:tblStylePr w:type="band1Vert">
      <w:rPr>
        <w:rFonts w:cs="Arial"/>
      </w:rPr>
      <w:tblPr/>
      <w:tcPr>
        <w:tcBorders>
          <w:top w:val="nil"/>
          <w:left w:val="nil"/>
          <w:bottom w:val="nil"/>
          <w:right w:val="nil"/>
          <w:insideH w:val="nil"/>
          <w:insideV w:val="nil"/>
        </w:tcBorders>
        <w:shd w:val="clear" w:color="auto" w:fill="5F497A"/>
      </w:tcPr>
    </w:tblStylePr>
    <w:tblStylePr w:type="band1Horz">
      <w:rPr>
        <w:rFonts w:cs="Arial"/>
      </w:rPr>
      <w:tblPr/>
      <w:tcPr>
        <w:tcBorders>
          <w:top w:val="nil"/>
          <w:left w:val="nil"/>
          <w:bottom w:val="nil"/>
          <w:right w:val="nil"/>
          <w:insideH w:val="nil"/>
          <w:insideV w:val="nil"/>
        </w:tcBorders>
        <w:shd w:val="clear" w:color="auto" w:fill="5F497A"/>
      </w:tcPr>
    </w:tblStylePr>
  </w:style>
  <w:style w:type="table" w:styleId="MediumList2-Accent5">
    <w:name w:val="Medium List 2 Accent 5"/>
    <w:basedOn w:val="TableNormal"/>
    <w:uiPriority w:val="66"/>
    <w:rsid w:val="00FA6A77"/>
    <w:pPr>
      <w:spacing w:after="0" w:line="240" w:lineRule="auto"/>
    </w:pPr>
    <w:rPr>
      <w:rFonts w:ascii="Arial Narrow" w:hAnsi="Arial Narrow" w:cs="Arial"/>
      <w:color w:val="000000"/>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Arial"/>
        <w:b/>
        <w:bCs/>
      </w:rPr>
      <w:tblPr/>
      <w:tcPr>
        <w:tcBorders>
          <w:top w:val="nil"/>
          <w:left w:val="nil"/>
          <w:bottom w:val="single" w:sz="24" w:space="0" w:color="9BBB59"/>
          <w:right w:val="nil"/>
          <w:insideH w:val="nil"/>
          <w:insideV w:val="nil"/>
        </w:tcBorders>
        <w:shd w:val="clear" w:color="auto" w:fill="FFFFFF"/>
      </w:tcPr>
    </w:tblStylePr>
    <w:tblStylePr w:type="lastRow">
      <w:rPr>
        <w:rFonts w:cs="Arial"/>
        <w:b/>
        <w:bCs/>
        <w:color w:val="FFFFFF"/>
      </w:rPr>
      <w:tblPr/>
      <w:tcPr>
        <w:tcBorders>
          <w:top w:val="single" w:sz="6" w:space="0" w:color="FFFFFF"/>
        </w:tcBorders>
        <w:shd w:val="clear" w:color="auto" w:fill="4C3B62"/>
      </w:tcPr>
    </w:tblStylePr>
    <w:tblStylePr w:type="firstCol">
      <w:rPr>
        <w:rFonts w:cs="Arial"/>
        <w:color w:val="FFFFFF"/>
      </w:rPr>
      <w:tblPr/>
      <w:tcPr>
        <w:tcBorders>
          <w:top w:val="nil"/>
          <w:left w:val="nil"/>
          <w:bottom w:val="nil"/>
          <w:right w:val="nil"/>
          <w:insideH w:val="single" w:sz="4" w:space="0" w:color="4C3B62"/>
          <w:insideV w:val="nil"/>
        </w:tcBorders>
        <w:shd w:val="clear" w:color="auto" w:fill="4C3B62"/>
      </w:tcPr>
    </w:tblStylePr>
    <w:tblStylePr w:type="lastCol">
      <w:rPr>
        <w:rFonts w:cs="Arial"/>
        <w:color w:val="FFFFFF"/>
      </w:rPr>
      <w:tblPr/>
      <w:tcPr>
        <w:tcBorders>
          <w:top w:val="nil"/>
          <w:left w:val="nil"/>
          <w:bottom w:val="nil"/>
          <w:right w:val="nil"/>
          <w:insideH w:val="nil"/>
          <w:insideV w:val="nil"/>
        </w:tcBorders>
        <w:shd w:val="clear" w:color="auto" w:fill="4C3B62"/>
      </w:tcPr>
    </w:tblStylePr>
    <w:tblStylePr w:type="band1Vert">
      <w:rPr>
        <w:rFonts w:cs="Arial"/>
      </w:rPr>
      <w:tblPr/>
      <w:tcPr>
        <w:shd w:val="clear" w:color="auto" w:fill="CCC0D9"/>
      </w:tcPr>
    </w:tblStylePr>
    <w:tblStylePr w:type="band1Horz">
      <w:rPr>
        <w:rFonts w:cs="Arial"/>
      </w:rPr>
      <w:tblPr/>
      <w:tcPr>
        <w:shd w:val="clear" w:color="auto" w:fill="BFB1D0"/>
      </w:tcPr>
    </w:tblStylePr>
    <w:tblStylePr w:type="neCell">
      <w:rPr>
        <w:rFonts w:cs="Arial"/>
        <w:color w:val="000000"/>
      </w:rPr>
    </w:tblStylePr>
    <w:tblStylePr w:type="nwCell">
      <w:rPr>
        <w:rFonts w:cs="Arial"/>
        <w:color w:val="000000"/>
      </w:rPr>
    </w:tblStylePr>
  </w:style>
  <w:style w:type="table" w:styleId="MediumGrid1-Accent5">
    <w:name w:val="Medium Grid 1 Accent 5"/>
    <w:basedOn w:val="TableNormal"/>
    <w:uiPriority w:val="67"/>
    <w:rsid w:val="00FA6A77"/>
    <w:pPr>
      <w:spacing w:after="0" w:line="240" w:lineRule="auto"/>
    </w:pPr>
    <w:rPr>
      <w:rFonts w:ascii="Arial Narrow" w:hAnsi="Arial Narrow" w:cs="Arial"/>
      <w:color w:val="000000"/>
    </w:rPr>
    <w:tblPr>
      <w:tblStyleRowBandSize w:val="1"/>
      <w:tblStyleColBandSize w:val="1"/>
      <w:tblInd w:w="0" w:type="nil"/>
    </w:tblPr>
    <w:tcPr>
      <w:shd w:val="clear" w:color="auto" w:fill="F2EFF6"/>
    </w:tcPr>
    <w:tblStylePr w:type="firstRow">
      <w:rPr>
        <w:rFonts w:cs="Arial"/>
        <w:b/>
        <w:bCs/>
        <w:color w:val="FFFFFF"/>
      </w:rPr>
      <w:tblPr/>
      <w:tcPr>
        <w:tcBorders>
          <w:bottom w:val="single" w:sz="12" w:space="0" w:color="FFFFFF"/>
        </w:tcBorders>
        <w:shd w:val="clear" w:color="auto" w:fill="7E9C40"/>
      </w:tcPr>
    </w:tblStylePr>
    <w:tblStylePr w:type="lastRow">
      <w:rPr>
        <w:rFonts w:cs="Arial"/>
        <w:b/>
        <w:bCs/>
        <w:color w:val="7E9C40"/>
      </w:rPr>
      <w:tblPr/>
      <w:tcPr>
        <w:tcBorders>
          <w:top w:val="single" w:sz="12" w:space="0" w:color="000000"/>
        </w:tcBorders>
        <w:shd w:val="clear" w:color="auto" w:fill="FFFFFF"/>
      </w:tcPr>
    </w:tblStylePr>
    <w:tblStylePr w:type="firstCol">
      <w:rPr>
        <w:rFonts w:cs="Arial"/>
        <w:b/>
        <w:bCs/>
      </w:rPr>
    </w:tblStylePr>
    <w:tblStylePr w:type="lastCol">
      <w:rPr>
        <w:rFonts w:cs="Arial"/>
        <w:b/>
        <w:bCs/>
      </w:rPr>
    </w:tblStylePr>
    <w:tblStylePr w:type="band1Vert">
      <w:rPr>
        <w:rFonts w:cs="Arial"/>
      </w:rPr>
      <w:tblPr/>
      <w:tcPr>
        <w:tcBorders>
          <w:top w:val="nil"/>
          <w:left w:val="nil"/>
          <w:bottom w:val="nil"/>
          <w:right w:val="nil"/>
          <w:insideH w:val="nil"/>
          <w:insideV w:val="nil"/>
        </w:tcBorders>
        <w:shd w:val="clear" w:color="auto" w:fill="DFD8E8"/>
      </w:tcPr>
    </w:tblStylePr>
    <w:tblStylePr w:type="band1Horz">
      <w:rPr>
        <w:rFonts w:cs="Arial"/>
      </w:rPr>
      <w:tblPr/>
      <w:tcPr>
        <w:shd w:val="clear" w:color="auto" w:fill="E5DFEC"/>
      </w:tcPr>
    </w:tblStylePr>
  </w:style>
  <w:style w:type="table" w:styleId="MediumGrid2-Accent5">
    <w:name w:val="Medium Grid 2 Accent 5"/>
    <w:basedOn w:val="TableNormal"/>
    <w:uiPriority w:val="68"/>
    <w:rsid w:val="00FA6A77"/>
    <w:pPr>
      <w:spacing w:after="0" w:line="240" w:lineRule="auto"/>
    </w:pPr>
    <w:rPr>
      <w:rFonts w:ascii="Arial Narrow" w:hAnsi="Arial Narrow" w:cs="Arial"/>
      <w:color w:val="000000"/>
    </w:rPr>
    <w:tblPr>
      <w:tblStyleRowBandSize w:val="1"/>
      <w:tblStyleColBandSize w:val="1"/>
      <w:tblInd w:w="0" w:type="nil"/>
      <w:tblBorders>
        <w:insideH w:val="single" w:sz="4" w:space="0" w:color="FFFFFF"/>
      </w:tblBorders>
    </w:tblPr>
    <w:tcPr>
      <w:shd w:val="clear" w:color="auto" w:fill="E5DFEC"/>
    </w:tcPr>
    <w:tblStylePr w:type="firstRow">
      <w:rPr>
        <w:rFonts w:cs="Arial"/>
        <w:b/>
        <w:bCs/>
      </w:rPr>
      <w:tblPr/>
      <w:tcPr>
        <w:shd w:val="clear" w:color="auto" w:fill="CCC0D9"/>
      </w:tcPr>
    </w:tblStylePr>
    <w:tblStylePr w:type="lastRow">
      <w:rPr>
        <w:rFonts w:cs="Arial"/>
        <w:b/>
        <w:bCs/>
        <w:color w:val="000000"/>
      </w:rPr>
      <w:tblPr/>
      <w:tcPr>
        <w:shd w:val="clear" w:color="auto" w:fill="CCC0D9"/>
      </w:tcPr>
    </w:tblStylePr>
    <w:tblStylePr w:type="firstCol">
      <w:rPr>
        <w:rFonts w:cs="Arial"/>
        <w:color w:val="FFFFFF"/>
      </w:rPr>
      <w:tblPr/>
      <w:tcPr>
        <w:shd w:val="clear" w:color="auto" w:fill="5F497A"/>
      </w:tcPr>
    </w:tblStylePr>
    <w:tblStylePr w:type="lastCol">
      <w:rPr>
        <w:rFonts w:cs="Arial"/>
        <w:color w:val="FFFFFF"/>
      </w:rPr>
      <w:tblPr/>
      <w:tcPr>
        <w:shd w:val="clear" w:color="auto" w:fill="5F497A"/>
      </w:tcPr>
    </w:tblStylePr>
    <w:tblStylePr w:type="band1Vert">
      <w:rPr>
        <w:rFonts w:cs="Arial"/>
      </w:rPr>
      <w:tblPr/>
      <w:tcPr>
        <w:shd w:val="clear" w:color="auto" w:fill="BFB1D0"/>
      </w:tcPr>
    </w:tblStylePr>
    <w:tblStylePr w:type="band1Horz">
      <w:rPr>
        <w:rFonts w:cs="Arial"/>
      </w:rPr>
      <w:tblPr/>
      <w:tcPr>
        <w:shd w:val="clear" w:color="auto" w:fill="BFB1D0"/>
      </w:tcPr>
    </w:tblStylePr>
  </w:style>
  <w:style w:type="table" w:styleId="MediumGrid3-Accent5">
    <w:name w:val="Medium Grid 3 Accent 5"/>
    <w:basedOn w:val="TableNormal"/>
    <w:uiPriority w:val="69"/>
    <w:rsid w:val="00FA6A77"/>
    <w:pPr>
      <w:spacing w:after="0" w:line="240" w:lineRule="auto"/>
    </w:pPr>
    <w:rPr>
      <w:rFonts w:ascii="Arial Narrow" w:hAnsi="Arial Narrow" w:cs="Arial"/>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pPr>
      <w:rPr>
        <w:rFonts w:cs="Arial"/>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rFonts w:cs="Arial"/>
        <w:b/>
        <w:bCs/>
      </w:rPr>
      <w:tblPr/>
      <w:tcPr>
        <w:tcBorders>
          <w:top w:val="single" w:sz="8" w:space="0" w:color="4BACC6"/>
          <w:left w:val="nil"/>
          <w:bottom w:val="single" w:sz="8" w:space="0" w:color="4BACC6"/>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D2EAF1"/>
      </w:tcPr>
    </w:tblStylePr>
    <w:tblStylePr w:type="band1Horz">
      <w:rPr>
        <w:rFonts w:cs="Arial"/>
      </w:rPr>
      <w:tblPr/>
      <w:tcPr>
        <w:tcBorders>
          <w:left w:val="nil"/>
          <w:right w:val="nil"/>
          <w:insideH w:val="nil"/>
          <w:insideV w:val="nil"/>
        </w:tcBorders>
        <w:shd w:val="clear" w:color="auto" w:fill="D2EAF1"/>
      </w:tcPr>
    </w:tblStylePr>
  </w:style>
  <w:style w:type="table" w:styleId="DarkList-Accent5">
    <w:name w:val="Dark List Accent 5"/>
    <w:basedOn w:val="TableNormal"/>
    <w:uiPriority w:val="70"/>
    <w:rsid w:val="00FA6A77"/>
    <w:pPr>
      <w:spacing w:after="0" w:line="240" w:lineRule="auto"/>
    </w:pPr>
    <w:rPr>
      <w:rFonts w:ascii="Arial Narrow" w:hAnsi="Arial Narrow" w:cs="Arial"/>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cs="Arial"/>
        <w:b/>
        <w:bCs/>
        <w:color w:val="FFFFFF"/>
      </w:rPr>
      <w:tblPr/>
      <w:tcPr>
        <w:shd w:val="clear" w:color="auto" w:fill="4BACC6"/>
      </w:tcPr>
    </w:tblStylePr>
    <w:tblStylePr w:type="lastRow">
      <w:pPr>
        <w:spacing w:beforeLines="0" w:before="0" w:beforeAutospacing="0" w:afterLines="0" w:after="0" w:afterAutospacing="0"/>
      </w:pPr>
      <w:rPr>
        <w:rFonts w:cs="Arial"/>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BACC6"/>
          <w:left w:val="single" w:sz="8" w:space="0" w:color="4BACC6"/>
          <w:bottom w:val="single" w:sz="8" w:space="0" w:color="4BACC6"/>
          <w:right w:val="single" w:sz="8" w:space="0" w:color="4BACC6"/>
        </w:tcBorders>
      </w:tcPr>
    </w:tblStylePr>
    <w:tblStylePr w:type="band1Horz">
      <w:rPr>
        <w:rFonts w:cs="Arial"/>
      </w:rPr>
      <w:tblPr/>
      <w:tcPr>
        <w:tcBorders>
          <w:top w:val="single" w:sz="8" w:space="0" w:color="4BACC6"/>
          <w:left w:val="single" w:sz="8" w:space="0" w:color="4BACC6"/>
          <w:bottom w:val="single" w:sz="8" w:space="0" w:color="4BACC6"/>
          <w:right w:val="single" w:sz="8" w:space="0" w:color="4BACC6"/>
        </w:tcBorders>
      </w:tcPr>
    </w:tblStylePr>
  </w:style>
  <w:style w:type="table" w:styleId="ColorfulShading-Accent5">
    <w:name w:val="Colorful Shading Accent 5"/>
    <w:basedOn w:val="TableNormal"/>
    <w:uiPriority w:val="71"/>
    <w:rsid w:val="00FA6A77"/>
    <w:pPr>
      <w:spacing w:after="0" w:line="240" w:lineRule="auto"/>
    </w:pPr>
    <w:rPr>
      <w:rFonts w:ascii="Arial Narrow" w:hAnsi="Arial Narrow" w:cs="Arial"/>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pPr>
      <w:rPr>
        <w:rFonts w:ascii="New York" w:eastAsia="Times New Roman" w:hAnsi="New York"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pPr>
      <w:rPr>
        <w:rFonts w:ascii="New York" w:eastAsia="Times New Roman" w:hAnsi="New York"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Arial"/>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Arial"/>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Arial"/>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List-Accent5">
    <w:name w:val="Colorful List Accent 5"/>
    <w:basedOn w:val="TableNormal"/>
    <w:uiPriority w:val="72"/>
    <w:rsid w:val="00FA6A77"/>
    <w:pPr>
      <w:spacing w:after="0" w:line="240" w:lineRule="auto"/>
    </w:pPr>
    <w:rPr>
      <w:rFonts w:ascii="Arial Narrow" w:hAnsi="Arial Narrow" w:cs="Arial"/>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pPr>
      <w:rPr>
        <w:rFonts w:cs="Arial"/>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pPr>
      <w:rPr>
        <w:rFonts w:cs="Arial"/>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D2EAF1"/>
      </w:tcPr>
    </w:tblStylePr>
    <w:tblStylePr w:type="band1Horz">
      <w:rPr>
        <w:rFonts w:cs="Arial"/>
      </w:rPr>
      <w:tblPr/>
      <w:tcPr>
        <w:tcBorders>
          <w:insideH w:val="nil"/>
          <w:insideV w:val="nil"/>
        </w:tcBorders>
        <w:shd w:val="clear" w:color="auto" w:fill="D2EAF1"/>
      </w:tcPr>
    </w:tblStylePr>
    <w:tblStylePr w:type="band2Horz">
      <w:rPr>
        <w:rFonts w:cs="Arial"/>
      </w:rPr>
      <w:tblPr/>
      <w:tcPr>
        <w:tcBorders>
          <w:insideH w:val="nil"/>
          <w:insideV w:val="nil"/>
        </w:tcBorders>
      </w:tcPr>
    </w:tblStylePr>
  </w:style>
  <w:style w:type="table" w:styleId="ColorfulGrid-Accent5">
    <w:name w:val="Colorful Grid Accent 5"/>
    <w:basedOn w:val="TableNormal"/>
    <w:uiPriority w:val="73"/>
    <w:rsid w:val="00FA6A77"/>
    <w:pPr>
      <w:spacing w:after="0" w:line="240" w:lineRule="auto"/>
    </w:pPr>
    <w:rPr>
      <w:rFonts w:ascii="Arial Narrow" w:hAnsi="Arial Narrow" w:cs="Arial"/>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rFonts w:cs="Arial"/>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pPr>
      <w:rPr>
        <w:rFonts w:cs="Arial"/>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Arial"/>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Arial"/>
        <w:b/>
        <w:bCs/>
        <w:color w:val="FFFFFF"/>
      </w:rPr>
      <w:tblPr/>
      <w:tcPr>
        <w:tcBorders>
          <w:left w:val="nil"/>
          <w:right w:val="nil"/>
          <w:insideH w:val="nil"/>
          <w:insideV w:val="nil"/>
        </w:tcBorders>
        <w:shd w:val="clear" w:color="auto" w:fill="4BACC6"/>
      </w:tcPr>
    </w:tblStylePr>
    <w:tblStylePr w:type="band1Vert">
      <w:rPr>
        <w:rFonts w:cs="Arial"/>
      </w:rPr>
      <w:tblPr/>
      <w:tcPr>
        <w:tcBorders>
          <w:left w:val="nil"/>
          <w:right w:val="nil"/>
          <w:insideH w:val="nil"/>
          <w:insideV w:val="nil"/>
        </w:tcBorders>
        <w:shd w:val="clear" w:color="auto" w:fill="D8D8D8"/>
      </w:tcPr>
    </w:tblStylePr>
    <w:tblStylePr w:type="band1Horz">
      <w:rPr>
        <w:rFonts w:cs="Arial"/>
      </w:rPr>
      <w:tblPr/>
      <w:tcPr>
        <w:shd w:val="clear" w:color="auto" w:fill="D8D8D8"/>
      </w:tcPr>
    </w:tblStylePr>
    <w:tblStylePr w:type="neCell">
      <w:rPr>
        <w:rFonts w:cs="Arial"/>
      </w:rPr>
      <w:tblPr/>
      <w:tcPr>
        <w:tcBorders>
          <w:top w:val="single" w:sz="18" w:space="0" w:color="auto"/>
          <w:left w:val="nil"/>
          <w:bottom w:val="single" w:sz="18" w:space="0" w:color="auto"/>
          <w:right w:val="nil"/>
          <w:insideH w:val="nil"/>
          <w:insideV w:val="nil"/>
        </w:tcBorders>
      </w:tcPr>
    </w:tblStylePr>
    <w:tblStylePr w:type="nwCell">
      <w:rPr>
        <w:rFonts w:cs="Arial"/>
        <w:color w:val="FFFFFF"/>
      </w:rPr>
      <w:tblPr/>
      <w:tcPr>
        <w:tcBorders>
          <w:top w:val="single" w:sz="18" w:space="0" w:color="auto"/>
          <w:left w:val="nil"/>
          <w:bottom w:val="single" w:sz="18" w:space="0" w:color="auto"/>
          <w:right w:val="nil"/>
          <w:insideH w:val="nil"/>
          <w:insideV w:val="nil"/>
        </w:tcBorders>
      </w:tcPr>
    </w:tblStylePr>
  </w:style>
  <w:style w:type="table" w:styleId="LightShading-Accent6">
    <w:name w:val="Light Shading Accent 6"/>
    <w:basedOn w:val="TableNormal"/>
    <w:uiPriority w:val="60"/>
    <w:rsid w:val="00FA6A77"/>
    <w:pPr>
      <w:spacing w:after="0" w:line="240" w:lineRule="auto"/>
    </w:pPr>
    <w:rPr>
      <w:rFonts w:ascii="Arial Narrow" w:hAnsi="Arial Narrow" w:cs="Arial"/>
      <w:color w:val="000000"/>
    </w:rPr>
    <w:tblPr>
      <w:tblStyleRowBandSize w:val="1"/>
      <w:tblStyleColBandSize w:val="1"/>
      <w:tblInd w:w="0" w:type="nil"/>
      <w:tblBorders>
        <w:top w:val="single" w:sz="8" w:space="0" w:color="4BACC6"/>
        <w:bottom w:val="single" w:sz="8" w:space="0" w:color="4BACC6"/>
      </w:tblBorders>
    </w:tblPr>
    <w:tblStylePr w:type="firstRow">
      <w:rPr>
        <w:rFonts w:ascii="New York" w:eastAsia="Times New Roman" w:hAnsi="New York" w:cs="Times New Roman"/>
      </w:rPr>
      <w:tblPr/>
      <w:tcPr>
        <w:tcBorders>
          <w:top w:val="nil"/>
          <w:bottom w:val="single" w:sz="8" w:space="0" w:color="4BACC6"/>
        </w:tcBorders>
      </w:tcPr>
    </w:tblStylePr>
    <w:tblStylePr w:type="lastRow">
      <w:rPr>
        <w:rFonts w:cs="Arial"/>
        <w:b/>
        <w:bCs/>
        <w:color w:val="1F497D"/>
      </w:rPr>
      <w:tblPr/>
      <w:tcPr>
        <w:tcBorders>
          <w:top w:val="single" w:sz="8" w:space="0" w:color="4BACC6"/>
          <w:bottom w:val="single" w:sz="8" w:space="0" w:color="4BACC6"/>
        </w:tcBorders>
      </w:tcPr>
    </w:tblStylePr>
    <w:tblStylePr w:type="firstCol">
      <w:rPr>
        <w:rFonts w:cs="Arial"/>
        <w:b/>
        <w:bCs/>
      </w:rPr>
    </w:tblStylePr>
    <w:tblStylePr w:type="lastCol">
      <w:rPr>
        <w:rFonts w:cs="Arial"/>
        <w:b/>
        <w:bCs/>
      </w:rPr>
      <w:tblPr/>
      <w:tcPr>
        <w:tcBorders>
          <w:top w:val="single" w:sz="8" w:space="0" w:color="4BACC6"/>
          <w:bottom w:val="single" w:sz="8" w:space="0" w:color="4BACC6"/>
        </w:tcBorders>
      </w:tcPr>
    </w:tblStylePr>
    <w:tblStylePr w:type="band1Vert">
      <w:rPr>
        <w:rFonts w:cs="Arial"/>
      </w:rPr>
      <w:tblPr/>
      <w:tcPr>
        <w:shd w:val="clear" w:color="auto" w:fill="D2EAF1"/>
      </w:tcPr>
    </w:tblStylePr>
    <w:tblStylePr w:type="band1Horz">
      <w:rPr>
        <w:rFonts w:cs="Arial"/>
      </w:rPr>
      <w:tblPr/>
      <w:tcPr>
        <w:shd w:val="clear" w:color="auto" w:fill="D2EAF1"/>
      </w:tcPr>
    </w:tblStylePr>
  </w:style>
  <w:style w:type="table" w:styleId="LightList-Accent6">
    <w:name w:val="Light List Accent 6"/>
    <w:basedOn w:val="TableNormal"/>
    <w:uiPriority w:val="61"/>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rFonts w:cs="Arial"/>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Arial"/>
      </w:rPr>
      <w:tblPr/>
      <w:tcPr>
        <w:tcBorders>
          <w:top w:val="single" w:sz="8" w:space="0" w:color="4BACC6"/>
          <w:left w:val="nil"/>
          <w:bottom w:val="nil"/>
          <w:right w:val="nil"/>
          <w:insideH w:val="nil"/>
          <w:insideV w:val="nil"/>
        </w:tcBorders>
        <w:shd w:val="clear" w:color="auto" w:fill="FFFFFF"/>
      </w:tcPr>
    </w:tblStylePr>
    <w:tblStylePr w:type="firstCol">
      <w:rPr>
        <w:rFonts w:cs="Arial"/>
      </w:rPr>
      <w:tblPr/>
      <w:tcPr>
        <w:tcBorders>
          <w:top w:val="nil"/>
          <w:left w:val="nil"/>
          <w:bottom w:val="nil"/>
          <w:right w:val="single" w:sz="8" w:space="0" w:color="4BACC6"/>
          <w:insideH w:val="nil"/>
          <w:insideV w:val="nil"/>
        </w:tcBorders>
        <w:shd w:val="clear" w:color="auto" w:fill="FFFFFF"/>
      </w:tcPr>
    </w:tblStylePr>
    <w:tblStylePr w:type="lastCol">
      <w:rPr>
        <w:rFonts w:cs="Arial"/>
      </w:rPr>
      <w:tblPr/>
      <w:tcPr>
        <w:tcBorders>
          <w:top w:val="nil"/>
          <w:left w:val="single" w:sz="8" w:space="0" w:color="4BACC6"/>
          <w:bottom w:val="nil"/>
          <w:right w:val="nil"/>
          <w:insideH w:val="nil"/>
          <w:insideV w:val="nil"/>
        </w:tcBorders>
        <w:shd w:val="clear" w:color="auto" w:fill="FFFFFF"/>
      </w:tcPr>
    </w:tblStylePr>
    <w:tblStylePr w:type="band1Vert">
      <w:rPr>
        <w:rFonts w:cs="Arial"/>
      </w:rPr>
      <w:tblPr/>
      <w:tcPr>
        <w:tcBorders>
          <w:left w:val="nil"/>
          <w:right w:val="nil"/>
          <w:insideH w:val="nil"/>
          <w:insideV w:val="nil"/>
        </w:tcBorders>
        <w:shd w:val="clear" w:color="auto" w:fill="D2EAF1"/>
      </w:tcPr>
    </w:tblStylePr>
    <w:tblStylePr w:type="band1Horz">
      <w:rPr>
        <w:rFonts w:cs="Arial"/>
      </w:rPr>
      <w:tblPr/>
      <w:tcPr>
        <w:tcBorders>
          <w:top w:val="nil"/>
          <w:bottom w:val="nil"/>
          <w:insideH w:val="nil"/>
          <w:insideV w:val="nil"/>
        </w:tcBorders>
        <w:shd w:val="clear" w:color="auto" w:fill="D2EAF1"/>
      </w:tcPr>
    </w:tblStylePr>
    <w:tblStylePr w:type="nwCell">
      <w:rPr>
        <w:rFonts w:cs="Arial"/>
      </w:rPr>
      <w:tblPr/>
      <w:tcPr>
        <w:shd w:val="clear" w:color="auto" w:fill="FFFFFF"/>
      </w:tcPr>
    </w:tblStylePr>
    <w:tblStylePr w:type="swCell">
      <w:rPr>
        <w:rFonts w:cs="Arial"/>
      </w:rPr>
      <w:tblPr/>
      <w:tcPr>
        <w:tcBorders>
          <w:top w:val="nil"/>
        </w:tcBorders>
      </w:tcPr>
    </w:tblStylePr>
  </w:style>
  <w:style w:type="table" w:styleId="LightGrid-Accent6">
    <w:name w:val="Light Grid Accent 6"/>
    <w:basedOn w:val="TableNormal"/>
    <w:uiPriority w:val="62"/>
    <w:rsid w:val="00FA6A77"/>
    <w:pPr>
      <w:spacing w:after="0" w:line="240" w:lineRule="auto"/>
    </w:pPr>
    <w:rPr>
      <w:rFonts w:ascii="Arial Narrow" w:hAnsi="Arial Narrow" w:cs="Arial"/>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Arial"/>
        <w:b/>
        <w:bCs/>
      </w:rPr>
    </w:tblStylePr>
    <w:tblStylePr w:type="lastRow">
      <w:rPr>
        <w:rFonts w:cs="Arial"/>
        <w:b/>
        <w:bCs/>
      </w:rPr>
      <w:tblPr/>
      <w:tcPr>
        <w:tcBorders>
          <w:top w:val="single" w:sz="18" w:space="0" w:color="78C0D4"/>
        </w:tcBorders>
      </w:tcPr>
    </w:tblStylePr>
    <w:tblStylePr w:type="firstCol">
      <w:rPr>
        <w:rFonts w:cs="Arial"/>
        <w:b/>
        <w:bCs/>
      </w:rPr>
    </w:tblStylePr>
    <w:tblStylePr w:type="lastCol">
      <w:rPr>
        <w:rFonts w:cs="Arial"/>
        <w:b/>
        <w:bCs/>
      </w:rPr>
    </w:tblStylePr>
    <w:tblStylePr w:type="band1Vert">
      <w:rPr>
        <w:rFonts w:cs="Arial"/>
      </w:rPr>
      <w:tblPr/>
      <w:tcPr>
        <w:shd w:val="clear" w:color="auto" w:fill="A5D5E2"/>
      </w:tcPr>
    </w:tblStylePr>
    <w:tblStylePr w:type="band1Horz">
      <w:rPr>
        <w:rFonts w:cs="Arial"/>
      </w:rPr>
      <w:tblPr/>
      <w:tcPr>
        <w:shd w:val="clear" w:color="auto" w:fill="A5D5E2"/>
      </w:tcPr>
    </w:tblStylePr>
  </w:style>
  <w:style w:type="table" w:styleId="MediumShading1-Accent6">
    <w:name w:val="Medium Shading 1 Accent 6"/>
    <w:basedOn w:val="TableNormal"/>
    <w:uiPriority w:val="63"/>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Arial"/>
        <w:b/>
        <w:bCs/>
        <w:color w:val="000000"/>
      </w:rPr>
      <w:tblPr/>
      <w:tcPr>
        <w:shd w:val="clear" w:color="auto" w:fill="EDF6F9"/>
      </w:tcPr>
    </w:tblStylePr>
    <w:tblStylePr w:type="lastRow">
      <w:rPr>
        <w:rFonts w:cs="Arial"/>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Arial"/>
        <w:b/>
        <w:bCs/>
        <w:color w:val="000000"/>
      </w:rPr>
      <w:tblPr/>
      <w:tcPr>
        <w:tcBorders>
          <w:top w:val="nil"/>
          <w:left w:val="nil"/>
          <w:bottom w:val="nil"/>
          <w:right w:val="nil"/>
          <w:insideH w:val="nil"/>
          <w:insideV w:val="nil"/>
        </w:tcBorders>
        <w:shd w:val="clear" w:color="auto" w:fill="FFFFFF"/>
      </w:tcPr>
    </w:tblStylePr>
    <w:tblStylePr w:type="lastCol">
      <w:rPr>
        <w:rFonts w:cs="Arial"/>
        <w:b w:val="0"/>
        <w:bCs w:val="0"/>
        <w:color w:val="000000"/>
      </w:rPr>
      <w:tblPr/>
      <w:tcPr>
        <w:tcBorders>
          <w:top w:val="nil"/>
          <w:left w:val="nil"/>
          <w:bottom w:val="nil"/>
          <w:right w:val="nil"/>
          <w:insideH w:val="nil"/>
          <w:insideV w:val="nil"/>
        </w:tcBorders>
        <w:shd w:val="clear" w:color="auto" w:fill="DAEEF3"/>
      </w:tcPr>
    </w:tblStylePr>
    <w:tblStylePr w:type="band1Vert">
      <w:rPr>
        <w:rFonts w:cs="Arial"/>
      </w:rPr>
      <w:tblPr/>
      <w:tcPr>
        <w:shd w:val="clear" w:color="auto" w:fill="A5D5E2"/>
      </w:tcPr>
    </w:tblStylePr>
    <w:tblStylePr w:type="band1Horz">
      <w:rPr>
        <w:rFonts w:cs="Arial"/>
      </w:rPr>
      <w:tblPr/>
      <w:tcPr>
        <w:tcBorders>
          <w:insideH w:val="single" w:sz="6" w:space="0" w:color="4BACC6"/>
          <w:insideV w:val="single" w:sz="6" w:space="0" w:color="4BACC6"/>
        </w:tcBorders>
        <w:shd w:val="clear" w:color="auto" w:fill="A5D5E2"/>
      </w:tcPr>
    </w:tblStylePr>
    <w:tblStylePr w:type="nwCell">
      <w:rPr>
        <w:rFonts w:cs="Arial"/>
      </w:rPr>
      <w:tblPr/>
      <w:tcPr>
        <w:shd w:val="clear" w:color="auto" w:fill="FFFFFF"/>
      </w:tcPr>
    </w:tblStylePr>
  </w:style>
  <w:style w:type="table" w:styleId="MediumShading2-Accent6">
    <w:name w:val="Medium Shading 2 Accent 6"/>
    <w:basedOn w:val="TableNormal"/>
    <w:uiPriority w:val="64"/>
    <w:rsid w:val="00FA6A77"/>
    <w:pPr>
      <w:spacing w:after="0" w:line="240" w:lineRule="auto"/>
    </w:pPr>
    <w:rPr>
      <w:rFonts w:ascii="Arial Narrow" w:hAnsi="Arial Narrow" w:cs="Arial"/>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Arial"/>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Arial"/>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Arial"/>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Arial"/>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Arial"/>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Arial"/>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1-Accent6">
    <w:name w:val="Medium List 1 Accent 6"/>
    <w:basedOn w:val="TableNormal"/>
    <w:uiPriority w:val="65"/>
    <w:rsid w:val="00FA6A77"/>
    <w:pPr>
      <w:spacing w:after="0" w:line="240" w:lineRule="auto"/>
    </w:pPr>
    <w:rPr>
      <w:rFonts w:ascii="Arial Narrow" w:hAnsi="Arial Narrow" w:cs="Arial"/>
      <w:color w:val="FFFFFF"/>
    </w:rPr>
    <w:tblPr>
      <w:tblStyleRowBandSize w:val="1"/>
      <w:tblStyleColBandSize w:val="1"/>
      <w:tblInd w:w="0" w:type="nil"/>
    </w:tblPr>
    <w:tcPr>
      <w:shd w:val="clear" w:color="auto" w:fill="4BACC6"/>
    </w:tcPr>
    <w:tblStylePr w:type="firstRow">
      <w:rPr>
        <w:rFonts w:cs="Arial"/>
        <w:b/>
        <w:bCs/>
      </w:rPr>
      <w:tblPr/>
      <w:tcPr>
        <w:tcBorders>
          <w:top w:val="nil"/>
          <w:left w:val="nil"/>
          <w:bottom w:val="single" w:sz="18" w:space="0" w:color="FFFFFF"/>
          <w:right w:val="nil"/>
          <w:insideH w:val="nil"/>
          <w:insideV w:val="nil"/>
        </w:tcBorders>
        <w:shd w:val="clear" w:color="auto" w:fill="000000"/>
      </w:tcPr>
    </w:tblStylePr>
    <w:tblStylePr w:type="lastRow">
      <w:rPr>
        <w:rFonts w:cs="Arial"/>
      </w:rPr>
      <w:tblPr/>
      <w:tcPr>
        <w:tcBorders>
          <w:top w:val="single" w:sz="18" w:space="0" w:color="FFFFFF"/>
          <w:left w:val="nil"/>
          <w:bottom w:val="nil"/>
          <w:right w:val="nil"/>
          <w:insideH w:val="nil"/>
          <w:insideV w:val="nil"/>
        </w:tcBorders>
        <w:shd w:val="clear" w:color="auto" w:fill="205867"/>
      </w:tcPr>
    </w:tblStylePr>
    <w:tblStylePr w:type="firstCol">
      <w:rPr>
        <w:rFonts w:cs="Arial"/>
      </w:rPr>
      <w:tblPr/>
      <w:tcPr>
        <w:tcBorders>
          <w:top w:val="nil"/>
          <w:left w:val="nil"/>
          <w:bottom w:val="nil"/>
          <w:right w:val="single" w:sz="18" w:space="0" w:color="FFFFFF"/>
          <w:insideH w:val="nil"/>
          <w:insideV w:val="nil"/>
        </w:tcBorders>
        <w:shd w:val="clear" w:color="auto" w:fill="31849B"/>
      </w:tcPr>
    </w:tblStylePr>
    <w:tblStylePr w:type="lastCol">
      <w:rPr>
        <w:rFonts w:cs="Arial"/>
      </w:rPr>
      <w:tblPr/>
      <w:tcPr>
        <w:tcBorders>
          <w:top w:val="nil"/>
          <w:left w:val="single" w:sz="18" w:space="0" w:color="FFFFFF"/>
          <w:bottom w:val="nil"/>
          <w:right w:val="nil"/>
          <w:insideH w:val="nil"/>
          <w:insideV w:val="nil"/>
        </w:tcBorders>
        <w:shd w:val="clear" w:color="auto" w:fill="31849B"/>
      </w:tcPr>
    </w:tblStylePr>
    <w:tblStylePr w:type="band1Vert">
      <w:rPr>
        <w:rFonts w:cs="Arial"/>
      </w:rPr>
      <w:tblPr/>
      <w:tcPr>
        <w:tcBorders>
          <w:top w:val="nil"/>
          <w:left w:val="nil"/>
          <w:bottom w:val="nil"/>
          <w:right w:val="nil"/>
          <w:insideH w:val="nil"/>
          <w:insideV w:val="nil"/>
        </w:tcBorders>
        <w:shd w:val="clear" w:color="auto" w:fill="31849B"/>
      </w:tcPr>
    </w:tblStylePr>
    <w:tblStylePr w:type="band1Horz">
      <w:rPr>
        <w:rFonts w:cs="Arial"/>
      </w:rPr>
      <w:tblPr/>
      <w:tcPr>
        <w:tcBorders>
          <w:top w:val="nil"/>
          <w:left w:val="nil"/>
          <w:bottom w:val="nil"/>
          <w:right w:val="nil"/>
          <w:insideH w:val="nil"/>
          <w:insideV w:val="nil"/>
        </w:tcBorders>
        <w:shd w:val="clear" w:color="auto" w:fill="31849B"/>
      </w:tcPr>
    </w:tblStylePr>
  </w:style>
  <w:style w:type="table" w:styleId="MediumList2-Accent6">
    <w:name w:val="Medium List 2 Accent 6"/>
    <w:basedOn w:val="TableNormal"/>
    <w:uiPriority w:val="66"/>
    <w:rsid w:val="00FA6A77"/>
    <w:pPr>
      <w:spacing w:after="0" w:line="240" w:lineRule="auto"/>
    </w:pPr>
    <w:rPr>
      <w:rFonts w:ascii="Arial Narrow" w:hAnsi="Arial Narrow" w:cs="Arial"/>
      <w:color w:val="000000"/>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Arial"/>
        <w:b/>
        <w:bCs/>
      </w:rPr>
      <w:tblPr/>
      <w:tcPr>
        <w:tcBorders>
          <w:top w:val="nil"/>
          <w:left w:val="nil"/>
          <w:bottom w:val="single" w:sz="24" w:space="0" w:color="F79646"/>
          <w:right w:val="nil"/>
          <w:insideH w:val="nil"/>
          <w:insideV w:val="nil"/>
        </w:tcBorders>
        <w:shd w:val="clear" w:color="auto" w:fill="FFFFFF"/>
      </w:tcPr>
    </w:tblStylePr>
    <w:tblStylePr w:type="lastRow">
      <w:rPr>
        <w:rFonts w:cs="Arial"/>
        <w:b/>
        <w:bCs/>
        <w:color w:val="FFFFFF"/>
      </w:rPr>
      <w:tblPr/>
      <w:tcPr>
        <w:tcBorders>
          <w:top w:val="single" w:sz="6" w:space="0" w:color="FFFFFF"/>
        </w:tcBorders>
        <w:shd w:val="clear" w:color="auto" w:fill="276A7C"/>
      </w:tcPr>
    </w:tblStylePr>
    <w:tblStylePr w:type="firstCol">
      <w:rPr>
        <w:rFonts w:cs="Arial"/>
        <w:color w:val="FFFFFF"/>
      </w:rPr>
      <w:tblPr/>
      <w:tcPr>
        <w:tcBorders>
          <w:top w:val="nil"/>
          <w:left w:val="nil"/>
          <w:bottom w:val="nil"/>
          <w:right w:val="nil"/>
          <w:insideH w:val="single" w:sz="4" w:space="0" w:color="276A7C"/>
          <w:insideV w:val="nil"/>
        </w:tcBorders>
        <w:shd w:val="clear" w:color="auto" w:fill="276A7C"/>
      </w:tcPr>
    </w:tblStylePr>
    <w:tblStylePr w:type="lastCol">
      <w:rPr>
        <w:rFonts w:cs="Arial"/>
        <w:color w:val="FFFFFF"/>
      </w:rPr>
      <w:tblPr/>
      <w:tcPr>
        <w:tcBorders>
          <w:top w:val="nil"/>
          <w:left w:val="nil"/>
          <w:bottom w:val="nil"/>
          <w:right w:val="nil"/>
          <w:insideH w:val="nil"/>
          <w:insideV w:val="nil"/>
        </w:tcBorders>
        <w:shd w:val="clear" w:color="auto" w:fill="276A7C"/>
      </w:tcPr>
    </w:tblStylePr>
    <w:tblStylePr w:type="band1Vert">
      <w:rPr>
        <w:rFonts w:cs="Arial"/>
      </w:rPr>
      <w:tblPr/>
      <w:tcPr>
        <w:shd w:val="clear" w:color="auto" w:fill="B6DDE8"/>
      </w:tcPr>
    </w:tblStylePr>
    <w:tblStylePr w:type="band1Horz">
      <w:rPr>
        <w:rFonts w:cs="Arial"/>
      </w:rPr>
      <w:tblPr/>
      <w:tcPr>
        <w:shd w:val="clear" w:color="auto" w:fill="A5D5E2"/>
      </w:tcPr>
    </w:tblStylePr>
    <w:tblStylePr w:type="neCell">
      <w:rPr>
        <w:rFonts w:cs="Arial"/>
        <w:color w:val="000000"/>
      </w:rPr>
    </w:tblStylePr>
    <w:tblStylePr w:type="nwCell">
      <w:rPr>
        <w:rFonts w:cs="Arial"/>
        <w:color w:val="000000"/>
      </w:rPr>
    </w:tblStylePr>
  </w:style>
  <w:style w:type="table" w:styleId="MediumGrid1-Accent6">
    <w:name w:val="Medium Grid 1 Accent 6"/>
    <w:basedOn w:val="TableNormal"/>
    <w:uiPriority w:val="67"/>
    <w:rsid w:val="00FA6A77"/>
    <w:pPr>
      <w:spacing w:after="0" w:line="240" w:lineRule="auto"/>
    </w:pPr>
    <w:rPr>
      <w:rFonts w:ascii="Arial Narrow" w:hAnsi="Arial Narrow" w:cs="Arial"/>
      <w:color w:val="000000"/>
    </w:rPr>
    <w:tblPr>
      <w:tblStyleRowBandSize w:val="1"/>
      <w:tblStyleColBandSize w:val="1"/>
      <w:tblInd w:w="0" w:type="nil"/>
    </w:tblPr>
    <w:tcPr>
      <w:shd w:val="clear" w:color="auto" w:fill="EDF6F9"/>
    </w:tcPr>
    <w:tblStylePr w:type="firstRow">
      <w:rPr>
        <w:rFonts w:cs="Arial"/>
        <w:b/>
        <w:bCs/>
        <w:color w:val="FFFFFF"/>
      </w:rPr>
      <w:tblPr/>
      <w:tcPr>
        <w:tcBorders>
          <w:bottom w:val="single" w:sz="12" w:space="0" w:color="FFFFFF"/>
        </w:tcBorders>
        <w:shd w:val="clear" w:color="auto" w:fill="F2730A"/>
      </w:tcPr>
    </w:tblStylePr>
    <w:tblStylePr w:type="lastRow">
      <w:rPr>
        <w:rFonts w:cs="Arial"/>
        <w:b/>
        <w:bCs/>
        <w:color w:val="F2730A"/>
      </w:rPr>
      <w:tblPr/>
      <w:tcPr>
        <w:tcBorders>
          <w:top w:val="single" w:sz="12" w:space="0" w:color="000000"/>
        </w:tcBorders>
        <w:shd w:val="clear" w:color="auto" w:fill="FFFFFF"/>
      </w:tcPr>
    </w:tblStylePr>
    <w:tblStylePr w:type="firstCol">
      <w:rPr>
        <w:rFonts w:cs="Arial"/>
        <w:b/>
        <w:bCs/>
      </w:rPr>
    </w:tblStylePr>
    <w:tblStylePr w:type="lastCol">
      <w:rPr>
        <w:rFonts w:cs="Arial"/>
        <w:b/>
        <w:bCs/>
      </w:rPr>
    </w:tblStylePr>
    <w:tblStylePr w:type="band1Vert">
      <w:rPr>
        <w:rFonts w:cs="Arial"/>
      </w:rPr>
      <w:tblPr/>
      <w:tcPr>
        <w:tcBorders>
          <w:top w:val="nil"/>
          <w:left w:val="nil"/>
          <w:bottom w:val="nil"/>
          <w:right w:val="nil"/>
          <w:insideH w:val="nil"/>
          <w:insideV w:val="nil"/>
        </w:tcBorders>
        <w:shd w:val="clear" w:color="auto" w:fill="D2EAF1"/>
      </w:tcPr>
    </w:tblStylePr>
    <w:tblStylePr w:type="band1Horz">
      <w:rPr>
        <w:rFonts w:cs="Arial"/>
      </w:rPr>
      <w:tblPr/>
      <w:tcPr>
        <w:shd w:val="clear" w:color="auto" w:fill="DAEEF3"/>
      </w:tcPr>
    </w:tblStylePr>
  </w:style>
  <w:style w:type="table" w:styleId="MediumGrid2-Accent6">
    <w:name w:val="Medium Grid 2 Accent 6"/>
    <w:basedOn w:val="TableNormal"/>
    <w:uiPriority w:val="68"/>
    <w:rsid w:val="00FA6A77"/>
    <w:pPr>
      <w:spacing w:after="0" w:line="240" w:lineRule="auto"/>
    </w:pPr>
    <w:rPr>
      <w:rFonts w:ascii="Arial Narrow" w:hAnsi="Arial Narrow" w:cs="Arial"/>
      <w:color w:val="000000"/>
    </w:rPr>
    <w:tblPr>
      <w:tblStyleRowBandSize w:val="1"/>
      <w:tblStyleColBandSize w:val="1"/>
      <w:tblInd w:w="0" w:type="nil"/>
      <w:tblBorders>
        <w:insideH w:val="single" w:sz="4" w:space="0" w:color="FFFFFF"/>
      </w:tblBorders>
    </w:tblPr>
    <w:tcPr>
      <w:shd w:val="clear" w:color="auto" w:fill="DAEEF3"/>
    </w:tcPr>
    <w:tblStylePr w:type="firstRow">
      <w:rPr>
        <w:rFonts w:cs="Arial"/>
        <w:b/>
        <w:bCs/>
      </w:rPr>
      <w:tblPr/>
      <w:tcPr>
        <w:shd w:val="clear" w:color="auto" w:fill="B6DDE8"/>
      </w:tcPr>
    </w:tblStylePr>
    <w:tblStylePr w:type="lastRow">
      <w:rPr>
        <w:rFonts w:cs="Arial"/>
        <w:b/>
        <w:bCs/>
        <w:color w:val="000000"/>
      </w:rPr>
      <w:tblPr/>
      <w:tcPr>
        <w:shd w:val="clear" w:color="auto" w:fill="B6DDE8"/>
      </w:tcPr>
    </w:tblStylePr>
    <w:tblStylePr w:type="firstCol">
      <w:rPr>
        <w:rFonts w:cs="Arial"/>
        <w:color w:val="FFFFFF"/>
      </w:rPr>
      <w:tblPr/>
      <w:tcPr>
        <w:shd w:val="clear" w:color="auto" w:fill="31849B"/>
      </w:tcPr>
    </w:tblStylePr>
    <w:tblStylePr w:type="lastCol">
      <w:rPr>
        <w:rFonts w:cs="Arial"/>
        <w:color w:val="FFFFFF"/>
      </w:rPr>
      <w:tblPr/>
      <w:tcPr>
        <w:shd w:val="clear" w:color="auto" w:fill="31849B"/>
      </w:tcPr>
    </w:tblStylePr>
    <w:tblStylePr w:type="band1Vert">
      <w:rPr>
        <w:rFonts w:cs="Arial"/>
      </w:rPr>
      <w:tblPr/>
      <w:tcPr>
        <w:shd w:val="clear" w:color="auto" w:fill="A5D5E2"/>
      </w:tcPr>
    </w:tblStylePr>
    <w:tblStylePr w:type="band1Horz">
      <w:rPr>
        <w:rFonts w:cs="Arial"/>
      </w:rPr>
      <w:tblPr/>
      <w:tcPr>
        <w:shd w:val="clear" w:color="auto" w:fill="A5D5E2"/>
      </w:tcPr>
    </w:tblStylePr>
  </w:style>
  <w:style w:type="table" w:styleId="DarkList-Accent6">
    <w:name w:val="Dark List Accent 6"/>
    <w:basedOn w:val="TableNormal"/>
    <w:uiPriority w:val="70"/>
    <w:rsid w:val="00FA6A77"/>
    <w:pPr>
      <w:spacing w:after="0" w:line="240" w:lineRule="auto"/>
    </w:pPr>
    <w:rPr>
      <w:rFonts w:ascii="Arial Narrow" w:hAnsi="Arial Narrow" w:cs="Arial"/>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pPr>
      <w:rPr>
        <w:rFonts w:cs="Arial"/>
        <w:b/>
        <w:bCs/>
        <w:color w:val="FFFFFF"/>
      </w:rPr>
      <w:tblPr/>
      <w:tcPr>
        <w:shd w:val="clear" w:color="auto" w:fill="F79646"/>
      </w:tcPr>
    </w:tblStylePr>
    <w:tblStylePr w:type="lastRow">
      <w:pPr>
        <w:spacing w:beforeLines="0" w:before="0" w:beforeAutospacing="0" w:afterLines="0" w:after="0" w:afterAutospacing="0"/>
      </w:pPr>
      <w:rPr>
        <w:rFonts w:cs="Arial"/>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F79646"/>
          <w:left w:val="single" w:sz="8" w:space="0" w:color="F79646"/>
          <w:bottom w:val="single" w:sz="8" w:space="0" w:color="F79646"/>
          <w:right w:val="single" w:sz="8" w:space="0" w:color="F79646"/>
        </w:tcBorders>
      </w:tcPr>
    </w:tblStylePr>
    <w:tblStylePr w:type="band1Horz">
      <w:rPr>
        <w:rFonts w:cs="Arial"/>
      </w:rPr>
      <w:tblPr/>
      <w:tcPr>
        <w:tcBorders>
          <w:top w:val="single" w:sz="8" w:space="0" w:color="F79646"/>
          <w:left w:val="single" w:sz="8" w:space="0" w:color="F79646"/>
          <w:bottom w:val="single" w:sz="8" w:space="0" w:color="F79646"/>
          <w:right w:val="single" w:sz="8" w:space="0" w:color="F79646"/>
        </w:tcBorders>
      </w:tcPr>
    </w:tblStylePr>
  </w:style>
  <w:style w:type="table" w:styleId="ColorfulShading-Accent6">
    <w:name w:val="Colorful Shading Accent 6"/>
    <w:basedOn w:val="TableNormal"/>
    <w:uiPriority w:val="71"/>
    <w:rsid w:val="00FA6A77"/>
    <w:pPr>
      <w:spacing w:after="0" w:line="240" w:lineRule="auto"/>
    </w:pPr>
    <w:rPr>
      <w:rFonts w:ascii="Arial Narrow" w:hAnsi="Arial Narrow" w:cs="Arial"/>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pPr>
      <w:rPr>
        <w:rFonts w:ascii="New York" w:eastAsia="Times New Roman" w:hAnsi="New York"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pPr>
      <w:rPr>
        <w:rFonts w:ascii="New York" w:eastAsia="Times New Roman" w:hAnsi="New York"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Arial"/>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Arial"/>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Arial"/>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ColorfulList-Accent6">
    <w:name w:val="Colorful List Accent 6"/>
    <w:basedOn w:val="TableNormal"/>
    <w:uiPriority w:val="72"/>
    <w:rsid w:val="00FA6A77"/>
    <w:pPr>
      <w:spacing w:after="0" w:line="240" w:lineRule="auto"/>
    </w:pPr>
    <w:rPr>
      <w:rFonts w:ascii="Arial Narrow" w:hAnsi="Arial Narrow" w:cs="Arial"/>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pPr>
      <w:rPr>
        <w:rFonts w:cs="Arial"/>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pPr>
      <w:rPr>
        <w:rFonts w:cs="Arial"/>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FDE4D0"/>
      </w:tcPr>
    </w:tblStylePr>
    <w:tblStylePr w:type="band1Horz">
      <w:rPr>
        <w:rFonts w:cs="Arial"/>
      </w:rPr>
      <w:tblPr/>
      <w:tcPr>
        <w:tcBorders>
          <w:insideH w:val="nil"/>
          <w:insideV w:val="nil"/>
        </w:tcBorders>
        <w:shd w:val="clear" w:color="auto" w:fill="FDE4D0"/>
      </w:tcPr>
    </w:tblStylePr>
    <w:tblStylePr w:type="band2Horz">
      <w:rPr>
        <w:rFonts w:cs="Arial"/>
      </w:rPr>
      <w:tblPr/>
      <w:tcPr>
        <w:tcBorders>
          <w:insideH w:val="nil"/>
          <w:insideV w:val="nil"/>
        </w:tcBorders>
      </w:tcPr>
    </w:tblStylePr>
  </w:style>
  <w:style w:type="table" w:styleId="ColorfulGrid-Accent6">
    <w:name w:val="Colorful Grid Accent 6"/>
    <w:basedOn w:val="TableNormal"/>
    <w:uiPriority w:val="73"/>
    <w:rsid w:val="00FA6A77"/>
    <w:pPr>
      <w:spacing w:after="0" w:line="240" w:lineRule="auto"/>
    </w:pPr>
    <w:rPr>
      <w:rFonts w:ascii="Arial Narrow" w:hAnsi="Arial Narrow" w:cs="Arial"/>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rFonts w:cs="Arial"/>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pPr>
      <w:rPr>
        <w:rFonts w:cs="Arial"/>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Arial"/>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Arial"/>
        <w:b/>
        <w:bCs/>
        <w:color w:val="FFFFFF"/>
      </w:rPr>
      <w:tblPr/>
      <w:tcPr>
        <w:tcBorders>
          <w:left w:val="nil"/>
          <w:right w:val="nil"/>
          <w:insideH w:val="nil"/>
          <w:insideV w:val="nil"/>
        </w:tcBorders>
        <w:shd w:val="clear" w:color="auto" w:fill="F79646"/>
      </w:tcPr>
    </w:tblStylePr>
    <w:tblStylePr w:type="band1Vert">
      <w:rPr>
        <w:rFonts w:cs="Arial"/>
      </w:rPr>
      <w:tblPr/>
      <w:tcPr>
        <w:tcBorders>
          <w:left w:val="nil"/>
          <w:right w:val="nil"/>
          <w:insideH w:val="nil"/>
          <w:insideV w:val="nil"/>
        </w:tcBorders>
        <w:shd w:val="clear" w:color="auto" w:fill="D8D8D8"/>
      </w:tcPr>
    </w:tblStylePr>
    <w:tblStylePr w:type="band1Horz">
      <w:rPr>
        <w:rFonts w:cs="Arial"/>
      </w:rPr>
      <w:tblPr/>
      <w:tcPr>
        <w:shd w:val="clear" w:color="auto" w:fill="D8D8D8"/>
      </w:tcPr>
    </w:tblStylePr>
    <w:tblStylePr w:type="neCell">
      <w:rPr>
        <w:rFonts w:cs="Arial"/>
      </w:rPr>
      <w:tblPr/>
      <w:tcPr>
        <w:tcBorders>
          <w:top w:val="single" w:sz="18" w:space="0" w:color="auto"/>
          <w:left w:val="nil"/>
          <w:bottom w:val="single" w:sz="18" w:space="0" w:color="auto"/>
          <w:right w:val="nil"/>
          <w:insideH w:val="nil"/>
          <w:insideV w:val="nil"/>
        </w:tcBorders>
      </w:tcPr>
    </w:tblStylePr>
    <w:tblStylePr w:type="nwCell">
      <w:rPr>
        <w:rFonts w:cs="Arial"/>
        <w:color w:val="FFFFFF"/>
      </w:rPr>
      <w:tblPr/>
      <w:tcPr>
        <w:tcBorders>
          <w:top w:val="single" w:sz="18" w:space="0" w:color="auto"/>
          <w:left w:val="nil"/>
          <w:bottom w:val="single" w:sz="18" w:space="0" w:color="auto"/>
          <w:right w:val="nil"/>
          <w:insideH w:val="nil"/>
          <w:insideV w:val="nil"/>
        </w:tcBorders>
      </w:tcPr>
    </w:tblStylePr>
  </w:style>
  <w:style w:type="table" w:customStyle="1" w:styleId="WCCLTP1">
    <w:name w:val="WCC LTP 1"/>
    <w:basedOn w:val="TableNormal"/>
    <w:uiPriority w:val="99"/>
    <w:rsid w:val="00FA6A77"/>
    <w:pPr>
      <w:spacing w:before="113" w:after="113" w:line="200" w:lineRule="atLeast"/>
    </w:pPr>
    <w:rPr>
      <w:sz w:val="16"/>
    </w:rPr>
    <w:tblPr>
      <w:tblInd w:w="0" w:type="nil"/>
      <w:tblBorders>
        <w:top w:val="single" w:sz="4" w:space="0" w:color="82858F"/>
        <w:bottom w:val="single" w:sz="4" w:space="0" w:color="82858F"/>
        <w:insideH w:val="single" w:sz="4" w:space="0" w:color="82858F"/>
      </w:tblBorders>
      <w:tblCellMar>
        <w:left w:w="113" w:type="dxa"/>
        <w:right w:w="113" w:type="dxa"/>
      </w:tblCellMar>
    </w:tblPr>
    <w:tblStylePr w:type="firstRow">
      <w:rPr>
        <w:rFonts w:asciiTheme="majorHAnsi" w:hAnsiTheme="majorHAnsi" w:cs="Times New Roman"/>
      </w:rPr>
      <w:tblPr/>
      <w:tcPr>
        <w:tcBorders>
          <w:top w:val="nil"/>
          <w:left w:val="nil"/>
          <w:bottom w:val="single" w:sz="4" w:space="0" w:color="82858F"/>
          <w:right w:val="nil"/>
          <w:insideH w:val="nil"/>
          <w:insideV w:val="nil"/>
          <w:tl2br w:val="nil"/>
          <w:tr2bl w:val="nil"/>
        </w:tcBorders>
        <w:shd w:val="clear" w:color="auto" w:fill="FFDE00"/>
      </w:tcPr>
    </w:tblStylePr>
  </w:style>
  <w:style w:type="table" w:customStyle="1" w:styleId="WCCLTP2">
    <w:name w:val="WCC LTP 2"/>
    <w:basedOn w:val="WCCLTP1"/>
    <w:uiPriority w:val="99"/>
    <w:rsid w:val="00FA6A77"/>
    <w:tblPr>
      <w:tblBorders>
        <w:top w:val="none" w:sz="0" w:space="0" w:color="auto"/>
        <w:bottom w:val="none" w:sz="0" w:space="0" w:color="auto"/>
        <w:insideH w:val="none" w:sz="0" w:space="0" w:color="auto"/>
        <w:insideV w:val="single" w:sz="4" w:space="0" w:color="82858F"/>
      </w:tblBorders>
    </w:tblPr>
    <w:tblStylePr w:type="firstRow">
      <w:rPr>
        <w:rFonts w:asciiTheme="majorHAnsi" w:hAnsiTheme="majorHAnsi" w:cs="Times New Roman"/>
        <w:b/>
      </w:rPr>
      <w:tblPr/>
      <w:tcPr>
        <w:tcBorders>
          <w:top w:val="nil"/>
          <w:left w:val="nil"/>
          <w:bottom w:val="single" w:sz="4" w:space="0" w:color="82858F"/>
          <w:right w:val="nil"/>
          <w:insideH w:val="nil"/>
          <w:insideV w:val="single" w:sz="4" w:space="0" w:color="82858F"/>
          <w:tl2br w:val="nil"/>
          <w:tr2bl w:val="nil"/>
        </w:tcBorders>
        <w:shd w:val="clear" w:color="auto" w:fill="E2E3E3"/>
      </w:tcPr>
    </w:tblStylePr>
  </w:style>
  <w:style w:type="paragraph" w:customStyle="1" w:styleId="xl103">
    <w:name w:val="xl103"/>
    <w:basedOn w:val="Normal"/>
    <w:rsid w:val="00030337"/>
    <w:pPr>
      <w:pBdr>
        <w:top w:val="single" w:sz="4" w:space="0" w:color="auto"/>
        <w:bottom w:val="single" w:sz="4" w:space="0" w:color="auto"/>
      </w:pBdr>
      <w:shd w:val="clear" w:color="000000" w:fill="D8E4BC"/>
      <w:spacing w:before="100" w:beforeAutospacing="1" w:after="100" w:afterAutospacing="1" w:line="240" w:lineRule="auto"/>
      <w:jc w:val="right"/>
    </w:pPr>
    <w:rPr>
      <w:rFonts w:ascii="Times New Roman" w:hAnsi="Times New Roman"/>
      <w:sz w:val="24"/>
      <w:szCs w:val="24"/>
      <w:lang w:eastAsia="en-NZ"/>
    </w:rPr>
  </w:style>
  <w:style w:type="paragraph" w:customStyle="1" w:styleId="xl104">
    <w:name w:val="xl104"/>
    <w:basedOn w:val="Normal"/>
    <w:rsid w:val="00030337"/>
    <w:pPr>
      <w:pBdr>
        <w:top w:val="single" w:sz="4" w:space="0" w:color="auto"/>
        <w:bottom w:val="single" w:sz="4" w:space="0" w:color="auto"/>
      </w:pBdr>
      <w:shd w:val="clear" w:color="000000" w:fill="D8E4BC"/>
      <w:spacing w:before="100" w:beforeAutospacing="1" w:after="100" w:afterAutospacing="1" w:line="240" w:lineRule="auto"/>
      <w:jc w:val="center"/>
    </w:pPr>
    <w:rPr>
      <w:rFonts w:ascii="Times New Roman" w:hAnsi="Times New Roman"/>
      <w:sz w:val="24"/>
      <w:szCs w:val="24"/>
      <w:lang w:eastAsia="en-NZ"/>
    </w:rPr>
  </w:style>
  <w:style w:type="paragraph" w:customStyle="1" w:styleId="xl105">
    <w:name w:val="xl105"/>
    <w:basedOn w:val="Normal"/>
    <w:rsid w:val="00030337"/>
    <w:pPr>
      <w:pBdr>
        <w:top w:val="single" w:sz="4" w:space="0" w:color="auto"/>
        <w:bottom w:val="single" w:sz="4" w:space="0" w:color="auto"/>
      </w:pBdr>
      <w:shd w:val="clear" w:color="000000" w:fill="D8E4BC"/>
      <w:spacing w:before="100" w:beforeAutospacing="1" w:after="100" w:afterAutospacing="1" w:line="240" w:lineRule="auto"/>
      <w:jc w:val="center"/>
    </w:pPr>
    <w:rPr>
      <w:rFonts w:ascii="Times New Roman" w:hAnsi="Times New Roman"/>
      <w:sz w:val="24"/>
      <w:szCs w:val="24"/>
      <w:lang w:eastAsia="en-NZ"/>
    </w:rPr>
  </w:style>
  <w:style w:type="paragraph" w:customStyle="1" w:styleId="xl106">
    <w:name w:val="xl106"/>
    <w:basedOn w:val="Normal"/>
    <w:rsid w:val="00030337"/>
    <w:pPr>
      <w:shd w:val="clear" w:color="000000" w:fill="D8E4BC"/>
      <w:spacing w:before="100" w:beforeAutospacing="1" w:after="100" w:afterAutospacing="1" w:line="240" w:lineRule="auto"/>
    </w:pPr>
    <w:rPr>
      <w:rFonts w:ascii="Times New Roman" w:hAnsi="Times New Roman"/>
      <w:b/>
      <w:bCs/>
      <w:sz w:val="24"/>
      <w:szCs w:val="24"/>
      <w:lang w:eastAsia="en-NZ"/>
    </w:rPr>
  </w:style>
  <w:style w:type="paragraph" w:customStyle="1" w:styleId="font5">
    <w:name w:val="font5"/>
    <w:basedOn w:val="Normal"/>
    <w:rsid w:val="00030337"/>
    <w:pPr>
      <w:spacing w:before="100" w:beforeAutospacing="1" w:after="100" w:afterAutospacing="1" w:line="240" w:lineRule="auto"/>
    </w:pPr>
    <w:rPr>
      <w:rFonts w:ascii="Calibri" w:hAnsi="Calibri"/>
      <w:color w:val="000000"/>
      <w:lang w:eastAsia="en-NZ"/>
    </w:rPr>
  </w:style>
  <w:style w:type="paragraph" w:styleId="Revision">
    <w:name w:val="Revision"/>
    <w:hidden/>
    <w:uiPriority w:val="99"/>
    <w:semiHidden/>
    <w:rsid w:val="00030337"/>
    <w:pPr>
      <w:spacing w:after="0" w:line="240" w:lineRule="auto"/>
    </w:pPr>
  </w:style>
  <w:style w:type="table" w:customStyle="1" w:styleId="Governance">
    <w:name w:val="Governance"/>
    <w:basedOn w:val="TableNormal"/>
    <w:uiPriority w:val="99"/>
    <w:rsid w:val="00030337"/>
    <w:pPr>
      <w:spacing w:after="0" w:line="240" w:lineRule="auto"/>
    </w:pPr>
    <w:tblPr/>
  </w:style>
  <w:style w:type="character" w:customStyle="1" w:styleId="e24kjd">
    <w:name w:val="e24kjd"/>
    <w:basedOn w:val="DefaultParagraphFont"/>
    <w:rsid w:val="00030337"/>
    <w:rPr>
      <w:rFonts w:cs="Times New Roman"/>
    </w:rPr>
  </w:style>
  <w:style w:type="table" w:customStyle="1" w:styleId="TableGrid10">
    <w:name w:val="Table Grid1"/>
    <w:basedOn w:val="TableNormal"/>
    <w:next w:val="TableGrid"/>
    <w:rsid w:val="0025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984555"/>
    <w:rPr>
      <w:b/>
      <w:bCs/>
      <w:szCs w:val="20"/>
    </w:rPr>
  </w:style>
  <w:style w:type="character" w:customStyle="1" w:styleId="CommentSubjectChar">
    <w:name w:val="Comment Subject Char"/>
    <w:basedOn w:val="CommentTextChar"/>
    <w:link w:val="CommentSubject"/>
    <w:uiPriority w:val="99"/>
    <w:semiHidden/>
    <w:locked/>
    <w:rsid w:val="00984555"/>
    <w:rPr>
      <w:rFonts w:eastAsia="Times New Roman" w:cs="Times New Roman"/>
      <w:b/>
      <w:bCs/>
      <w:sz w:val="20"/>
      <w:szCs w:val="20"/>
      <w:lang w:val="en-NZ" w:eastAsia="en-US" w:bidi="ar-SA"/>
    </w:rPr>
  </w:style>
  <w:style w:type="paragraph" w:customStyle="1" w:styleId="TableParagraph">
    <w:name w:val="Table Paragraph"/>
    <w:basedOn w:val="Normal"/>
    <w:uiPriority w:val="1"/>
    <w:qFormat/>
    <w:rsid w:val="009609AB"/>
    <w:pPr>
      <w:widowControl w:val="0"/>
      <w:spacing w:after="0" w:line="240" w:lineRule="auto"/>
    </w:pPr>
    <w:rPr>
      <w:lang w:val="en-US"/>
    </w:rPr>
  </w:style>
  <w:style w:type="character" w:customStyle="1" w:styleId="ListParagraphChar">
    <w:name w:val="List Paragraph Char"/>
    <w:basedOn w:val="DefaultParagraphFont"/>
    <w:link w:val="ListParagraph"/>
    <w:uiPriority w:val="34"/>
    <w:locked/>
    <w:rsid w:val="005A5592"/>
    <w:rPr>
      <w:rFonts w:cs="Times New Roman"/>
    </w:rPr>
  </w:style>
  <w:style w:type="paragraph" w:customStyle="1" w:styleId="Numberedlistpara">
    <w:name w:val="Numbered list para"/>
    <w:basedOn w:val="ListParagraph"/>
    <w:link w:val="NumberedlistparaChar"/>
    <w:qFormat/>
    <w:rsid w:val="002A0DD0"/>
    <w:pPr>
      <w:numPr>
        <w:numId w:val="4"/>
      </w:numPr>
      <w:spacing w:before="200"/>
      <w:ind w:left="425" w:hanging="425"/>
    </w:pPr>
  </w:style>
  <w:style w:type="character" w:customStyle="1" w:styleId="NumberedlistparaChar">
    <w:name w:val="Numbered list para Char"/>
    <w:basedOn w:val="ListParagraphChar"/>
    <w:link w:val="Numberedlistpara"/>
    <w:locked/>
    <w:rsid w:val="002A0DD0"/>
    <w:rPr>
      <w:rFonts w:ascii="Arial" w:hAnsi="Arial" w:cs="Times New Roman"/>
    </w:rPr>
  </w:style>
  <w:style w:type="character" w:customStyle="1" w:styleId="BodyChar">
    <w:name w:val="Body Char"/>
    <w:basedOn w:val="DefaultParagraphFont"/>
    <w:link w:val="Body"/>
    <w:locked/>
    <w:rsid w:val="00B339C9"/>
    <w:rPr>
      <w:rFonts w:eastAsia="Times New Roman" w:cs="Times New Roman"/>
    </w:rPr>
  </w:style>
  <w:style w:type="paragraph" w:customStyle="1" w:styleId="paragraph">
    <w:name w:val="paragraph"/>
    <w:basedOn w:val="Normal"/>
    <w:rsid w:val="00234A4E"/>
    <w:pPr>
      <w:spacing w:after="0" w:line="240" w:lineRule="auto"/>
    </w:pPr>
    <w:rPr>
      <w:rFonts w:ascii="Times New Roman" w:hAnsi="Times New Roman"/>
      <w:sz w:val="24"/>
      <w:szCs w:val="24"/>
      <w:lang w:eastAsia="en-NZ"/>
    </w:rPr>
  </w:style>
  <w:style w:type="character" w:customStyle="1" w:styleId="normaltextrun1">
    <w:name w:val="normaltextrun1"/>
    <w:basedOn w:val="DefaultParagraphFont"/>
    <w:rsid w:val="00234A4E"/>
    <w:rPr>
      <w:rFonts w:cs="Times New Roman"/>
    </w:rPr>
  </w:style>
  <w:style w:type="character" w:customStyle="1" w:styleId="normaltextrun">
    <w:name w:val="normaltextrun"/>
    <w:basedOn w:val="DefaultParagraphFont"/>
    <w:rsid w:val="00255FF4"/>
    <w:rPr>
      <w:rFonts w:cs="Times New Roman"/>
    </w:rPr>
  </w:style>
  <w:style w:type="paragraph" w:customStyle="1" w:styleId="xmsonormal">
    <w:name w:val="x_msonormal"/>
    <w:basedOn w:val="Normal"/>
    <w:rsid w:val="00F17439"/>
    <w:pPr>
      <w:spacing w:after="0" w:line="240" w:lineRule="auto"/>
    </w:pPr>
    <w:rPr>
      <w:rFonts w:ascii="Calibri" w:hAnsi="Calibri" w:cs="Calibri"/>
      <w:lang w:eastAsia="en-NZ"/>
    </w:rPr>
  </w:style>
  <w:style w:type="paragraph" w:customStyle="1" w:styleId="xmsolistparagraph">
    <w:name w:val="x_msolistparagraph"/>
    <w:basedOn w:val="Normal"/>
    <w:uiPriority w:val="99"/>
    <w:rsid w:val="00F17439"/>
    <w:pPr>
      <w:ind w:left="720"/>
    </w:pPr>
    <w:rPr>
      <w:rFonts w:ascii="Calibri" w:hAnsi="Calibri" w:cs="Calibri"/>
      <w:lang w:eastAsia="en-NZ"/>
    </w:rPr>
  </w:style>
  <w:style w:type="paragraph" w:styleId="ListNumber">
    <w:name w:val="List Number"/>
    <w:basedOn w:val="Normal"/>
    <w:uiPriority w:val="6"/>
    <w:semiHidden/>
    <w:unhideWhenUsed/>
    <w:rsid w:val="00DC2205"/>
    <w:pPr>
      <w:spacing w:before="240" w:after="120" w:line="240" w:lineRule="auto"/>
      <w:ind w:left="360" w:hanging="360"/>
      <w:jc w:val="both"/>
    </w:pPr>
    <w:rPr>
      <w:rFonts w:ascii="Lucida Sans" w:hAnsi="Lucida Sans"/>
      <w:sz w:val="20"/>
      <w:szCs w:val="20"/>
    </w:rPr>
  </w:style>
  <w:style w:type="character" w:customStyle="1" w:styleId="genid527">
    <w:name w:val="genid5_27"/>
    <w:basedOn w:val="DefaultParagraphFont"/>
    <w:rsid w:val="00C33BC5"/>
    <w:rPr>
      <w:rFonts w:cs="Times New Roman"/>
    </w:rPr>
  </w:style>
  <w:style w:type="character" w:styleId="UnresolvedMention">
    <w:name w:val="Unresolved Mention"/>
    <w:basedOn w:val="DefaultParagraphFont"/>
    <w:uiPriority w:val="99"/>
    <w:unhideWhenUsed/>
    <w:rsid w:val="00A834E4"/>
    <w:rPr>
      <w:rFonts w:cs="Times New Roman"/>
      <w:color w:val="605E5C"/>
      <w:shd w:val="clear" w:color="auto" w:fill="E1DFDD"/>
    </w:rPr>
  </w:style>
  <w:style w:type="paragraph" w:customStyle="1" w:styleId="small">
    <w:name w:val="small"/>
    <w:basedOn w:val="Normal"/>
    <w:rsid w:val="00826B21"/>
    <w:pPr>
      <w:spacing w:before="100" w:beforeAutospacing="1" w:after="100" w:afterAutospacing="1" w:line="240" w:lineRule="auto"/>
    </w:pPr>
    <w:rPr>
      <w:rFonts w:ascii="Times New Roman" w:hAnsi="Times New Roman"/>
      <w:sz w:val="24"/>
      <w:szCs w:val="24"/>
      <w:lang w:eastAsia="en-NZ"/>
    </w:rPr>
  </w:style>
  <w:style w:type="character" w:customStyle="1" w:styleId="Hyperlink1">
    <w:name w:val="Hyperlink1"/>
    <w:basedOn w:val="DefaultParagraphFont"/>
    <w:uiPriority w:val="99"/>
    <w:unhideWhenUsed/>
    <w:rsid w:val="00463D7F"/>
    <w:rPr>
      <w:rFonts w:cs="Times New Roman"/>
      <w:color w:val="0000FF"/>
      <w:u w:val="single"/>
    </w:rPr>
  </w:style>
  <w:style w:type="character" w:styleId="Mention">
    <w:name w:val="Mention"/>
    <w:basedOn w:val="DefaultParagraphFont"/>
    <w:uiPriority w:val="99"/>
    <w:unhideWhenUsed/>
    <w:rsid w:val="00D74D68"/>
    <w:rPr>
      <w:rFonts w:cs="Times New Roman"/>
      <w:color w:val="2B579A"/>
      <w:shd w:val="clear" w:color="auto" w:fill="E1DFDD"/>
    </w:rPr>
  </w:style>
  <w:style w:type="paragraph" w:customStyle="1" w:styleId="Boxtext">
    <w:name w:val="Box text"/>
    <w:basedOn w:val="Normal"/>
    <w:link w:val="BoxtextChar"/>
    <w:rsid w:val="00703CEF"/>
    <w:pPr>
      <w:spacing w:after="0" w:line="240" w:lineRule="auto"/>
    </w:pPr>
    <w:rPr>
      <w:rFonts w:cs="Arial"/>
      <w:sz w:val="18"/>
      <w:szCs w:val="18"/>
    </w:rPr>
  </w:style>
  <w:style w:type="character" w:customStyle="1" w:styleId="BoxtextChar">
    <w:name w:val="Box text Char"/>
    <w:basedOn w:val="DefaultParagraphFont"/>
    <w:link w:val="Boxtext"/>
    <w:locked/>
    <w:rsid w:val="00703CEF"/>
    <w:rPr>
      <w:rFonts w:eastAsia="Times New Roman" w:cs="Arial"/>
      <w:sz w:val="18"/>
      <w:szCs w:val="18"/>
    </w:rPr>
  </w:style>
  <w:style w:type="paragraph" w:customStyle="1" w:styleId="Bulletedlist">
    <w:name w:val="Bulleted list"/>
    <w:basedOn w:val="ListParagraph"/>
    <w:next w:val="Normal"/>
    <w:link w:val="BulletedlistChar"/>
    <w:rsid w:val="003230D8"/>
    <w:pPr>
      <w:numPr>
        <w:numId w:val="6"/>
      </w:numPr>
      <w:spacing w:after="0" w:line="240" w:lineRule="auto"/>
    </w:pPr>
    <w:rPr>
      <w:rFonts w:cs="Arial"/>
    </w:rPr>
  </w:style>
  <w:style w:type="paragraph" w:customStyle="1" w:styleId="Append2numlist">
    <w:name w:val="Append 2 num list"/>
    <w:basedOn w:val="Normal"/>
    <w:rsid w:val="003230D8"/>
    <w:pPr>
      <w:numPr>
        <w:numId w:val="5"/>
      </w:numPr>
      <w:spacing w:after="120" w:line="240" w:lineRule="auto"/>
    </w:pPr>
    <w:rPr>
      <w:rFonts w:ascii="Calibri" w:hAnsi="Calibri"/>
      <w:lang w:val="en-AU"/>
    </w:rPr>
  </w:style>
  <w:style w:type="character" w:customStyle="1" w:styleId="BulletedlistChar">
    <w:name w:val="Bulleted list Char"/>
    <w:basedOn w:val="ListParagraphChar"/>
    <w:link w:val="Bulletedlist"/>
    <w:locked/>
    <w:rsid w:val="003230D8"/>
    <w:rPr>
      <w:rFonts w:ascii="Arial" w:hAnsi="Arial" w:cs="Arial"/>
    </w:rPr>
  </w:style>
  <w:style w:type="paragraph" w:customStyle="1" w:styleId="Tabletext">
    <w:name w:val="Table text"/>
    <w:basedOn w:val="Normal"/>
    <w:link w:val="TabletextChar"/>
    <w:qFormat/>
    <w:rsid w:val="003230D8"/>
    <w:pPr>
      <w:spacing w:after="0" w:line="192" w:lineRule="auto"/>
    </w:pPr>
    <w:rPr>
      <w:rFonts w:cs="Arial"/>
      <w:sz w:val="20"/>
      <w:szCs w:val="20"/>
    </w:rPr>
  </w:style>
  <w:style w:type="character" w:customStyle="1" w:styleId="TabletextChar">
    <w:name w:val="Table text Char"/>
    <w:basedOn w:val="DefaultParagraphFont"/>
    <w:link w:val="Tabletext"/>
    <w:locked/>
    <w:rsid w:val="003230D8"/>
    <w:rPr>
      <w:rFonts w:eastAsia="Times New Roman" w:cs="Arial"/>
      <w:sz w:val="20"/>
      <w:szCs w:val="20"/>
    </w:rPr>
  </w:style>
  <w:style w:type="paragraph" w:customStyle="1" w:styleId="TableBullet">
    <w:name w:val="Table Bullet"/>
    <w:basedOn w:val="Normal"/>
    <w:rsid w:val="003230D8"/>
    <w:pPr>
      <w:numPr>
        <w:numId w:val="7"/>
      </w:numPr>
      <w:spacing w:after="0" w:line="216" w:lineRule="auto"/>
    </w:pPr>
    <w:rPr>
      <w:sz w:val="21"/>
      <w:szCs w:val="21"/>
    </w:rPr>
  </w:style>
  <w:style w:type="paragraph" w:customStyle="1" w:styleId="opentablebullett">
    <w:name w:val="open table bullett"/>
    <w:basedOn w:val="Tabletext"/>
    <w:link w:val="opentablebullettChar"/>
    <w:rsid w:val="003230D8"/>
    <w:pPr>
      <w:numPr>
        <w:numId w:val="8"/>
      </w:numPr>
    </w:pPr>
    <w:rPr>
      <w:noProof/>
      <w:lang w:val="en-US"/>
    </w:rPr>
  </w:style>
  <w:style w:type="character" w:customStyle="1" w:styleId="opentablebullettChar">
    <w:name w:val="open table bullett Char"/>
    <w:basedOn w:val="TabletextChar"/>
    <w:link w:val="opentablebullett"/>
    <w:locked/>
    <w:rsid w:val="003230D8"/>
    <w:rPr>
      <w:rFonts w:ascii="Arial" w:eastAsia="Times New Roman" w:hAnsi="Arial" w:cs="Arial"/>
      <w:noProof/>
      <w:sz w:val="20"/>
      <w:szCs w:val="20"/>
      <w:lang w:val="en-US"/>
    </w:rPr>
  </w:style>
  <w:style w:type="paragraph" w:customStyle="1" w:styleId="msonormal0">
    <w:name w:val="msonormal"/>
    <w:basedOn w:val="Normal"/>
    <w:rsid w:val="00D0773A"/>
    <w:pPr>
      <w:spacing w:before="100" w:beforeAutospacing="1" w:after="100" w:afterAutospacing="1" w:line="240" w:lineRule="auto"/>
    </w:pPr>
    <w:rPr>
      <w:rFonts w:ascii="Times New Roman" w:hAnsi="Times New Roman"/>
      <w:sz w:val="24"/>
      <w:szCs w:val="24"/>
      <w:lang w:eastAsia="en-NZ"/>
    </w:rPr>
  </w:style>
  <w:style w:type="paragraph" w:customStyle="1" w:styleId="font6">
    <w:name w:val="font6"/>
    <w:basedOn w:val="Normal"/>
    <w:rsid w:val="00D0773A"/>
    <w:pPr>
      <w:spacing w:before="100" w:beforeAutospacing="1" w:after="100" w:afterAutospacing="1" w:line="240" w:lineRule="auto"/>
    </w:pPr>
    <w:rPr>
      <w:rFonts w:ascii="Tahoma" w:hAnsi="Tahoma" w:cs="Tahoma"/>
      <w:color w:val="000000"/>
      <w:sz w:val="18"/>
      <w:szCs w:val="18"/>
      <w:lang w:eastAsia="en-NZ"/>
    </w:rPr>
  </w:style>
  <w:style w:type="paragraph" w:customStyle="1" w:styleId="font7">
    <w:name w:val="font7"/>
    <w:basedOn w:val="Normal"/>
    <w:rsid w:val="00D0773A"/>
    <w:pPr>
      <w:spacing w:before="100" w:beforeAutospacing="1" w:after="100" w:afterAutospacing="1" w:line="240" w:lineRule="auto"/>
    </w:pPr>
    <w:rPr>
      <w:rFonts w:ascii="Tahoma" w:hAnsi="Tahoma" w:cs="Tahoma"/>
      <w:b/>
      <w:bCs/>
      <w:color w:val="000000"/>
      <w:sz w:val="18"/>
      <w:szCs w:val="18"/>
      <w:lang w:eastAsia="en-NZ"/>
    </w:rPr>
  </w:style>
  <w:style w:type="paragraph" w:customStyle="1" w:styleId="font8">
    <w:name w:val="font8"/>
    <w:basedOn w:val="Normal"/>
    <w:rsid w:val="00D0773A"/>
    <w:pPr>
      <w:spacing w:before="100" w:beforeAutospacing="1" w:after="100" w:afterAutospacing="1" w:line="240" w:lineRule="auto"/>
    </w:pPr>
    <w:rPr>
      <w:rFonts w:ascii="Tahoma" w:hAnsi="Tahoma" w:cs="Tahoma"/>
      <w:b/>
      <w:bCs/>
      <w:color w:val="000000"/>
      <w:sz w:val="20"/>
      <w:szCs w:val="20"/>
      <w:lang w:eastAsia="en-NZ"/>
    </w:rPr>
  </w:style>
  <w:style w:type="paragraph" w:customStyle="1" w:styleId="font9">
    <w:name w:val="font9"/>
    <w:basedOn w:val="Normal"/>
    <w:rsid w:val="00D0773A"/>
    <w:pPr>
      <w:spacing w:before="100" w:beforeAutospacing="1" w:after="100" w:afterAutospacing="1" w:line="240" w:lineRule="auto"/>
    </w:pPr>
    <w:rPr>
      <w:rFonts w:ascii="Tahoma" w:hAnsi="Tahoma" w:cs="Tahoma"/>
      <w:color w:val="000000"/>
      <w:sz w:val="20"/>
      <w:szCs w:val="20"/>
      <w:lang w:eastAsia="en-NZ"/>
    </w:rPr>
  </w:style>
  <w:style w:type="paragraph" w:customStyle="1" w:styleId="font10">
    <w:name w:val="font10"/>
    <w:basedOn w:val="Normal"/>
    <w:rsid w:val="00D0773A"/>
    <w:pPr>
      <w:spacing w:before="100" w:beforeAutospacing="1" w:after="100" w:afterAutospacing="1" w:line="240" w:lineRule="auto"/>
    </w:pPr>
    <w:rPr>
      <w:rFonts w:ascii="Calibri" w:hAnsi="Calibri" w:cs="Calibri"/>
      <w:sz w:val="20"/>
      <w:szCs w:val="20"/>
      <w:lang w:eastAsia="en-NZ"/>
    </w:rPr>
  </w:style>
  <w:style w:type="paragraph" w:customStyle="1" w:styleId="font11">
    <w:name w:val="font11"/>
    <w:basedOn w:val="Normal"/>
    <w:rsid w:val="00D0773A"/>
    <w:pPr>
      <w:spacing w:before="100" w:beforeAutospacing="1" w:after="100" w:afterAutospacing="1" w:line="240" w:lineRule="auto"/>
    </w:pPr>
    <w:rPr>
      <w:rFonts w:ascii="Calibri" w:hAnsi="Calibri" w:cs="Calibri"/>
      <w:i/>
      <w:iCs/>
      <w:sz w:val="18"/>
      <w:szCs w:val="18"/>
      <w:lang w:eastAsia="en-NZ"/>
    </w:rPr>
  </w:style>
  <w:style w:type="paragraph" w:customStyle="1" w:styleId="font12">
    <w:name w:val="font12"/>
    <w:basedOn w:val="Normal"/>
    <w:rsid w:val="00D0773A"/>
    <w:pPr>
      <w:spacing w:before="100" w:beforeAutospacing="1" w:after="100" w:afterAutospacing="1" w:line="240" w:lineRule="auto"/>
    </w:pPr>
    <w:rPr>
      <w:rFonts w:ascii="Calibri" w:hAnsi="Calibri" w:cs="Calibri"/>
      <w:sz w:val="18"/>
      <w:szCs w:val="18"/>
      <w:lang w:eastAsia="en-NZ"/>
    </w:rPr>
  </w:style>
  <w:style w:type="paragraph" w:customStyle="1" w:styleId="xl144">
    <w:name w:val="xl144"/>
    <w:basedOn w:val="Normal"/>
    <w:rsid w:val="00D0773A"/>
    <w:pPr>
      <w:pBdr>
        <w:top w:val="single" w:sz="4" w:space="0" w:color="808080"/>
        <w:left w:val="single" w:sz="4" w:space="0" w:color="808080"/>
        <w:bottom w:val="single" w:sz="4" w:space="0" w:color="808080"/>
        <w:right w:val="single" w:sz="4" w:space="0" w:color="808080"/>
      </w:pBdr>
      <w:shd w:val="clear" w:color="000000" w:fill="000000"/>
      <w:spacing w:before="100" w:beforeAutospacing="1" w:after="100" w:afterAutospacing="1" w:line="240" w:lineRule="auto"/>
      <w:textAlignment w:val="top"/>
    </w:pPr>
    <w:rPr>
      <w:rFonts w:ascii="Calibri" w:hAnsi="Calibri" w:cs="Calibri"/>
      <w:b/>
      <w:bCs/>
      <w:color w:val="FFFFFF"/>
      <w:sz w:val="24"/>
      <w:szCs w:val="24"/>
      <w:lang w:eastAsia="en-NZ"/>
    </w:rPr>
  </w:style>
  <w:style w:type="paragraph" w:customStyle="1" w:styleId="xl145">
    <w:name w:val="xl145"/>
    <w:basedOn w:val="Normal"/>
    <w:rsid w:val="00D0773A"/>
    <w:pPr>
      <w:pBdr>
        <w:left w:val="single" w:sz="4" w:space="0" w:color="808080"/>
        <w:bottom w:val="single" w:sz="4" w:space="0" w:color="808080"/>
        <w:right w:val="single" w:sz="4" w:space="0" w:color="808080"/>
      </w:pBdr>
      <w:shd w:val="clear" w:color="000000" w:fill="D9D9D9"/>
      <w:spacing w:before="100" w:beforeAutospacing="1" w:after="100" w:afterAutospacing="1" w:line="240" w:lineRule="auto"/>
      <w:textAlignment w:val="top"/>
    </w:pPr>
    <w:rPr>
      <w:rFonts w:ascii="Calibri" w:hAnsi="Calibri" w:cs="Calibri"/>
      <w:b/>
      <w:bCs/>
      <w:sz w:val="24"/>
      <w:szCs w:val="24"/>
      <w:lang w:eastAsia="en-NZ"/>
    </w:rPr>
  </w:style>
  <w:style w:type="paragraph" w:customStyle="1" w:styleId="xl146">
    <w:name w:val="xl146"/>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147">
    <w:name w:val="xl147"/>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148">
    <w:name w:val="xl148"/>
    <w:basedOn w:val="Normal"/>
    <w:rsid w:val="00D0773A"/>
    <w:pPr>
      <w:pBdr>
        <w:top w:val="single" w:sz="8" w:space="0" w:color="00B050"/>
      </w:pBdr>
      <w:spacing w:before="100" w:beforeAutospacing="1" w:after="100" w:afterAutospacing="1" w:line="240" w:lineRule="auto"/>
      <w:textAlignment w:val="top"/>
    </w:pPr>
    <w:rPr>
      <w:rFonts w:ascii="Calibri" w:hAnsi="Calibri" w:cs="Calibri"/>
      <w:color w:val="000000"/>
      <w:sz w:val="24"/>
      <w:szCs w:val="24"/>
      <w:lang w:eastAsia="en-NZ"/>
    </w:rPr>
  </w:style>
  <w:style w:type="paragraph" w:customStyle="1" w:styleId="xl149">
    <w:name w:val="xl149"/>
    <w:basedOn w:val="Normal"/>
    <w:rsid w:val="00D0773A"/>
    <w:pPr>
      <w:spacing w:before="100" w:beforeAutospacing="1" w:after="100" w:afterAutospacing="1" w:line="240" w:lineRule="auto"/>
      <w:textAlignment w:val="top"/>
    </w:pPr>
    <w:rPr>
      <w:rFonts w:ascii="Calibri" w:hAnsi="Calibri" w:cs="Calibri"/>
      <w:color w:val="000000"/>
      <w:sz w:val="24"/>
      <w:szCs w:val="24"/>
      <w:lang w:eastAsia="en-NZ"/>
    </w:rPr>
  </w:style>
  <w:style w:type="paragraph" w:customStyle="1" w:styleId="xl150">
    <w:name w:val="xl150"/>
    <w:basedOn w:val="Normal"/>
    <w:rsid w:val="00D0773A"/>
    <w:pP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151">
    <w:name w:val="xl151"/>
    <w:basedOn w:val="Normal"/>
    <w:rsid w:val="00D0773A"/>
    <w:pPr>
      <w:spacing w:before="100" w:beforeAutospacing="1" w:after="100" w:afterAutospacing="1" w:line="240" w:lineRule="auto"/>
      <w:jc w:val="right"/>
      <w:textAlignment w:val="top"/>
    </w:pPr>
    <w:rPr>
      <w:rFonts w:ascii="Calibri" w:hAnsi="Calibri" w:cs="Calibri"/>
      <w:sz w:val="24"/>
      <w:szCs w:val="24"/>
      <w:lang w:eastAsia="en-NZ"/>
    </w:rPr>
  </w:style>
  <w:style w:type="paragraph" w:customStyle="1" w:styleId="xl152">
    <w:name w:val="xl152"/>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153">
    <w:name w:val="xl153"/>
    <w:basedOn w:val="Normal"/>
    <w:rsid w:val="00D0773A"/>
    <w:pPr>
      <w:spacing w:before="100" w:beforeAutospacing="1" w:after="100" w:afterAutospacing="1" w:line="240" w:lineRule="auto"/>
      <w:textAlignment w:val="top"/>
    </w:pPr>
    <w:rPr>
      <w:rFonts w:ascii="Calibri" w:hAnsi="Calibri" w:cs="Calibri"/>
      <w:b/>
      <w:bCs/>
      <w:sz w:val="18"/>
      <w:szCs w:val="18"/>
      <w:lang w:eastAsia="en-NZ"/>
    </w:rPr>
  </w:style>
  <w:style w:type="paragraph" w:customStyle="1" w:styleId="xl154">
    <w:name w:val="xl154"/>
    <w:basedOn w:val="Normal"/>
    <w:rsid w:val="00D0773A"/>
    <w:pPr>
      <w:pBdr>
        <w:top w:val="single" w:sz="8" w:space="0" w:color="538DD5"/>
        <w:right w:val="single" w:sz="8" w:space="0" w:color="538DD5"/>
      </w:pBdr>
      <w:spacing w:before="100" w:beforeAutospacing="1" w:after="100" w:afterAutospacing="1" w:line="240" w:lineRule="auto"/>
      <w:textAlignment w:val="top"/>
    </w:pPr>
    <w:rPr>
      <w:rFonts w:ascii="Calibri" w:hAnsi="Calibri" w:cs="Calibri"/>
      <w:b/>
      <w:bCs/>
      <w:color w:val="000000"/>
      <w:sz w:val="24"/>
      <w:szCs w:val="24"/>
      <w:lang w:eastAsia="en-NZ"/>
    </w:rPr>
  </w:style>
  <w:style w:type="paragraph" w:customStyle="1" w:styleId="xl155">
    <w:name w:val="xl155"/>
    <w:basedOn w:val="Normal"/>
    <w:rsid w:val="00D0773A"/>
    <w:pPr>
      <w:pBdr>
        <w:bottom w:val="single" w:sz="8" w:space="0" w:color="538DD5"/>
        <w:right w:val="single" w:sz="8" w:space="0" w:color="538DD5"/>
      </w:pBdr>
      <w:spacing w:before="100" w:beforeAutospacing="1" w:after="100" w:afterAutospacing="1" w:line="240" w:lineRule="auto"/>
      <w:textAlignment w:val="top"/>
    </w:pPr>
    <w:rPr>
      <w:rFonts w:ascii="Calibri" w:hAnsi="Calibri" w:cs="Calibri"/>
      <w:b/>
      <w:bCs/>
      <w:color w:val="000000"/>
      <w:sz w:val="24"/>
      <w:szCs w:val="24"/>
      <w:lang w:eastAsia="en-NZ"/>
    </w:rPr>
  </w:style>
  <w:style w:type="paragraph" w:customStyle="1" w:styleId="xl156">
    <w:name w:val="xl156"/>
    <w:basedOn w:val="Normal"/>
    <w:rsid w:val="00D0773A"/>
    <w:pPr>
      <w:pBdr>
        <w:bottom w:val="single" w:sz="8" w:space="0" w:color="538DD5"/>
      </w:pBdr>
      <w:spacing w:before="100" w:beforeAutospacing="1" w:after="100" w:afterAutospacing="1" w:line="240" w:lineRule="auto"/>
      <w:textAlignment w:val="top"/>
    </w:pPr>
    <w:rPr>
      <w:rFonts w:ascii="Calibri" w:hAnsi="Calibri" w:cs="Calibri"/>
      <w:b/>
      <w:bCs/>
      <w:color w:val="000000"/>
      <w:sz w:val="24"/>
      <w:szCs w:val="24"/>
      <w:lang w:eastAsia="en-NZ"/>
    </w:rPr>
  </w:style>
  <w:style w:type="paragraph" w:customStyle="1" w:styleId="xl157">
    <w:name w:val="xl157"/>
    <w:basedOn w:val="Normal"/>
    <w:rsid w:val="00D0773A"/>
    <w:pPr>
      <w:pBdr>
        <w:bottom w:val="single" w:sz="8" w:space="0" w:color="538DD5"/>
      </w:pBdr>
      <w:shd w:val="clear" w:color="000000" w:fill="0070C0"/>
      <w:spacing w:before="100" w:beforeAutospacing="1" w:after="100" w:afterAutospacing="1" w:line="240" w:lineRule="auto"/>
      <w:textAlignment w:val="top"/>
    </w:pPr>
    <w:rPr>
      <w:rFonts w:ascii="Calibri" w:hAnsi="Calibri" w:cs="Calibri"/>
      <w:b/>
      <w:bCs/>
      <w:color w:val="FFFFFF"/>
      <w:lang w:eastAsia="en-NZ"/>
    </w:rPr>
  </w:style>
  <w:style w:type="paragraph" w:customStyle="1" w:styleId="xl158">
    <w:name w:val="xl158"/>
    <w:basedOn w:val="Normal"/>
    <w:rsid w:val="00D0773A"/>
    <w:pPr>
      <w:pBdr>
        <w:top w:val="single" w:sz="8" w:space="0" w:color="538DD5"/>
        <w:bottom w:val="single" w:sz="8" w:space="0" w:color="538DD5"/>
      </w:pBdr>
      <w:spacing w:before="100" w:beforeAutospacing="1" w:after="100" w:afterAutospacing="1" w:line="240" w:lineRule="auto"/>
      <w:textAlignment w:val="top"/>
    </w:pPr>
    <w:rPr>
      <w:rFonts w:ascii="Calibri" w:hAnsi="Calibri" w:cs="Calibri"/>
      <w:color w:val="0070C0"/>
      <w:lang w:eastAsia="en-NZ"/>
    </w:rPr>
  </w:style>
  <w:style w:type="paragraph" w:customStyle="1" w:styleId="xl159">
    <w:name w:val="xl159"/>
    <w:basedOn w:val="Normal"/>
    <w:rsid w:val="00D0773A"/>
    <w:pPr>
      <w:pBdr>
        <w:bottom w:val="single" w:sz="8" w:space="0" w:color="538DD5"/>
        <w:right w:val="single" w:sz="8" w:space="0" w:color="538DD5"/>
      </w:pBdr>
      <w:spacing w:before="100" w:beforeAutospacing="1" w:after="100" w:afterAutospacing="1" w:line="240" w:lineRule="auto"/>
      <w:textAlignment w:val="top"/>
    </w:pPr>
    <w:rPr>
      <w:rFonts w:ascii="Calibri" w:hAnsi="Calibri" w:cs="Calibri"/>
      <w:color w:val="000000"/>
      <w:sz w:val="24"/>
      <w:szCs w:val="24"/>
      <w:lang w:eastAsia="en-NZ"/>
    </w:rPr>
  </w:style>
  <w:style w:type="paragraph" w:customStyle="1" w:styleId="xl160">
    <w:name w:val="xl160"/>
    <w:basedOn w:val="Normal"/>
    <w:rsid w:val="00D0773A"/>
    <w:pPr>
      <w:pBdr>
        <w:bottom w:val="single" w:sz="8" w:space="0" w:color="538DD5"/>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161">
    <w:name w:val="xl161"/>
    <w:basedOn w:val="Normal"/>
    <w:rsid w:val="00D0773A"/>
    <w:pPr>
      <w:pBdr>
        <w:top w:val="single" w:sz="8" w:space="0" w:color="538DD5"/>
        <w:bottom w:val="single" w:sz="8" w:space="0" w:color="538DD5"/>
      </w:pBdr>
      <w:spacing w:before="100" w:beforeAutospacing="1" w:after="100" w:afterAutospacing="1" w:line="240" w:lineRule="auto"/>
      <w:textAlignment w:val="top"/>
    </w:pPr>
    <w:rPr>
      <w:rFonts w:ascii="Calibri" w:hAnsi="Calibri" w:cs="Calibri"/>
      <w:color w:val="0070C0"/>
      <w:lang w:eastAsia="en-NZ"/>
    </w:rPr>
  </w:style>
  <w:style w:type="paragraph" w:customStyle="1" w:styleId="xl162">
    <w:name w:val="xl162"/>
    <w:basedOn w:val="Normal"/>
    <w:rsid w:val="00D0773A"/>
    <w:pPr>
      <w:pBdr>
        <w:bottom w:val="single" w:sz="8" w:space="0" w:color="538DD5"/>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163">
    <w:name w:val="xl163"/>
    <w:basedOn w:val="Normal"/>
    <w:rsid w:val="00D0773A"/>
    <w:pPr>
      <w:pBdr>
        <w:top w:val="single" w:sz="8" w:space="0" w:color="538DD5"/>
        <w:bottom w:val="single" w:sz="8" w:space="0" w:color="538DD5"/>
      </w:pBdr>
      <w:shd w:val="clear" w:color="000000" w:fill="0070C0"/>
      <w:spacing w:before="100" w:beforeAutospacing="1" w:after="100" w:afterAutospacing="1" w:line="240" w:lineRule="auto"/>
      <w:textAlignment w:val="top"/>
    </w:pPr>
    <w:rPr>
      <w:rFonts w:ascii="Calibri" w:hAnsi="Calibri" w:cs="Calibri"/>
      <w:b/>
      <w:bCs/>
      <w:color w:val="FFFFFF"/>
      <w:lang w:eastAsia="en-NZ"/>
    </w:rPr>
  </w:style>
  <w:style w:type="paragraph" w:customStyle="1" w:styleId="xl164">
    <w:name w:val="xl164"/>
    <w:basedOn w:val="Normal"/>
    <w:rsid w:val="00D0773A"/>
    <w:pPr>
      <w:spacing w:before="100" w:beforeAutospacing="1" w:after="100" w:afterAutospacing="1" w:line="240" w:lineRule="auto"/>
      <w:textAlignment w:val="top"/>
    </w:pPr>
    <w:rPr>
      <w:rFonts w:ascii="Calibri" w:hAnsi="Calibri" w:cs="Calibri"/>
      <w:color w:val="000000"/>
      <w:sz w:val="24"/>
      <w:szCs w:val="24"/>
      <w:lang w:eastAsia="en-NZ"/>
    </w:rPr>
  </w:style>
  <w:style w:type="paragraph" w:customStyle="1" w:styleId="xl165">
    <w:name w:val="xl165"/>
    <w:basedOn w:val="Normal"/>
    <w:rsid w:val="00D0773A"/>
    <w:pPr>
      <w:pBdr>
        <w:top w:val="single" w:sz="8" w:space="0" w:color="00B050"/>
        <w:right w:val="single" w:sz="8" w:space="0" w:color="00B050"/>
      </w:pBdr>
      <w:spacing w:before="100" w:beforeAutospacing="1" w:after="100" w:afterAutospacing="1" w:line="240" w:lineRule="auto"/>
      <w:textAlignment w:val="top"/>
    </w:pPr>
    <w:rPr>
      <w:rFonts w:ascii="Calibri" w:hAnsi="Calibri" w:cs="Calibri"/>
      <w:b/>
      <w:bCs/>
      <w:color w:val="000000"/>
      <w:sz w:val="24"/>
      <w:szCs w:val="24"/>
      <w:lang w:eastAsia="en-NZ"/>
    </w:rPr>
  </w:style>
  <w:style w:type="paragraph" w:customStyle="1" w:styleId="xl166">
    <w:name w:val="xl166"/>
    <w:basedOn w:val="Normal"/>
    <w:rsid w:val="00D0773A"/>
    <w:pPr>
      <w:pBdr>
        <w:bottom w:val="single" w:sz="8" w:space="0" w:color="00B050"/>
        <w:right w:val="single" w:sz="8" w:space="0" w:color="00B050"/>
      </w:pBdr>
      <w:spacing w:before="100" w:beforeAutospacing="1" w:after="100" w:afterAutospacing="1" w:line="240" w:lineRule="auto"/>
      <w:textAlignment w:val="top"/>
    </w:pPr>
    <w:rPr>
      <w:rFonts w:ascii="Calibri" w:hAnsi="Calibri" w:cs="Calibri"/>
      <w:b/>
      <w:bCs/>
      <w:color w:val="000000"/>
      <w:sz w:val="24"/>
      <w:szCs w:val="24"/>
      <w:lang w:eastAsia="en-NZ"/>
    </w:rPr>
  </w:style>
  <w:style w:type="paragraph" w:customStyle="1" w:styleId="xl167">
    <w:name w:val="xl167"/>
    <w:basedOn w:val="Normal"/>
    <w:rsid w:val="00D0773A"/>
    <w:pPr>
      <w:pBdr>
        <w:bottom w:val="single" w:sz="8" w:space="0" w:color="00B050"/>
      </w:pBdr>
      <w:spacing w:before="100" w:beforeAutospacing="1" w:after="100" w:afterAutospacing="1" w:line="240" w:lineRule="auto"/>
      <w:textAlignment w:val="top"/>
    </w:pPr>
    <w:rPr>
      <w:rFonts w:ascii="Calibri" w:hAnsi="Calibri" w:cs="Calibri"/>
      <w:b/>
      <w:bCs/>
      <w:color w:val="000000"/>
      <w:sz w:val="24"/>
      <w:szCs w:val="24"/>
      <w:lang w:eastAsia="en-NZ"/>
    </w:rPr>
  </w:style>
  <w:style w:type="paragraph" w:customStyle="1" w:styleId="xl168">
    <w:name w:val="xl168"/>
    <w:basedOn w:val="Normal"/>
    <w:rsid w:val="00D0773A"/>
    <w:pPr>
      <w:pBdr>
        <w:top w:val="single" w:sz="8" w:space="0" w:color="00B050"/>
        <w:bottom w:val="single" w:sz="8" w:space="0" w:color="00B050"/>
      </w:pBdr>
      <w:shd w:val="clear" w:color="000000" w:fill="00B050"/>
      <w:spacing w:before="100" w:beforeAutospacing="1" w:after="100" w:afterAutospacing="1" w:line="240" w:lineRule="auto"/>
      <w:textAlignment w:val="top"/>
    </w:pPr>
    <w:rPr>
      <w:rFonts w:ascii="Calibri" w:hAnsi="Calibri" w:cs="Calibri"/>
      <w:b/>
      <w:bCs/>
      <w:color w:val="FFFFFF"/>
      <w:sz w:val="24"/>
      <w:szCs w:val="24"/>
      <w:lang w:eastAsia="en-NZ"/>
    </w:rPr>
  </w:style>
  <w:style w:type="paragraph" w:customStyle="1" w:styleId="xl169">
    <w:name w:val="xl169"/>
    <w:basedOn w:val="Normal"/>
    <w:rsid w:val="00D0773A"/>
    <w:pPr>
      <w:pBdr>
        <w:top w:val="single" w:sz="8" w:space="0" w:color="00B050"/>
        <w:bottom w:val="single" w:sz="8" w:space="0" w:color="00B050"/>
      </w:pBdr>
      <w:shd w:val="clear" w:color="000000" w:fill="00B050"/>
      <w:spacing w:before="100" w:beforeAutospacing="1" w:after="100" w:afterAutospacing="1" w:line="240" w:lineRule="auto"/>
      <w:textAlignment w:val="top"/>
    </w:pPr>
    <w:rPr>
      <w:rFonts w:ascii="Calibri" w:hAnsi="Calibri" w:cs="Calibri"/>
      <w:b/>
      <w:bCs/>
      <w:color w:val="FFFFFF"/>
      <w:sz w:val="24"/>
      <w:szCs w:val="24"/>
      <w:lang w:eastAsia="en-NZ"/>
    </w:rPr>
  </w:style>
  <w:style w:type="paragraph" w:customStyle="1" w:styleId="xl170">
    <w:name w:val="xl170"/>
    <w:basedOn w:val="Normal"/>
    <w:rsid w:val="00D0773A"/>
    <w:pPr>
      <w:pBdr>
        <w:top w:val="single" w:sz="8" w:space="0" w:color="00B050"/>
        <w:bottom w:val="single" w:sz="8" w:space="0" w:color="00B050"/>
      </w:pBdr>
      <w:spacing w:before="100" w:beforeAutospacing="1" w:after="100" w:afterAutospacing="1" w:line="240" w:lineRule="auto"/>
      <w:textAlignment w:val="top"/>
    </w:pPr>
    <w:rPr>
      <w:rFonts w:ascii="Calibri" w:hAnsi="Calibri" w:cs="Calibri"/>
      <w:color w:val="00B050"/>
      <w:lang w:eastAsia="en-NZ"/>
    </w:rPr>
  </w:style>
  <w:style w:type="paragraph" w:customStyle="1" w:styleId="xl171">
    <w:name w:val="xl171"/>
    <w:basedOn w:val="Normal"/>
    <w:rsid w:val="00D0773A"/>
    <w:pPr>
      <w:pBdr>
        <w:bottom w:val="single" w:sz="8" w:space="0" w:color="00B050"/>
        <w:right w:val="single" w:sz="8" w:space="0" w:color="00B050"/>
      </w:pBdr>
      <w:spacing w:before="100" w:beforeAutospacing="1" w:after="100" w:afterAutospacing="1" w:line="240" w:lineRule="auto"/>
      <w:textAlignment w:val="top"/>
    </w:pPr>
    <w:rPr>
      <w:rFonts w:ascii="Calibri" w:hAnsi="Calibri" w:cs="Calibri"/>
      <w:color w:val="000000"/>
      <w:sz w:val="24"/>
      <w:szCs w:val="24"/>
      <w:lang w:eastAsia="en-NZ"/>
    </w:rPr>
  </w:style>
  <w:style w:type="paragraph" w:customStyle="1" w:styleId="xl172">
    <w:name w:val="xl172"/>
    <w:basedOn w:val="Normal"/>
    <w:rsid w:val="00D0773A"/>
    <w:pPr>
      <w:pBdr>
        <w:bottom w:val="single" w:sz="8" w:space="0" w:color="00B05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173">
    <w:name w:val="xl173"/>
    <w:basedOn w:val="Normal"/>
    <w:rsid w:val="00D0773A"/>
    <w:pPr>
      <w:pBdr>
        <w:bottom w:val="single" w:sz="8" w:space="0" w:color="00B05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174">
    <w:name w:val="xl174"/>
    <w:basedOn w:val="Normal"/>
    <w:rsid w:val="00D0773A"/>
    <w:pPr>
      <w:pBdr>
        <w:bottom w:val="single" w:sz="8" w:space="0" w:color="00B05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175">
    <w:name w:val="xl175"/>
    <w:basedOn w:val="Normal"/>
    <w:rsid w:val="00D0773A"/>
    <w:pPr>
      <w:pBdr>
        <w:top w:val="single" w:sz="8" w:space="0" w:color="00B050"/>
      </w:pBdr>
      <w:shd w:val="clear" w:color="000000" w:fill="00B050"/>
      <w:spacing w:before="100" w:beforeAutospacing="1" w:after="100" w:afterAutospacing="1" w:line="240" w:lineRule="auto"/>
      <w:textAlignment w:val="top"/>
    </w:pPr>
    <w:rPr>
      <w:rFonts w:ascii="Calibri" w:hAnsi="Calibri" w:cs="Calibri"/>
      <w:b/>
      <w:bCs/>
      <w:color w:val="FFFFFF"/>
      <w:sz w:val="24"/>
      <w:szCs w:val="24"/>
      <w:lang w:eastAsia="en-NZ"/>
    </w:rPr>
  </w:style>
  <w:style w:type="paragraph" w:customStyle="1" w:styleId="xl176">
    <w:name w:val="xl176"/>
    <w:basedOn w:val="Normal"/>
    <w:rsid w:val="00D0773A"/>
    <w:pPr>
      <w:pBdr>
        <w:bottom w:val="single" w:sz="8" w:space="0" w:color="00B050"/>
      </w:pBdr>
      <w:spacing w:before="100" w:beforeAutospacing="1" w:after="100" w:afterAutospacing="1" w:line="240" w:lineRule="auto"/>
      <w:textAlignment w:val="top"/>
    </w:pPr>
    <w:rPr>
      <w:rFonts w:ascii="Calibri" w:hAnsi="Calibri" w:cs="Calibri"/>
      <w:color w:val="00B050"/>
      <w:lang w:eastAsia="en-NZ"/>
    </w:rPr>
  </w:style>
  <w:style w:type="paragraph" w:customStyle="1" w:styleId="xl177">
    <w:name w:val="xl177"/>
    <w:basedOn w:val="Normal"/>
    <w:rsid w:val="00D0773A"/>
    <w:pPr>
      <w:pBdr>
        <w:bottom w:val="single" w:sz="8" w:space="0" w:color="00B05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178">
    <w:name w:val="xl178"/>
    <w:basedOn w:val="Normal"/>
    <w:rsid w:val="00D0773A"/>
    <w:pPr>
      <w:pBdr>
        <w:bottom w:val="single" w:sz="8" w:space="0" w:color="00B05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179">
    <w:name w:val="xl179"/>
    <w:basedOn w:val="Normal"/>
    <w:rsid w:val="00D0773A"/>
    <w:pP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180">
    <w:name w:val="xl180"/>
    <w:basedOn w:val="Normal"/>
    <w:rsid w:val="00D0773A"/>
    <w:pP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181">
    <w:name w:val="xl181"/>
    <w:basedOn w:val="Normal"/>
    <w:rsid w:val="00D0773A"/>
    <w:pPr>
      <w:spacing w:before="100" w:beforeAutospacing="1" w:after="100" w:afterAutospacing="1" w:line="240" w:lineRule="auto"/>
      <w:textAlignment w:val="top"/>
    </w:pPr>
    <w:rPr>
      <w:rFonts w:ascii="Calibri" w:hAnsi="Calibri" w:cs="Calibri"/>
      <w:color w:val="000000"/>
      <w:sz w:val="18"/>
      <w:szCs w:val="18"/>
      <w:lang w:eastAsia="en-NZ"/>
    </w:rPr>
  </w:style>
  <w:style w:type="paragraph" w:customStyle="1" w:styleId="xl182">
    <w:name w:val="xl182"/>
    <w:basedOn w:val="Normal"/>
    <w:rsid w:val="00D0773A"/>
    <w:pPr>
      <w:pBdr>
        <w:top w:val="single" w:sz="8" w:space="0" w:color="FF9900"/>
        <w:right w:val="single" w:sz="8" w:space="0" w:color="FF9900"/>
      </w:pBdr>
      <w:spacing w:before="100" w:beforeAutospacing="1" w:after="100" w:afterAutospacing="1" w:line="240" w:lineRule="auto"/>
      <w:textAlignment w:val="top"/>
    </w:pPr>
    <w:rPr>
      <w:rFonts w:ascii="Calibri" w:hAnsi="Calibri" w:cs="Calibri"/>
      <w:b/>
      <w:bCs/>
      <w:color w:val="000000"/>
      <w:sz w:val="24"/>
      <w:szCs w:val="24"/>
      <w:lang w:eastAsia="en-NZ"/>
    </w:rPr>
  </w:style>
  <w:style w:type="paragraph" w:customStyle="1" w:styleId="xl183">
    <w:name w:val="xl183"/>
    <w:basedOn w:val="Normal"/>
    <w:rsid w:val="00D0773A"/>
    <w:pPr>
      <w:pBdr>
        <w:top w:val="single" w:sz="8" w:space="0" w:color="FF9900"/>
      </w:pBdr>
      <w:spacing w:before="100" w:beforeAutospacing="1" w:after="100" w:afterAutospacing="1" w:line="240" w:lineRule="auto"/>
      <w:textAlignment w:val="top"/>
    </w:pPr>
    <w:rPr>
      <w:rFonts w:ascii="Calibri" w:hAnsi="Calibri" w:cs="Calibri"/>
      <w:b/>
      <w:bCs/>
      <w:color w:val="000000"/>
      <w:sz w:val="24"/>
      <w:szCs w:val="24"/>
      <w:lang w:eastAsia="en-NZ"/>
    </w:rPr>
  </w:style>
  <w:style w:type="paragraph" w:customStyle="1" w:styleId="xl184">
    <w:name w:val="xl184"/>
    <w:basedOn w:val="Normal"/>
    <w:rsid w:val="00D0773A"/>
    <w:pPr>
      <w:pBdr>
        <w:bottom w:val="single" w:sz="8" w:space="0" w:color="FF9900"/>
        <w:right w:val="single" w:sz="8" w:space="0" w:color="FF9900"/>
      </w:pBdr>
      <w:spacing w:before="100" w:beforeAutospacing="1" w:after="100" w:afterAutospacing="1" w:line="240" w:lineRule="auto"/>
      <w:textAlignment w:val="top"/>
    </w:pPr>
    <w:rPr>
      <w:rFonts w:ascii="Calibri" w:hAnsi="Calibri" w:cs="Calibri"/>
      <w:b/>
      <w:bCs/>
      <w:color w:val="000000"/>
      <w:sz w:val="24"/>
      <w:szCs w:val="24"/>
      <w:lang w:eastAsia="en-NZ"/>
    </w:rPr>
  </w:style>
  <w:style w:type="paragraph" w:customStyle="1" w:styleId="xl185">
    <w:name w:val="xl185"/>
    <w:basedOn w:val="Normal"/>
    <w:rsid w:val="00D0773A"/>
    <w:pPr>
      <w:pBdr>
        <w:bottom w:val="single" w:sz="8" w:space="0" w:color="FF9900"/>
      </w:pBdr>
      <w:spacing w:before="100" w:beforeAutospacing="1" w:after="100" w:afterAutospacing="1" w:line="240" w:lineRule="auto"/>
      <w:textAlignment w:val="top"/>
    </w:pPr>
    <w:rPr>
      <w:rFonts w:ascii="Calibri" w:hAnsi="Calibri" w:cs="Calibri"/>
      <w:b/>
      <w:bCs/>
      <w:color w:val="000000"/>
      <w:sz w:val="24"/>
      <w:szCs w:val="24"/>
      <w:lang w:eastAsia="en-NZ"/>
    </w:rPr>
  </w:style>
  <w:style w:type="paragraph" w:customStyle="1" w:styleId="xl186">
    <w:name w:val="xl186"/>
    <w:basedOn w:val="Normal"/>
    <w:rsid w:val="00D0773A"/>
    <w:pPr>
      <w:pBdr>
        <w:top w:val="single" w:sz="8" w:space="0" w:color="FF9900"/>
        <w:bottom w:val="single" w:sz="8" w:space="0" w:color="FF9900"/>
      </w:pBdr>
      <w:shd w:val="clear" w:color="000000" w:fill="FF9900"/>
      <w:spacing w:before="100" w:beforeAutospacing="1" w:after="100" w:afterAutospacing="1" w:line="240" w:lineRule="auto"/>
      <w:textAlignment w:val="top"/>
    </w:pPr>
    <w:rPr>
      <w:rFonts w:ascii="Calibri" w:hAnsi="Calibri" w:cs="Calibri"/>
      <w:b/>
      <w:bCs/>
      <w:color w:val="FFFFFF"/>
      <w:sz w:val="24"/>
      <w:szCs w:val="24"/>
      <w:lang w:eastAsia="en-NZ"/>
    </w:rPr>
  </w:style>
  <w:style w:type="paragraph" w:customStyle="1" w:styleId="xl187">
    <w:name w:val="xl187"/>
    <w:basedOn w:val="Normal"/>
    <w:rsid w:val="00D0773A"/>
    <w:pPr>
      <w:pBdr>
        <w:top w:val="single" w:sz="8" w:space="0" w:color="FF9900"/>
        <w:bottom w:val="single" w:sz="8" w:space="0" w:color="FF9900"/>
      </w:pBdr>
      <w:spacing w:before="100" w:beforeAutospacing="1" w:after="100" w:afterAutospacing="1" w:line="240" w:lineRule="auto"/>
      <w:textAlignment w:val="top"/>
    </w:pPr>
    <w:rPr>
      <w:rFonts w:ascii="Calibri" w:hAnsi="Calibri" w:cs="Calibri"/>
      <w:b/>
      <w:bCs/>
      <w:color w:val="FF9900"/>
      <w:lang w:eastAsia="en-NZ"/>
    </w:rPr>
  </w:style>
  <w:style w:type="paragraph" w:customStyle="1" w:styleId="xl188">
    <w:name w:val="xl188"/>
    <w:basedOn w:val="Normal"/>
    <w:rsid w:val="00D0773A"/>
    <w:pPr>
      <w:pBdr>
        <w:bottom w:val="single" w:sz="8" w:space="0" w:color="FF9900"/>
        <w:right w:val="single" w:sz="8" w:space="0" w:color="FF9900"/>
      </w:pBdr>
      <w:spacing w:before="100" w:beforeAutospacing="1" w:after="100" w:afterAutospacing="1" w:line="240" w:lineRule="auto"/>
      <w:textAlignment w:val="top"/>
    </w:pPr>
    <w:rPr>
      <w:rFonts w:ascii="Calibri" w:hAnsi="Calibri" w:cs="Calibri"/>
      <w:color w:val="000000"/>
      <w:sz w:val="24"/>
      <w:szCs w:val="24"/>
      <w:lang w:eastAsia="en-NZ"/>
    </w:rPr>
  </w:style>
  <w:style w:type="paragraph" w:customStyle="1" w:styleId="xl189">
    <w:name w:val="xl189"/>
    <w:basedOn w:val="Normal"/>
    <w:rsid w:val="00D0773A"/>
    <w:pPr>
      <w:pBdr>
        <w:bottom w:val="single" w:sz="8" w:space="0" w:color="FF990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190">
    <w:name w:val="xl190"/>
    <w:basedOn w:val="Normal"/>
    <w:rsid w:val="00D0773A"/>
    <w:pPr>
      <w:pBdr>
        <w:bottom w:val="single" w:sz="8" w:space="0" w:color="FF990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191">
    <w:name w:val="xl191"/>
    <w:basedOn w:val="Normal"/>
    <w:rsid w:val="00D0773A"/>
    <w:pPr>
      <w:pBdr>
        <w:bottom w:val="single" w:sz="8" w:space="0" w:color="FF990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192">
    <w:name w:val="xl192"/>
    <w:basedOn w:val="Normal"/>
    <w:rsid w:val="00D0773A"/>
    <w:pPr>
      <w:pBdr>
        <w:bottom w:val="single" w:sz="8" w:space="0" w:color="FF990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193">
    <w:name w:val="xl193"/>
    <w:basedOn w:val="Normal"/>
    <w:rsid w:val="00D0773A"/>
    <w:pPr>
      <w:pBdr>
        <w:bottom w:val="single" w:sz="8" w:space="0" w:color="FF990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194">
    <w:name w:val="xl194"/>
    <w:basedOn w:val="Normal"/>
    <w:rsid w:val="00D0773A"/>
    <w:pPr>
      <w:spacing w:before="100" w:beforeAutospacing="1" w:after="100" w:afterAutospacing="1" w:line="240" w:lineRule="auto"/>
      <w:textAlignment w:val="top"/>
    </w:pPr>
    <w:rPr>
      <w:rFonts w:ascii="Calibri" w:hAnsi="Calibri" w:cs="Calibri"/>
      <w:b/>
      <w:bCs/>
      <w:color w:val="FF3399"/>
      <w:sz w:val="28"/>
      <w:szCs w:val="28"/>
      <w:lang w:eastAsia="en-NZ"/>
    </w:rPr>
  </w:style>
  <w:style w:type="paragraph" w:customStyle="1" w:styleId="xl195">
    <w:name w:val="xl195"/>
    <w:basedOn w:val="Normal"/>
    <w:rsid w:val="00D0773A"/>
    <w:pPr>
      <w:pBdr>
        <w:top w:val="single" w:sz="8" w:space="0" w:color="FF3399"/>
        <w:right w:val="single" w:sz="8" w:space="0" w:color="FF3399"/>
      </w:pBdr>
      <w:spacing w:before="100" w:beforeAutospacing="1" w:after="100" w:afterAutospacing="1" w:line="240" w:lineRule="auto"/>
      <w:textAlignment w:val="top"/>
    </w:pPr>
    <w:rPr>
      <w:rFonts w:ascii="Calibri" w:hAnsi="Calibri" w:cs="Calibri"/>
      <w:b/>
      <w:bCs/>
      <w:color w:val="000000"/>
      <w:sz w:val="24"/>
      <w:szCs w:val="24"/>
      <w:lang w:eastAsia="en-NZ"/>
    </w:rPr>
  </w:style>
  <w:style w:type="paragraph" w:customStyle="1" w:styleId="xl196">
    <w:name w:val="xl196"/>
    <w:basedOn w:val="Normal"/>
    <w:rsid w:val="00D0773A"/>
    <w:pPr>
      <w:pBdr>
        <w:top w:val="single" w:sz="8" w:space="0" w:color="FF3399"/>
      </w:pBdr>
      <w:spacing w:before="100" w:beforeAutospacing="1" w:after="100" w:afterAutospacing="1" w:line="240" w:lineRule="auto"/>
      <w:textAlignment w:val="top"/>
    </w:pPr>
    <w:rPr>
      <w:rFonts w:ascii="Calibri" w:hAnsi="Calibri" w:cs="Calibri"/>
      <w:b/>
      <w:bCs/>
      <w:color w:val="000000"/>
      <w:sz w:val="24"/>
      <w:szCs w:val="24"/>
      <w:lang w:eastAsia="en-NZ"/>
    </w:rPr>
  </w:style>
  <w:style w:type="paragraph" w:customStyle="1" w:styleId="xl197">
    <w:name w:val="xl197"/>
    <w:basedOn w:val="Normal"/>
    <w:rsid w:val="00D0773A"/>
    <w:pPr>
      <w:pBdr>
        <w:bottom w:val="single" w:sz="8" w:space="0" w:color="FF3399"/>
        <w:right w:val="single" w:sz="8" w:space="0" w:color="FF3399"/>
      </w:pBdr>
      <w:spacing w:before="100" w:beforeAutospacing="1" w:after="100" w:afterAutospacing="1" w:line="240" w:lineRule="auto"/>
      <w:textAlignment w:val="top"/>
    </w:pPr>
    <w:rPr>
      <w:rFonts w:ascii="Calibri" w:hAnsi="Calibri" w:cs="Calibri"/>
      <w:b/>
      <w:bCs/>
      <w:color w:val="000000"/>
      <w:sz w:val="24"/>
      <w:szCs w:val="24"/>
      <w:lang w:eastAsia="en-NZ"/>
    </w:rPr>
  </w:style>
  <w:style w:type="paragraph" w:customStyle="1" w:styleId="xl198">
    <w:name w:val="xl198"/>
    <w:basedOn w:val="Normal"/>
    <w:rsid w:val="00D0773A"/>
    <w:pPr>
      <w:pBdr>
        <w:bottom w:val="single" w:sz="8" w:space="0" w:color="FF3399"/>
      </w:pBdr>
      <w:spacing w:before="100" w:beforeAutospacing="1" w:after="100" w:afterAutospacing="1" w:line="240" w:lineRule="auto"/>
      <w:textAlignment w:val="top"/>
    </w:pPr>
    <w:rPr>
      <w:rFonts w:ascii="Calibri" w:hAnsi="Calibri" w:cs="Calibri"/>
      <w:b/>
      <w:bCs/>
      <w:color w:val="000000"/>
      <w:sz w:val="24"/>
      <w:szCs w:val="24"/>
      <w:lang w:eastAsia="en-NZ"/>
    </w:rPr>
  </w:style>
  <w:style w:type="paragraph" w:customStyle="1" w:styleId="xl199">
    <w:name w:val="xl199"/>
    <w:basedOn w:val="Normal"/>
    <w:rsid w:val="00D0773A"/>
    <w:pPr>
      <w:pBdr>
        <w:top w:val="single" w:sz="8" w:space="0" w:color="FF3399"/>
      </w:pBdr>
      <w:shd w:val="clear" w:color="000000" w:fill="FF3399"/>
      <w:spacing w:before="100" w:beforeAutospacing="1" w:after="100" w:afterAutospacing="1" w:line="240" w:lineRule="auto"/>
      <w:textAlignment w:val="top"/>
    </w:pPr>
    <w:rPr>
      <w:rFonts w:ascii="Calibri" w:hAnsi="Calibri" w:cs="Calibri"/>
      <w:b/>
      <w:bCs/>
      <w:color w:val="FFFFFF"/>
      <w:sz w:val="24"/>
      <w:szCs w:val="24"/>
      <w:lang w:eastAsia="en-NZ"/>
    </w:rPr>
  </w:style>
  <w:style w:type="paragraph" w:customStyle="1" w:styleId="xl200">
    <w:name w:val="xl200"/>
    <w:basedOn w:val="Normal"/>
    <w:rsid w:val="00D0773A"/>
    <w:pPr>
      <w:pBdr>
        <w:bottom w:val="single" w:sz="8" w:space="0" w:color="FF3399"/>
      </w:pBdr>
      <w:spacing w:before="100" w:beforeAutospacing="1" w:after="100" w:afterAutospacing="1" w:line="240" w:lineRule="auto"/>
      <w:textAlignment w:val="top"/>
    </w:pPr>
    <w:rPr>
      <w:rFonts w:ascii="Calibri" w:hAnsi="Calibri" w:cs="Calibri"/>
      <w:color w:val="FF3399"/>
      <w:lang w:eastAsia="en-NZ"/>
    </w:rPr>
  </w:style>
  <w:style w:type="paragraph" w:customStyle="1" w:styleId="xl201">
    <w:name w:val="xl201"/>
    <w:basedOn w:val="Normal"/>
    <w:rsid w:val="00D0773A"/>
    <w:pPr>
      <w:pBdr>
        <w:bottom w:val="single" w:sz="8" w:space="0" w:color="FF3399"/>
        <w:right w:val="single" w:sz="8" w:space="0" w:color="FF3399"/>
      </w:pBdr>
      <w:spacing w:before="100" w:beforeAutospacing="1" w:after="100" w:afterAutospacing="1" w:line="240" w:lineRule="auto"/>
      <w:textAlignment w:val="top"/>
    </w:pPr>
    <w:rPr>
      <w:rFonts w:ascii="Calibri" w:hAnsi="Calibri" w:cs="Calibri"/>
      <w:color w:val="000000"/>
      <w:sz w:val="24"/>
      <w:szCs w:val="24"/>
      <w:lang w:eastAsia="en-NZ"/>
    </w:rPr>
  </w:style>
  <w:style w:type="paragraph" w:customStyle="1" w:styleId="xl202">
    <w:name w:val="xl202"/>
    <w:basedOn w:val="Normal"/>
    <w:rsid w:val="00D0773A"/>
    <w:pPr>
      <w:pBdr>
        <w:bottom w:val="single" w:sz="8" w:space="0" w:color="FF3399"/>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203">
    <w:name w:val="xl203"/>
    <w:basedOn w:val="Normal"/>
    <w:rsid w:val="00D0773A"/>
    <w:pPr>
      <w:pBdr>
        <w:bottom w:val="single" w:sz="8" w:space="0" w:color="FF3399"/>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204">
    <w:name w:val="xl204"/>
    <w:basedOn w:val="Normal"/>
    <w:rsid w:val="00D0773A"/>
    <w:pPr>
      <w:pBdr>
        <w:top w:val="single" w:sz="8" w:space="0" w:color="FF3399"/>
        <w:bottom w:val="single" w:sz="8" w:space="0" w:color="FF3399"/>
      </w:pBdr>
      <w:spacing w:before="100" w:beforeAutospacing="1" w:after="100" w:afterAutospacing="1" w:line="240" w:lineRule="auto"/>
      <w:textAlignment w:val="top"/>
    </w:pPr>
    <w:rPr>
      <w:rFonts w:ascii="Calibri" w:hAnsi="Calibri" w:cs="Calibri"/>
      <w:color w:val="FF3399"/>
      <w:lang w:eastAsia="en-NZ"/>
    </w:rPr>
  </w:style>
  <w:style w:type="paragraph" w:customStyle="1" w:styleId="xl205">
    <w:name w:val="xl205"/>
    <w:basedOn w:val="Normal"/>
    <w:rsid w:val="00D0773A"/>
    <w:pPr>
      <w:pBdr>
        <w:right w:val="single" w:sz="8" w:space="0" w:color="FF3399"/>
      </w:pBdr>
      <w:spacing w:before="100" w:beforeAutospacing="1" w:after="100" w:afterAutospacing="1" w:line="240" w:lineRule="auto"/>
      <w:textAlignment w:val="top"/>
    </w:pPr>
    <w:rPr>
      <w:rFonts w:ascii="Calibri" w:hAnsi="Calibri" w:cs="Calibri"/>
      <w:color w:val="000000"/>
      <w:sz w:val="24"/>
      <w:szCs w:val="24"/>
      <w:lang w:eastAsia="en-NZ"/>
    </w:rPr>
  </w:style>
  <w:style w:type="paragraph" w:customStyle="1" w:styleId="xl206">
    <w:name w:val="xl206"/>
    <w:basedOn w:val="Normal"/>
    <w:rsid w:val="00D0773A"/>
    <w:pP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207">
    <w:name w:val="xl207"/>
    <w:basedOn w:val="Normal"/>
    <w:rsid w:val="00D0773A"/>
    <w:pPr>
      <w:pBdr>
        <w:top w:val="single" w:sz="8" w:space="0" w:color="FF3399"/>
        <w:bottom w:val="single" w:sz="8" w:space="0" w:color="FF3399"/>
        <w:right w:val="single" w:sz="8" w:space="0" w:color="FF3399"/>
      </w:pBdr>
      <w:spacing w:before="100" w:beforeAutospacing="1" w:after="100" w:afterAutospacing="1" w:line="240" w:lineRule="auto"/>
      <w:textAlignment w:val="top"/>
    </w:pPr>
    <w:rPr>
      <w:rFonts w:ascii="Calibri" w:hAnsi="Calibri" w:cs="Calibri"/>
      <w:color w:val="000000"/>
      <w:sz w:val="24"/>
      <w:szCs w:val="24"/>
      <w:lang w:eastAsia="en-NZ"/>
    </w:rPr>
  </w:style>
  <w:style w:type="paragraph" w:customStyle="1" w:styleId="xl208">
    <w:name w:val="xl208"/>
    <w:basedOn w:val="Normal"/>
    <w:rsid w:val="00D0773A"/>
    <w:pPr>
      <w:pBdr>
        <w:top w:val="single" w:sz="8" w:space="0" w:color="FF3399"/>
        <w:bottom w:val="single" w:sz="8" w:space="0" w:color="FF3399"/>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209">
    <w:name w:val="xl209"/>
    <w:basedOn w:val="Normal"/>
    <w:rsid w:val="00D0773A"/>
    <w:pPr>
      <w:pBdr>
        <w:top w:val="single" w:sz="8" w:space="0" w:color="008080"/>
        <w:right w:val="single" w:sz="8" w:space="0" w:color="008080"/>
      </w:pBdr>
      <w:spacing w:before="100" w:beforeAutospacing="1" w:after="100" w:afterAutospacing="1" w:line="240" w:lineRule="auto"/>
      <w:textAlignment w:val="top"/>
    </w:pPr>
    <w:rPr>
      <w:rFonts w:ascii="Calibri" w:hAnsi="Calibri" w:cs="Calibri"/>
      <w:b/>
      <w:bCs/>
      <w:color w:val="000000"/>
      <w:sz w:val="24"/>
      <w:szCs w:val="24"/>
      <w:lang w:eastAsia="en-NZ"/>
    </w:rPr>
  </w:style>
  <w:style w:type="paragraph" w:customStyle="1" w:styleId="xl210">
    <w:name w:val="xl210"/>
    <w:basedOn w:val="Normal"/>
    <w:rsid w:val="00D0773A"/>
    <w:pPr>
      <w:pBdr>
        <w:top w:val="single" w:sz="8" w:space="0" w:color="008080"/>
      </w:pBdr>
      <w:spacing w:before="100" w:beforeAutospacing="1" w:after="100" w:afterAutospacing="1" w:line="240" w:lineRule="auto"/>
      <w:textAlignment w:val="top"/>
    </w:pPr>
    <w:rPr>
      <w:rFonts w:ascii="Calibri" w:hAnsi="Calibri" w:cs="Calibri"/>
      <w:b/>
      <w:bCs/>
      <w:color w:val="000000"/>
      <w:sz w:val="24"/>
      <w:szCs w:val="24"/>
      <w:lang w:eastAsia="en-NZ"/>
    </w:rPr>
  </w:style>
  <w:style w:type="paragraph" w:customStyle="1" w:styleId="xl211">
    <w:name w:val="xl211"/>
    <w:basedOn w:val="Normal"/>
    <w:rsid w:val="00D0773A"/>
    <w:pPr>
      <w:pBdr>
        <w:bottom w:val="single" w:sz="8" w:space="0" w:color="008080"/>
        <w:right w:val="single" w:sz="8" w:space="0" w:color="008080"/>
      </w:pBdr>
      <w:spacing w:before="100" w:beforeAutospacing="1" w:after="100" w:afterAutospacing="1" w:line="240" w:lineRule="auto"/>
      <w:textAlignment w:val="top"/>
    </w:pPr>
    <w:rPr>
      <w:rFonts w:ascii="Calibri" w:hAnsi="Calibri" w:cs="Calibri"/>
      <w:b/>
      <w:bCs/>
      <w:color w:val="000000"/>
      <w:sz w:val="24"/>
      <w:szCs w:val="24"/>
      <w:lang w:eastAsia="en-NZ"/>
    </w:rPr>
  </w:style>
  <w:style w:type="paragraph" w:customStyle="1" w:styleId="xl212">
    <w:name w:val="xl212"/>
    <w:basedOn w:val="Normal"/>
    <w:rsid w:val="00D0773A"/>
    <w:pPr>
      <w:pBdr>
        <w:bottom w:val="single" w:sz="8" w:space="0" w:color="008080"/>
      </w:pBdr>
      <w:spacing w:before="100" w:beforeAutospacing="1" w:after="100" w:afterAutospacing="1" w:line="240" w:lineRule="auto"/>
      <w:textAlignment w:val="top"/>
    </w:pPr>
    <w:rPr>
      <w:rFonts w:ascii="Calibri" w:hAnsi="Calibri" w:cs="Calibri"/>
      <w:b/>
      <w:bCs/>
      <w:color w:val="000000"/>
      <w:sz w:val="24"/>
      <w:szCs w:val="24"/>
      <w:lang w:eastAsia="en-NZ"/>
    </w:rPr>
  </w:style>
  <w:style w:type="paragraph" w:customStyle="1" w:styleId="xl213">
    <w:name w:val="xl213"/>
    <w:basedOn w:val="Normal"/>
    <w:rsid w:val="00D0773A"/>
    <w:pPr>
      <w:pBdr>
        <w:top w:val="single" w:sz="8" w:space="0" w:color="008080"/>
      </w:pBdr>
      <w:shd w:val="clear" w:color="000000" w:fill="008080"/>
      <w:spacing w:before="100" w:beforeAutospacing="1" w:after="100" w:afterAutospacing="1" w:line="240" w:lineRule="auto"/>
      <w:textAlignment w:val="top"/>
    </w:pPr>
    <w:rPr>
      <w:rFonts w:ascii="Calibri" w:hAnsi="Calibri" w:cs="Calibri"/>
      <w:b/>
      <w:bCs/>
      <w:color w:val="FFFFFF"/>
      <w:sz w:val="24"/>
      <w:szCs w:val="24"/>
      <w:lang w:eastAsia="en-NZ"/>
    </w:rPr>
  </w:style>
  <w:style w:type="paragraph" w:customStyle="1" w:styleId="xl214">
    <w:name w:val="xl214"/>
    <w:basedOn w:val="Normal"/>
    <w:rsid w:val="00D0773A"/>
    <w:pPr>
      <w:pBdr>
        <w:bottom w:val="single" w:sz="8" w:space="0" w:color="008080"/>
      </w:pBdr>
      <w:spacing w:before="100" w:beforeAutospacing="1" w:after="100" w:afterAutospacing="1" w:line="240" w:lineRule="auto"/>
      <w:textAlignment w:val="top"/>
    </w:pPr>
    <w:rPr>
      <w:rFonts w:ascii="Calibri" w:hAnsi="Calibri" w:cs="Calibri"/>
      <w:color w:val="008080"/>
      <w:lang w:eastAsia="en-NZ"/>
    </w:rPr>
  </w:style>
  <w:style w:type="paragraph" w:customStyle="1" w:styleId="xl215">
    <w:name w:val="xl215"/>
    <w:basedOn w:val="Normal"/>
    <w:rsid w:val="00D0773A"/>
    <w:pPr>
      <w:pBdr>
        <w:bottom w:val="single" w:sz="8" w:space="0" w:color="008080"/>
        <w:right w:val="single" w:sz="8" w:space="0" w:color="008080"/>
      </w:pBdr>
      <w:spacing w:before="100" w:beforeAutospacing="1" w:after="100" w:afterAutospacing="1" w:line="240" w:lineRule="auto"/>
      <w:textAlignment w:val="top"/>
    </w:pPr>
    <w:rPr>
      <w:rFonts w:ascii="Calibri" w:hAnsi="Calibri" w:cs="Calibri"/>
      <w:color w:val="000000"/>
      <w:sz w:val="24"/>
      <w:szCs w:val="24"/>
      <w:lang w:eastAsia="en-NZ"/>
    </w:rPr>
  </w:style>
  <w:style w:type="paragraph" w:customStyle="1" w:styleId="xl216">
    <w:name w:val="xl216"/>
    <w:basedOn w:val="Normal"/>
    <w:rsid w:val="00D0773A"/>
    <w:pPr>
      <w:pBdr>
        <w:bottom w:val="single" w:sz="8" w:space="0" w:color="00808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217">
    <w:name w:val="xl217"/>
    <w:basedOn w:val="Normal"/>
    <w:rsid w:val="00D0773A"/>
    <w:pPr>
      <w:pBdr>
        <w:bottom w:val="single" w:sz="8" w:space="0" w:color="00808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218">
    <w:name w:val="xl218"/>
    <w:basedOn w:val="Normal"/>
    <w:rsid w:val="00D0773A"/>
    <w:pPr>
      <w:pBdr>
        <w:bottom w:val="single" w:sz="8" w:space="0" w:color="00808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219">
    <w:name w:val="xl219"/>
    <w:basedOn w:val="Normal"/>
    <w:rsid w:val="00D0773A"/>
    <w:pPr>
      <w:pBdr>
        <w:top w:val="single" w:sz="8" w:space="0" w:color="008080"/>
        <w:bottom w:val="single" w:sz="8" w:space="0" w:color="008080"/>
      </w:pBdr>
      <w:spacing w:before="100" w:beforeAutospacing="1" w:after="100" w:afterAutospacing="1" w:line="240" w:lineRule="auto"/>
      <w:textAlignment w:val="top"/>
    </w:pPr>
    <w:rPr>
      <w:rFonts w:ascii="Calibri" w:hAnsi="Calibri" w:cs="Calibri"/>
      <w:color w:val="008080"/>
      <w:lang w:eastAsia="en-NZ"/>
    </w:rPr>
  </w:style>
  <w:style w:type="paragraph" w:customStyle="1" w:styleId="xl220">
    <w:name w:val="xl220"/>
    <w:basedOn w:val="Normal"/>
    <w:rsid w:val="00D0773A"/>
    <w:pPr>
      <w:pBdr>
        <w:bottom w:val="single" w:sz="8" w:space="0" w:color="00808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221">
    <w:name w:val="xl221"/>
    <w:basedOn w:val="Normal"/>
    <w:rsid w:val="00D0773A"/>
    <w:pPr>
      <w:pBdr>
        <w:bottom w:val="single" w:sz="8" w:space="0" w:color="00808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222">
    <w:name w:val="xl222"/>
    <w:basedOn w:val="Normal"/>
    <w:rsid w:val="00D0773A"/>
    <w:pPr>
      <w:pBdr>
        <w:bottom w:val="single" w:sz="8" w:space="0" w:color="00808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223">
    <w:name w:val="xl223"/>
    <w:basedOn w:val="Normal"/>
    <w:rsid w:val="00D0773A"/>
    <w:pPr>
      <w:pBdr>
        <w:top w:val="single" w:sz="8" w:space="0" w:color="00B0F0"/>
        <w:right w:val="single" w:sz="8" w:space="0" w:color="00B0F0"/>
      </w:pBdr>
      <w:spacing w:before="100" w:beforeAutospacing="1" w:after="100" w:afterAutospacing="1" w:line="240" w:lineRule="auto"/>
      <w:textAlignment w:val="top"/>
    </w:pPr>
    <w:rPr>
      <w:rFonts w:ascii="Calibri" w:hAnsi="Calibri" w:cs="Calibri"/>
      <w:b/>
      <w:bCs/>
      <w:color w:val="000000"/>
      <w:sz w:val="24"/>
      <w:szCs w:val="24"/>
      <w:lang w:eastAsia="en-NZ"/>
    </w:rPr>
  </w:style>
  <w:style w:type="paragraph" w:customStyle="1" w:styleId="xl224">
    <w:name w:val="xl224"/>
    <w:basedOn w:val="Normal"/>
    <w:rsid w:val="00D0773A"/>
    <w:pPr>
      <w:pBdr>
        <w:top w:val="single" w:sz="8" w:space="0" w:color="00B0F0"/>
      </w:pBdr>
      <w:spacing w:before="100" w:beforeAutospacing="1" w:after="100" w:afterAutospacing="1" w:line="240" w:lineRule="auto"/>
      <w:textAlignment w:val="top"/>
    </w:pPr>
    <w:rPr>
      <w:rFonts w:ascii="Calibri" w:hAnsi="Calibri" w:cs="Calibri"/>
      <w:b/>
      <w:bCs/>
      <w:color w:val="000000"/>
      <w:sz w:val="24"/>
      <w:szCs w:val="24"/>
      <w:lang w:eastAsia="en-NZ"/>
    </w:rPr>
  </w:style>
  <w:style w:type="paragraph" w:customStyle="1" w:styleId="xl225">
    <w:name w:val="xl225"/>
    <w:basedOn w:val="Normal"/>
    <w:rsid w:val="00D0773A"/>
    <w:pPr>
      <w:pBdr>
        <w:bottom w:val="single" w:sz="8" w:space="0" w:color="00B0F0"/>
        <w:right w:val="single" w:sz="8" w:space="0" w:color="00B0F0"/>
      </w:pBdr>
      <w:spacing w:before="100" w:beforeAutospacing="1" w:after="100" w:afterAutospacing="1" w:line="240" w:lineRule="auto"/>
      <w:textAlignment w:val="top"/>
    </w:pPr>
    <w:rPr>
      <w:rFonts w:ascii="Calibri" w:hAnsi="Calibri" w:cs="Calibri"/>
      <w:b/>
      <w:bCs/>
      <w:color w:val="000000"/>
      <w:sz w:val="24"/>
      <w:szCs w:val="24"/>
      <w:lang w:eastAsia="en-NZ"/>
    </w:rPr>
  </w:style>
  <w:style w:type="paragraph" w:customStyle="1" w:styleId="xl226">
    <w:name w:val="xl226"/>
    <w:basedOn w:val="Normal"/>
    <w:rsid w:val="00D0773A"/>
    <w:pPr>
      <w:pBdr>
        <w:bottom w:val="single" w:sz="8" w:space="0" w:color="00B0F0"/>
      </w:pBdr>
      <w:spacing w:before="100" w:beforeAutospacing="1" w:after="100" w:afterAutospacing="1" w:line="240" w:lineRule="auto"/>
      <w:textAlignment w:val="top"/>
    </w:pPr>
    <w:rPr>
      <w:rFonts w:ascii="Calibri" w:hAnsi="Calibri" w:cs="Calibri"/>
      <w:b/>
      <w:bCs/>
      <w:color w:val="000000"/>
      <w:sz w:val="24"/>
      <w:szCs w:val="24"/>
      <w:lang w:eastAsia="en-NZ"/>
    </w:rPr>
  </w:style>
  <w:style w:type="paragraph" w:customStyle="1" w:styleId="xl227">
    <w:name w:val="xl227"/>
    <w:basedOn w:val="Normal"/>
    <w:rsid w:val="00D0773A"/>
    <w:pPr>
      <w:pBdr>
        <w:top w:val="single" w:sz="8" w:space="0" w:color="00B0F0"/>
      </w:pBdr>
      <w:shd w:val="clear" w:color="000000" w:fill="00B0F0"/>
      <w:spacing w:before="100" w:beforeAutospacing="1" w:after="100" w:afterAutospacing="1" w:line="240" w:lineRule="auto"/>
      <w:textAlignment w:val="top"/>
    </w:pPr>
    <w:rPr>
      <w:rFonts w:ascii="Calibri" w:hAnsi="Calibri" w:cs="Calibri"/>
      <w:b/>
      <w:bCs/>
      <w:color w:val="FFFFFF"/>
      <w:sz w:val="24"/>
      <w:szCs w:val="24"/>
      <w:lang w:eastAsia="en-NZ"/>
    </w:rPr>
  </w:style>
  <w:style w:type="paragraph" w:customStyle="1" w:styleId="xl228">
    <w:name w:val="xl228"/>
    <w:basedOn w:val="Normal"/>
    <w:rsid w:val="00D0773A"/>
    <w:pPr>
      <w:pBdr>
        <w:bottom w:val="single" w:sz="8" w:space="0" w:color="00B0F0"/>
      </w:pBdr>
      <w:spacing w:before="100" w:beforeAutospacing="1" w:after="100" w:afterAutospacing="1" w:line="240" w:lineRule="auto"/>
      <w:textAlignment w:val="top"/>
    </w:pPr>
    <w:rPr>
      <w:rFonts w:ascii="Calibri" w:hAnsi="Calibri" w:cs="Calibri"/>
      <w:color w:val="00B0F0"/>
      <w:lang w:eastAsia="en-NZ"/>
    </w:rPr>
  </w:style>
  <w:style w:type="paragraph" w:customStyle="1" w:styleId="xl229">
    <w:name w:val="xl229"/>
    <w:basedOn w:val="Normal"/>
    <w:rsid w:val="00D0773A"/>
    <w:pPr>
      <w:pBdr>
        <w:bottom w:val="single" w:sz="8" w:space="0" w:color="00B0F0"/>
        <w:right w:val="single" w:sz="8" w:space="0" w:color="00B0F0"/>
      </w:pBdr>
      <w:spacing w:before="100" w:beforeAutospacing="1" w:after="100" w:afterAutospacing="1" w:line="240" w:lineRule="auto"/>
      <w:textAlignment w:val="top"/>
    </w:pPr>
    <w:rPr>
      <w:rFonts w:ascii="Calibri" w:hAnsi="Calibri" w:cs="Calibri"/>
      <w:color w:val="000000"/>
      <w:sz w:val="24"/>
      <w:szCs w:val="24"/>
      <w:lang w:eastAsia="en-NZ"/>
    </w:rPr>
  </w:style>
  <w:style w:type="paragraph" w:customStyle="1" w:styleId="xl230">
    <w:name w:val="xl230"/>
    <w:basedOn w:val="Normal"/>
    <w:rsid w:val="00D0773A"/>
    <w:pPr>
      <w:pBdr>
        <w:bottom w:val="single" w:sz="8" w:space="0" w:color="00B0F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231">
    <w:name w:val="xl231"/>
    <w:basedOn w:val="Normal"/>
    <w:rsid w:val="00D0773A"/>
    <w:pPr>
      <w:pBdr>
        <w:top w:val="single" w:sz="8" w:space="0" w:color="00B0F0"/>
        <w:bottom w:val="single" w:sz="8" w:space="0" w:color="00B0F0"/>
      </w:pBdr>
      <w:spacing w:before="100" w:beforeAutospacing="1" w:after="100" w:afterAutospacing="1" w:line="240" w:lineRule="auto"/>
      <w:textAlignment w:val="top"/>
    </w:pPr>
    <w:rPr>
      <w:rFonts w:ascii="Calibri" w:hAnsi="Calibri" w:cs="Calibri"/>
      <w:color w:val="00B0F0"/>
      <w:lang w:eastAsia="en-NZ"/>
    </w:rPr>
  </w:style>
  <w:style w:type="paragraph" w:customStyle="1" w:styleId="xl232">
    <w:name w:val="xl232"/>
    <w:basedOn w:val="Normal"/>
    <w:rsid w:val="00D0773A"/>
    <w:pPr>
      <w:pBdr>
        <w:bottom w:val="single" w:sz="8" w:space="0" w:color="00B0F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233">
    <w:name w:val="xl233"/>
    <w:basedOn w:val="Normal"/>
    <w:rsid w:val="00D0773A"/>
    <w:pPr>
      <w:spacing w:before="100" w:beforeAutospacing="1" w:after="100" w:afterAutospacing="1" w:line="240" w:lineRule="auto"/>
      <w:textAlignment w:val="top"/>
    </w:pPr>
    <w:rPr>
      <w:rFonts w:ascii="Calibri" w:hAnsi="Calibri" w:cs="Calibri"/>
      <w:b/>
      <w:bCs/>
      <w:color w:val="FF0000"/>
      <w:sz w:val="28"/>
      <w:szCs w:val="28"/>
      <w:lang w:eastAsia="en-NZ"/>
    </w:rPr>
  </w:style>
  <w:style w:type="paragraph" w:customStyle="1" w:styleId="xl234">
    <w:name w:val="xl234"/>
    <w:basedOn w:val="Normal"/>
    <w:rsid w:val="00D0773A"/>
    <w:pPr>
      <w:pBdr>
        <w:top w:val="single" w:sz="8" w:space="0" w:color="FF0000"/>
        <w:right w:val="single" w:sz="8" w:space="0" w:color="FF0000"/>
      </w:pBdr>
      <w:spacing w:before="100" w:beforeAutospacing="1" w:after="100" w:afterAutospacing="1" w:line="240" w:lineRule="auto"/>
      <w:textAlignment w:val="top"/>
    </w:pPr>
    <w:rPr>
      <w:rFonts w:ascii="Calibri" w:hAnsi="Calibri" w:cs="Calibri"/>
      <w:b/>
      <w:bCs/>
      <w:color w:val="000000"/>
      <w:sz w:val="24"/>
      <w:szCs w:val="24"/>
      <w:lang w:eastAsia="en-NZ"/>
    </w:rPr>
  </w:style>
  <w:style w:type="paragraph" w:customStyle="1" w:styleId="xl235">
    <w:name w:val="xl235"/>
    <w:basedOn w:val="Normal"/>
    <w:rsid w:val="00D0773A"/>
    <w:pPr>
      <w:pBdr>
        <w:bottom w:val="single" w:sz="8" w:space="0" w:color="FF0000"/>
        <w:right w:val="single" w:sz="8" w:space="0" w:color="FF0000"/>
      </w:pBdr>
      <w:spacing w:before="100" w:beforeAutospacing="1" w:after="100" w:afterAutospacing="1" w:line="240" w:lineRule="auto"/>
      <w:textAlignment w:val="top"/>
    </w:pPr>
    <w:rPr>
      <w:rFonts w:ascii="Calibri" w:hAnsi="Calibri" w:cs="Calibri"/>
      <w:b/>
      <w:bCs/>
      <w:color w:val="000000"/>
      <w:sz w:val="24"/>
      <w:szCs w:val="24"/>
      <w:lang w:eastAsia="en-NZ"/>
    </w:rPr>
  </w:style>
  <w:style w:type="paragraph" w:customStyle="1" w:styleId="xl236">
    <w:name w:val="xl236"/>
    <w:basedOn w:val="Normal"/>
    <w:rsid w:val="00D0773A"/>
    <w:pPr>
      <w:pBdr>
        <w:bottom w:val="single" w:sz="8" w:space="0" w:color="FF0000"/>
      </w:pBdr>
      <w:spacing w:before="100" w:beforeAutospacing="1" w:after="100" w:afterAutospacing="1" w:line="240" w:lineRule="auto"/>
      <w:textAlignment w:val="top"/>
    </w:pPr>
    <w:rPr>
      <w:rFonts w:ascii="Calibri" w:hAnsi="Calibri" w:cs="Calibri"/>
      <w:b/>
      <w:bCs/>
      <w:color w:val="000000"/>
      <w:sz w:val="24"/>
      <w:szCs w:val="24"/>
      <w:lang w:eastAsia="en-NZ"/>
    </w:rPr>
  </w:style>
  <w:style w:type="paragraph" w:customStyle="1" w:styleId="xl237">
    <w:name w:val="xl237"/>
    <w:basedOn w:val="Normal"/>
    <w:rsid w:val="00D0773A"/>
    <w:pPr>
      <w:pBdr>
        <w:top w:val="single" w:sz="8" w:space="0" w:color="FF0000"/>
        <w:bottom w:val="single" w:sz="8" w:space="0" w:color="FF0000"/>
      </w:pBdr>
      <w:shd w:val="clear" w:color="000000" w:fill="FF0000"/>
      <w:spacing w:before="100" w:beforeAutospacing="1" w:after="100" w:afterAutospacing="1" w:line="240" w:lineRule="auto"/>
      <w:textAlignment w:val="top"/>
    </w:pPr>
    <w:rPr>
      <w:rFonts w:ascii="Calibri" w:hAnsi="Calibri" w:cs="Calibri"/>
      <w:b/>
      <w:bCs/>
      <w:color w:val="FFFFFF"/>
      <w:lang w:eastAsia="en-NZ"/>
    </w:rPr>
  </w:style>
  <w:style w:type="paragraph" w:customStyle="1" w:styleId="xl238">
    <w:name w:val="xl238"/>
    <w:basedOn w:val="Normal"/>
    <w:rsid w:val="00D0773A"/>
    <w:pPr>
      <w:pBdr>
        <w:top w:val="single" w:sz="8" w:space="0" w:color="FF0000"/>
        <w:bottom w:val="single" w:sz="8" w:space="0" w:color="FF0000"/>
      </w:pBdr>
      <w:spacing w:before="100" w:beforeAutospacing="1" w:after="100" w:afterAutospacing="1" w:line="240" w:lineRule="auto"/>
      <w:textAlignment w:val="top"/>
    </w:pPr>
    <w:rPr>
      <w:rFonts w:ascii="Calibri" w:hAnsi="Calibri" w:cs="Calibri"/>
      <w:color w:val="FF0000"/>
      <w:lang w:eastAsia="en-NZ"/>
    </w:rPr>
  </w:style>
  <w:style w:type="paragraph" w:customStyle="1" w:styleId="xl239">
    <w:name w:val="xl239"/>
    <w:basedOn w:val="Normal"/>
    <w:rsid w:val="00D0773A"/>
    <w:pPr>
      <w:pBdr>
        <w:bottom w:val="single" w:sz="8" w:space="0" w:color="FF0000"/>
        <w:right w:val="single" w:sz="8" w:space="0" w:color="FF0000"/>
      </w:pBdr>
      <w:spacing w:before="100" w:beforeAutospacing="1" w:after="100" w:afterAutospacing="1" w:line="240" w:lineRule="auto"/>
      <w:textAlignment w:val="top"/>
    </w:pPr>
    <w:rPr>
      <w:rFonts w:ascii="Calibri" w:hAnsi="Calibri" w:cs="Calibri"/>
      <w:color w:val="000000"/>
      <w:sz w:val="24"/>
      <w:szCs w:val="24"/>
      <w:lang w:eastAsia="en-NZ"/>
    </w:rPr>
  </w:style>
  <w:style w:type="paragraph" w:customStyle="1" w:styleId="xl240">
    <w:name w:val="xl240"/>
    <w:basedOn w:val="Normal"/>
    <w:rsid w:val="00D0773A"/>
    <w:pPr>
      <w:pBdr>
        <w:bottom w:val="single" w:sz="8" w:space="0" w:color="FF000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241">
    <w:name w:val="xl241"/>
    <w:basedOn w:val="Normal"/>
    <w:rsid w:val="00D0773A"/>
    <w:pPr>
      <w:pBdr>
        <w:bottom w:val="single" w:sz="8" w:space="0" w:color="FF000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242">
    <w:name w:val="xl242"/>
    <w:basedOn w:val="Normal"/>
    <w:rsid w:val="00D0773A"/>
    <w:pPr>
      <w:pBdr>
        <w:bottom w:val="single" w:sz="8" w:space="0" w:color="FF0000"/>
        <w:right w:val="single" w:sz="8" w:space="0" w:color="FF0000"/>
      </w:pBdr>
      <w:spacing w:before="100" w:beforeAutospacing="1" w:after="100" w:afterAutospacing="1" w:line="240" w:lineRule="auto"/>
      <w:textAlignment w:val="top"/>
    </w:pPr>
    <w:rPr>
      <w:rFonts w:ascii="Calibri" w:hAnsi="Calibri" w:cs="Calibri"/>
      <w:color w:val="000000"/>
      <w:sz w:val="24"/>
      <w:szCs w:val="24"/>
      <w:lang w:eastAsia="en-NZ"/>
    </w:rPr>
  </w:style>
  <w:style w:type="paragraph" w:customStyle="1" w:styleId="xl243">
    <w:name w:val="xl243"/>
    <w:basedOn w:val="Normal"/>
    <w:rsid w:val="00D0773A"/>
    <w:pPr>
      <w:pBdr>
        <w:top w:val="single" w:sz="8" w:space="0" w:color="FF0000"/>
        <w:bottom w:val="single" w:sz="8" w:space="0" w:color="FF0000"/>
      </w:pBdr>
      <w:shd w:val="clear" w:color="000000" w:fill="FF0000"/>
      <w:spacing w:before="100" w:beforeAutospacing="1" w:after="100" w:afterAutospacing="1" w:line="240" w:lineRule="auto"/>
      <w:textAlignment w:val="top"/>
    </w:pPr>
    <w:rPr>
      <w:rFonts w:ascii="Calibri" w:hAnsi="Calibri" w:cs="Calibri"/>
      <w:b/>
      <w:bCs/>
      <w:color w:val="FFFFFF"/>
      <w:sz w:val="24"/>
      <w:szCs w:val="24"/>
      <w:lang w:eastAsia="en-NZ"/>
    </w:rPr>
  </w:style>
  <w:style w:type="paragraph" w:customStyle="1" w:styleId="xl244">
    <w:name w:val="xl244"/>
    <w:basedOn w:val="Normal"/>
    <w:rsid w:val="00D0773A"/>
    <w:pPr>
      <w:pBdr>
        <w:bottom w:val="single" w:sz="8" w:space="0" w:color="FF000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245">
    <w:name w:val="xl245"/>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246">
    <w:name w:val="xl246"/>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247">
    <w:name w:val="xl247"/>
    <w:basedOn w:val="Normal"/>
    <w:rsid w:val="00D0773A"/>
    <w:pPr>
      <w:spacing w:before="100" w:beforeAutospacing="1" w:after="100" w:afterAutospacing="1" w:line="240" w:lineRule="auto"/>
      <w:jc w:val="right"/>
      <w:textAlignment w:val="top"/>
    </w:pPr>
    <w:rPr>
      <w:rFonts w:ascii="Calibri" w:hAnsi="Calibri" w:cs="Calibri"/>
      <w:sz w:val="24"/>
      <w:szCs w:val="24"/>
      <w:lang w:eastAsia="en-NZ"/>
    </w:rPr>
  </w:style>
  <w:style w:type="paragraph" w:customStyle="1" w:styleId="xl248">
    <w:name w:val="xl248"/>
    <w:basedOn w:val="Normal"/>
    <w:rsid w:val="00D0773A"/>
    <w:pPr>
      <w:spacing w:before="100" w:beforeAutospacing="1" w:after="100" w:afterAutospacing="1" w:line="240" w:lineRule="auto"/>
      <w:jc w:val="right"/>
      <w:textAlignment w:val="top"/>
    </w:pPr>
    <w:rPr>
      <w:rFonts w:ascii="Calibri" w:hAnsi="Calibri" w:cs="Calibri"/>
      <w:sz w:val="24"/>
      <w:szCs w:val="24"/>
      <w:lang w:eastAsia="en-NZ"/>
    </w:rPr>
  </w:style>
  <w:style w:type="paragraph" w:customStyle="1" w:styleId="xl249">
    <w:name w:val="xl249"/>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250">
    <w:name w:val="xl250"/>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251">
    <w:name w:val="xl251"/>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252">
    <w:name w:val="xl252"/>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253">
    <w:name w:val="xl253"/>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254">
    <w:name w:val="xl254"/>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255">
    <w:name w:val="xl255"/>
    <w:basedOn w:val="Normal"/>
    <w:rsid w:val="00D0773A"/>
    <w:pPr>
      <w:spacing w:before="100" w:beforeAutospacing="1" w:after="100" w:afterAutospacing="1" w:line="240" w:lineRule="auto"/>
      <w:textAlignment w:val="top"/>
    </w:pPr>
    <w:rPr>
      <w:rFonts w:ascii="Calibri" w:hAnsi="Calibri" w:cs="Calibri"/>
      <w:b/>
      <w:bCs/>
      <w:color w:val="31869B"/>
      <w:sz w:val="28"/>
      <w:szCs w:val="28"/>
      <w:lang w:eastAsia="en-NZ"/>
    </w:rPr>
  </w:style>
  <w:style w:type="paragraph" w:customStyle="1" w:styleId="xl256">
    <w:name w:val="xl256"/>
    <w:basedOn w:val="Normal"/>
    <w:rsid w:val="00D0773A"/>
    <w:pPr>
      <w:spacing w:before="100" w:beforeAutospacing="1" w:after="100" w:afterAutospacing="1" w:line="240" w:lineRule="auto"/>
      <w:jc w:val="right"/>
      <w:textAlignment w:val="top"/>
    </w:pPr>
    <w:rPr>
      <w:rFonts w:ascii="Calibri" w:hAnsi="Calibri" w:cs="Calibri"/>
      <w:sz w:val="24"/>
      <w:szCs w:val="24"/>
      <w:lang w:eastAsia="en-NZ"/>
    </w:rPr>
  </w:style>
  <w:style w:type="paragraph" w:customStyle="1" w:styleId="xl257">
    <w:name w:val="xl257"/>
    <w:basedOn w:val="Normal"/>
    <w:rsid w:val="00D0773A"/>
    <w:pPr>
      <w:spacing w:before="100" w:beforeAutospacing="1" w:after="100" w:afterAutospacing="1" w:line="240" w:lineRule="auto"/>
      <w:jc w:val="right"/>
      <w:textAlignment w:val="top"/>
    </w:pPr>
    <w:rPr>
      <w:rFonts w:ascii="Calibri" w:hAnsi="Calibri" w:cs="Calibri"/>
      <w:sz w:val="24"/>
      <w:szCs w:val="24"/>
      <w:lang w:eastAsia="en-NZ"/>
    </w:rPr>
  </w:style>
  <w:style w:type="paragraph" w:customStyle="1" w:styleId="xl258">
    <w:name w:val="xl258"/>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259">
    <w:name w:val="xl259"/>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260">
    <w:name w:val="xl260"/>
    <w:basedOn w:val="Normal"/>
    <w:rsid w:val="00D0773A"/>
    <w:pPr>
      <w:spacing w:before="100" w:beforeAutospacing="1" w:after="100" w:afterAutospacing="1" w:line="240" w:lineRule="auto"/>
      <w:jc w:val="right"/>
      <w:textAlignment w:val="top"/>
    </w:pPr>
    <w:rPr>
      <w:rFonts w:ascii="Calibri" w:hAnsi="Calibri" w:cs="Calibri"/>
      <w:sz w:val="24"/>
      <w:szCs w:val="24"/>
      <w:lang w:eastAsia="en-NZ"/>
    </w:rPr>
  </w:style>
  <w:style w:type="paragraph" w:customStyle="1" w:styleId="xl261">
    <w:name w:val="xl261"/>
    <w:basedOn w:val="Normal"/>
    <w:rsid w:val="00D0773A"/>
    <w:pPr>
      <w:spacing w:before="100" w:beforeAutospacing="1" w:after="100" w:afterAutospacing="1" w:line="240" w:lineRule="auto"/>
      <w:jc w:val="center"/>
      <w:textAlignment w:val="top"/>
    </w:pPr>
    <w:rPr>
      <w:rFonts w:ascii="Wingdings 2" w:hAnsi="Wingdings 2"/>
      <w:b/>
      <w:bCs/>
      <w:color w:val="FF0000"/>
      <w:sz w:val="24"/>
      <w:szCs w:val="24"/>
      <w:lang w:eastAsia="en-NZ"/>
    </w:rPr>
  </w:style>
  <w:style w:type="paragraph" w:customStyle="1" w:styleId="xl262">
    <w:name w:val="xl262"/>
    <w:basedOn w:val="Normal"/>
    <w:rsid w:val="00D0773A"/>
    <w:pPr>
      <w:pBdr>
        <w:bottom w:val="single" w:sz="8" w:space="0" w:color="008080"/>
        <w:right w:val="single" w:sz="8" w:space="0" w:color="008080"/>
      </w:pBdr>
      <w:spacing w:before="100" w:beforeAutospacing="1" w:after="100" w:afterAutospacing="1" w:line="240" w:lineRule="auto"/>
      <w:ind w:firstLineChars="100" w:firstLine="100"/>
      <w:textAlignment w:val="top"/>
    </w:pPr>
    <w:rPr>
      <w:rFonts w:ascii="Calibri" w:hAnsi="Calibri" w:cs="Calibri"/>
      <w:color w:val="000000"/>
      <w:sz w:val="24"/>
      <w:szCs w:val="24"/>
      <w:lang w:eastAsia="en-NZ"/>
    </w:rPr>
  </w:style>
  <w:style w:type="paragraph" w:customStyle="1" w:styleId="xl263">
    <w:name w:val="xl263"/>
    <w:basedOn w:val="Normal"/>
    <w:rsid w:val="00D0773A"/>
    <w:pPr>
      <w:pBdr>
        <w:bottom w:val="single" w:sz="8" w:space="0" w:color="00B050"/>
      </w:pBdr>
      <w:shd w:val="clear" w:color="000000" w:fill="D9D9D9"/>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264">
    <w:name w:val="xl264"/>
    <w:basedOn w:val="Normal"/>
    <w:rsid w:val="00D0773A"/>
    <w:pPr>
      <w:spacing w:before="100" w:beforeAutospacing="1" w:after="100" w:afterAutospacing="1" w:line="240" w:lineRule="auto"/>
      <w:textAlignment w:val="top"/>
    </w:pPr>
    <w:rPr>
      <w:rFonts w:ascii="Calibri" w:hAnsi="Calibri" w:cs="Calibri"/>
      <w:b/>
      <w:bCs/>
      <w:color w:val="000000"/>
      <w:sz w:val="24"/>
      <w:szCs w:val="24"/>
      <w:lang w:eastAsia="en-NZ"/>
    </w:rPr>
  </w:style>
  <w:style w:type="paragraph" w:customStyle="1" w:styleId="xl265">
    <w:name w:val="xl265"/>
    <w:basedOn w:val="Normal"/>
    <w:rsid w:val="00D0773A"/>
    <w:pP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266">
    <w:name w:val="xl266"/>
    <w:basedOn w:val="Normal"/>
    <w:rsid w:val="00D0773A"/>
    <w:pP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267">
    <w:name w:val="xl267"/>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268">
    <w:name w:val="xl268"/>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269">
    <w:name w:val="xl269"/>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270">
    <w:name w:val="xl270"/>
    <w:basedOn w:val="Normal"/>
    <w:rsid w:val="00D0773A"/>
    <w:pPr>
      <w:shd w:val="clear" w:color="000000" w:fill="D9D9D9"/>
      <w:spacing w:before="100" w:beforeAutospacing="1" w:after="100" w:afterAutospacing="1" w:line="240" w:lineRule="auto"/>
      <w:textAlignment w:val="top"/>
    </w:pPr>
    <w:rPr>
      <w:rFonts w:ascii="Calibri" w:hAnsi="Calibri" w:cs="Calibri"/>
      <w:sz w:val="24"/>
      <w:szCs w:val="24"/>
      <w:lang w:eastAsia="en-NZ"/>
    </w:rPr>
  </w:style>
  <w:style w:type="paragraph" w:customStyle="1" w:styleId="xl271">
    <w:name w:val="xl271"/>
    <w:basedOn w:val="Normal"/>
    <w:rsid w:val="00D0773A"/>
    <w:pPr>
      <w:shd w:val="clear" w:color="000000" w:fill="D9D9D9"/>
      <w:spacing w:before="100" w:beforeAutospacing="1" w:after="100" w:afterAutospacing="1" w:line="240" w:lineRule="auto"/>
      <w:textAlignment w:val="top"/>
    </w:pPr>
    <w:rPr>
      <w:rFonts w:ascii="Calibri" w:hAnsi="Calibri" w:cs="Calibri"/>
      <w:sz w:val="24"/>
      <w:szCs w:val="24"/>
      <w:lang w:eastAsia="en-NZ"/>
    </w:rPr>
  </w:style>
  <w:style w:type="paragraph" w:customStyle="1" w:styleId="xl272">
    <w:name w:val="xl272"/>
    <w:basedOn w:val="Normal"/>
    <w:rsid w:val="00D0773A"/>
    <w:pPr>
      <w:pBdr>
        <w:left w:val="single" w:sz="4" w:space="0" w:color="auto"/>
        <w:bottom w:val="single" w:sz="8" w:space="0" w:color="00808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273">
    <w:name w:val="xl273"/>
    <w:basedOn w:val="Normal"/>
    <w:rsid w:val="00D0773A"/>
    <w:pPr>
      <w:pBdr>
        <w:right w:val="single" w:sz="4" w:space="0" w:color="auto"/>
      </w:pBdr>
      <w:spacing w:before="100" w:beforeAutospacing="1" w:after="100" w:afterAutospacing="1" w:line="240" w:lineRule="auto"/>
      <w:jc w:val="center"/>
      <w:textAlignment w:val="top"/>
    </w:pPr>
    <w:rPr>
      <w:rFonts w:ascii="Wingdings 2" w:hAnsi="Wingdings 2"/>
      <w:b/>
      <w:bCs/>
      <w:color w:val="00B050"/>
      <w:sz w:val="24"/>
      <w:szCs w:val="24"/>
      <w:lang w:eastAsia="en-NZ"/>
    </w:rPr>
  </w:style>
  <w:style w:type="paragraph" w:customStyle="1" w:styleId="xl274">
    <w:name w:val="xl274"/>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275">
    <w:name w:val="xl275"/>
    <w:basedOn w:val="Normal"/>
    <w:rsid w:val="00D0773A"/>
    <w:pPr>
      <w:spacing w:before="100" w:beforeAutospacing="1" w:after="100" w:afterAutospacing="1" w:line="240" w:lineRule="auto"/>
      <w:textAlignment w:val="top"/>
    </w:pPr>
    <w:rPr>
      <w:rFonts w:ascii="Calibri" w:hAnsi="Calibri" w:cs="Calibri"/>
      <w:b/>
      <w:bCs/>
      <w:color w:val="4F81BD"/>
      <w:sz w:val="28"/>
      <w:szCs w:val="28"/>
      <w:lang w:eastAsia="en-NZ"/>
    </w:rPr>
  </w:style>
  <w:style w:type="paragraph" w:customStyle="1" w:styleId="xl276">
    <w:name w:val="xl276"/>
    <w:basedOn w:val="Normal"/>
    <w:rsid w:val="00D0773A"/>
    <w:pPr>
      <w:spacing w:before="100" w:beforeAutospacing="1" w:after="100" w:afterAutospacing="1" w:line="240" w:lineRule="auto"/>
      <w:textAlignment w:val="top"/>
    </w:pPr>
    <w:rPr>
      <w:rFonts w:ascii="Calibri" w:hAnsi="Calibri" w:cs="Calibri"/>
      <w:b/>
      <w:bCs/>
      <w:color w:val="00B050"/>
      <w:sz w:val="28"/>
      <w:szCs w:val="28"/>
      <w:lang w:eastAsia="en-NZ"/>
    </w:rPr>
  </w:style>
  <w:style w:type="paragraph" w:customStyle="1" w:styleId="xl277">
    <w:name w:val="xl277"/>
    <w:basedOn w:val="Normal"/>
    <w:rsid w:val="00D0773A"/>
    <w:pPr>
      <w:pBdr>
        <w:top w:val="single" w:sz="8" w:space="0" w:color="00B050"/>
        <w:bottom w:val="single" w:sz="8" w:space="0" w:color="00B050"/>
      </w:pBdr>
      <w:spacing w:before="100" w:beforeAutospacing="1" w:after="100" w:afterAutospacing="1" w:line="240" w:lineRule="auto"/>
      <w:textAlignment w:val="top"/>
    </w:pPr>
    <w:rPr>
      <w:rFonts w:ascii="Calibri" w:hAnsi="Calibri" w:cs="Calibri"/>
      <w:color w:val="00B050"/>
      <w:lang w:eastAsia="en-NZ"/>
    </w:rPr>
  </w:style>
  <w:style w:type="paragraph" w:customStyle="1" w:styleId="xl278">
    <w:name w:val="xl278"/>
    <w:basedOn w:val="Normal"/>
    <w:rsid w:val="00D0773A"/>
    <w:pPr>
      <w:spacing w:before="100" w:beforeAutospacing="1" w:after="100" w:afterAutospacing="1" w:line="240" w:lineRule="auto"/>
      <w:textAlignment w:val="top"/>
    </w:pPr>
    <w:rPr>
      <w:rFonts w:ascii="Calibri" w:hAnsi="Calibri" w:cs="Calibri"/>
      <w:b/>
      <w:bCs/>
      <w:color w:val="E36C0A"/>
      <w:sz w:val="28"/>
      <w:szCs w:val="28"/>
      <w:lang w:eastAsia="en-NZ"/>
    </w:rPr>
  </w:style>
  <w:style w:type="paragraph" w:customStyle="1" w:styleId="xl279">
    <w:name w:val="xl279"/>
    <w:basedOn w:val="Normal"/>
    <w:rsid w:val="00D0773A"/>
    <w:pPr>
      <w:spacing w:before="100" w:beforeAutospacing="1" w:after="100" w:afterAutospacing="1" w:line="240" w:lineRule="auto"/>
      <w:textAlignment w:val="top"/>
    </w:pPr>
    <w:rPr>
      <w:rFonts w:ascii="Calibri" w:hAnsi="Calibri" w:cs="Calibri"/>
      <w:b/>
      <w:bCs/>
      <w:color w:val="00B0F0"/>
      <w:sz w:val="28"/>
      <w:szCs w:val="28"/>
      <w:lang w:eastAsia="en-NZ"/>
    </w:rPr>
  </w:style>
  <w:style w:type="paragraph" w:customStyle="1" w:styleId="xl280">
    <w:name w:val="xl280"/>
    <w:basedOn w:val="Normal"/>
    <w:rsid w:val="00D0773A"/>
    <w:pPr>
      <w:pBdr>
        <w:bottom w:val="single" w:sz="8" w:space="0" w:color="00B0F0"/>
      </w:pBdr>
      <w:spacing w:before="100" w:beforeAutospacing="1" w:after="100" w:afterAutospacing="1" w:line="240" w:lineRule="auto"/>
      <w:textAlignment w:val="top"/>
    </w:pPr>
    <w:rPr>
      <w:rFonts w:ascii="Calibri" w:hAnsi="Calibri" w:cs="Calibri"/>
      <w:sz w:val="24"/>
      <w:szCs w:val="24"/>
      <w:lang w:eastAsia="en-NZ"/>
    </w:rPr>
  </w:style>
  <w:style w:type="paragraph" w:customStyle="1" w:styleId="xl281">
    <w:name w:val="xl281"/>
    <w:basedOn w:val="Normal"/>
    <w:rsid w:val="00D0773A"/>
    <w:pPr>
      <w:pBdr>
        <w:bottom w:val="single" w:sz="8" w:space="0" w:color="008080"/>
      </w:pBdr>
      <w:shd w:val="clear" w:color="000000" w:fill="D9D9D9"/>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282">
    <w:name w:val="xl282"/>
    <w:basedOn w:val="Normal"/>
    <w:rsid w:val="00D0773A"/>
    <w:pPr>
      <w:pBdr>
        <w:bottom w:val="single" w:sz="8" w:space="0" w:color="FF0000"/>
      </w:pBdr>
      <w:shd w:val="clear" w:color="000000" w:fill="D9D9D9"/>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283">
    <w:name w:val="xl283"/>
    <w:basedOn w:val="Normal"/>
    <w:rsid w:val="00D0773A"/>
    <w:pPr>
      <w:spacing w:before="100" w:beforeAutospacing="1" w:after="100" w:afterAutospacing="1" w:line="240" w:lineRule="auto"/>
      <w:jc w:val="right"/>
      <w:textAlignment w:val="top"/>
    </w:pPr>
    <w:rPr>
      <w:rFonts w:ascii="Calibri" w:hAnsi="Calibri" w:cs="Calibri"/>
      <w:sz w:val="24"/>
      <w:szCs w:val="24"/>
      <w:lang w:eastAsia="en-NZ"/>
    </w:rPr>
  </w:style>
  <w:style w:type="paragraph" w:customStyle="1" w:styleId="xl284">
    <w:name w:val="xl284"/>
    <w:basedOn w:val="Normal"/>
    <w:rsid w:val="00D0773A"/>
    <w:pPr>
      <w:spacing w:before="100" w:beforeAutospacing="1" w:after="100" w:afterAutospacing="1" w:line="240" w:lineRule="auto"/>
      <w:jc w:val="right"/>
      <w:textAlignment w:val="top"/>
    </w:pPr>
    <w:rPr>
      <w:rFonts w:ascii="Calibri" w:hAnsi="Calibri" w:cs="Calibri"/>
      <w:sz w:val="24"/>
      <w:szCs w:val="24"/>
      <w:lang w:eastAsia="en-NZ"/>
    </w:rPr>
  </w:style>
  <w:style w:type="paragraph" w:customStyle="1" w:styleId="xl285">
    <w:name w:val="xl285"/>
    <w:basedOn w:val="Normal"/>
    <w:rsid w:val="00D0773A"/>
    <w:pPr>
      <w:pBdr>
        <w:bottom w:val="single" w:sz="8" w:space="0" w:color="00B050"/>
      </w:pBdr>
      <w:shd w:val="clear" w:color="000000" w:fill="D9D9D9"/>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286">
    <w:name w:val="xl286"/>
    <w:basedOn w:val="Normal"/>
    <w:rsid w:val="00D0773A"/>
    <w:pPr>
      <w:pBdr>
        <w:bottom w:val="single" w:sz="8" w:space="0" w:color="00B050"/>
      </w:pBdr>
      <w:shd w:val="clear" w:color="000000" w:fill="D9D9D9"/>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287">
    <w:name w:val="xl287"/>
    <w:basedOn w:val="Normal"/>
    <w:rsid w:val="00D0773A"/>
    <w:pPr>
      <w:pBdr>
        <w:bottom w:val="single" w:sz="8" w:space="0" w:color="008080"/>
      </w:pBdr>
      <w:shd w:val="clear" w:color="000000" w:fill="D9D9D9"/>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288">
    <w:name w:val="xl288"/>
    <w:basedOn w:val="Normal"/>
    <w:rsid w:val="00D0773A"/>
    <w:pPr>
      <w:pBdr>
        <w:bottom w:val="single" w:sz="8" w:space="0" w:color="00B0F0"/>
      </w:pBdr>
      <w:shd w:val="clear" w:color="000000" w:fill="D9D9D9"/>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289">
    <w:name w:val="xl289"/>
    <w:basedOn w:val="Normal"/>
    <w:rsid w:val="00D0773A"/>
    <w:pPr>
      <w:pBdr>
        <w:right w:val="single" w:sz="8" w:space="0" w:color="FF3399"/>
      </w:pBdr>
      <w:spacing w:before="100" w:beforeAutospacing="1" w:after="100" w:afterAutospacing="1" w:line="240" w:lineRule="auto"/>
      <w:ind w:firstLineChars="100" w:firstLine="100"/>
      <w:textAlignment w:val="top"/>
    </w:pPr>
    <w:rPr>
      <w:rFonts w:ascii="Calibri" w:hAnsi="Calibri" w:cs="Calibri"/>
      <w:color w:val="000000"/>
      <w:sz w:val="24"/>
      <w:szCs w:val="24"/>
      <w:lang w:eastAsia="en-NZ"/>
    </w:rPr>
  </w:style>
  <w:style w:type="paragraph" w:customStyle="1" w:styleId="xl290">
    <w:name w:val="xl290"/>
    <w:basedOn w:val="Normal"/>
    <w:rsid w:val="00D0773A"/>
    <w:pPr>
      <w:pBdr>
        <w:top w:val="single" w:sz="8" w:space="0" w:color="00B05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291">
    <w:name w:val="xl291"/>
    <w:basedOn w:val="Normal"/>
    <w:rsid w:val="00D0773A"/>
    <w:pPr>
      <w:spacing w:before="100" w:beforeAutospacing="1" w:after="100" w:afterAutospacing="1" w:line="240" w:lineRule="auto"/>
      <w:jc w:val="right"/>
      <w:textAlignment w:val="top"/>
    </w:pPr>
    <w:rPr>
      <w:rFonts w:ascii="Calibri" w:hAnsi="Calibri" w:cs="Calibri"/>
      <w:sz w:val="24"/>
      <w:szCs w:val="24"/>
      <w:lang w:eastAsia="en-NZ"/>
    </w:rPr>
  </w:style>
  <w:style w:type="paragraph" w:customStyle="1" w:styleId="xl292">
    <w:name w:val="xl292"/>
    <w:basedOn w:val="Normal"/>
    <w:rsid w:val="00D0773A"/>
    <w:pPr>
      <w:pBdr>
        <w:bottom w:val="single" w:sz="8" w:space="0" w:color="FF000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293">
    <w:name w:val="xl293"/>
    <w:basedOn w:val="Normal"/>
    <w:rsid w:val="00D0773A"/>
    <w:pPr>
      <w:spacing w:before="100" w:beforeAutospacing="1" w:after="100" w:afterAutospacing="1" w:line="240" w:lineRule="auto"/>
      <w:jc w:val="right"/>
      <w:textAlignment w:val="top"/>
    </w:pPr>
    <w:rPr>
      <w:rFonts w:ascii="Calibri" w:hAnsi="Calibri" w:cs="Calibri"/>
      <w:sz w:val="24"/>
      <w:szCs w:val="24"/>
      <w:lang w:eastAsia="en-NZ"/>
    </w:rPr>
  </w:style>
  <w:style w:type="paragraph" w:customStyle="1" w:styleId="xl294">
    <w:name w:val="xl294"/>
    <w:basedOn w:val="Normal"/>
    <w:rsid w:val="00D0773A"/>
    <w:pPr>
      <w:spacing w:before="100" w:beforeAutospacing="1" w:after="100" w:afterAutospacing="1" w:line="240" w:lineRule="auto"/>
      <w:jc w:val="right"/>
      <w:textAlignment w:val="top"/>
    </w:pPr>
    <w:rPr>
      <w:rFonts w:ascii="Calibri" w:hAnsi="Calibri" w:cs="Calibri"/>
      <w:sz w:val="24"/>
      <w:szCs w:val="24"/>
      <w:lang w:eastAsia="en-NZ"/>
    </w:rPr>
  </w:style>
  <w:style w:type="paragraph" w:customStyle="1" w:styleId="xl295">
    <w:name w:val="xl295"/>
    <w:basedOn w:val="Normal"/>
    <w:rsid w:val="00D0773A"/>
    <w:pPr>
      <w:spacing w:before="100" w:beforeAutospacing="1" w:after="100" w:afterAutospacing="1" w:line="240" w:lineRule="auto"/>
      <w:jc w:val="right"/>
      <w:textAlignment w:val="top"/>
    </w:pPr>
    <w:rPr>
      <w:rFonts w:ascii="Calibri" w:hAnsi="Calibri" w:cs="Calibri"/>
      <w:sz w:val="24"/>
      <w:szCs w:val="24"/>
      <w:lang w:eastAsia="en-NZ"/>
    </w:rPr>
  </w:style>
  <w:style w:type="paragraph" w:customStyle="1" w:styleId="xl296">
    <w:name w:val="xl296"/>
    <w:basedOn w:val="Normal"/>
    <w:rsid w:val="00D0773A"/>
    <w:pPr>
      <w:spacing w:before="100" w:beforeAutospacing="1" w:after="100" w:afterAutospacing="1" w:line="240" w:lineRule="auto"/>
      <w:jc w:val="right"/>
      <w:textAlignment w:val="top"/>
    </w:pPr>
    <w:rPr>
      <w:rFonts w:ascii="Calibri" w:hAnsi="Calibri" w:cs="Calibri"/>
      <w:sz w:val="24"/>
      <w:szCs w:val="24"/>
      <w:lang w:eastAsia="en-NZ"/>
    </w:rPr>
  </w:style>
  <w:style w:type="paragraph" w:customStyle="1" w:styleId="xl297">
    <w:name w:val="xl297"/>
    <w:basedOn w:val="Normal"/>
    <w:rsid w:val="00D0773A"/>
    <w:pPr>
      <w:spacing w:before="100" w:beforeAutospacing="1" w:after="100" w:afterAutospacing="1" w:line="240" w:lineRule="auto"/>
      <w:jc w:val="right"/>
      <w:textAlignment w:val="top"/>
    </w:pPr>
    <w:rPr>
      <w:rFonts w:ascii="Calibri" w:hAnsi="Calibri" w:cs="Calibri"/>
      <w:sz w:val="24"/>
      <w:szCs w:val="24"/>
      <w:lang w:eastAsia="en-NZ"/>
    </w:rPr>
  </w:style>
  <w:style w:type="paragraph" w:customStyle="1" w:styleId="xl298">
    <w:name w:val="xl298"/>
    <w:basedOn w:val="Normal"/>
    <w:rsid w:val="00D0773A"/>
    <w:pPr>
      <w:spacing w:before="100" w:beforeAutospacing="1" w:after="100" w:afterAutospacing="1" w:line="240" w:lineRule="auto"/>
      <w:jc w:val="right"/>
      <w:textAlignment w:val="top"/>
    </w:pPr>
    <w:rPr>
      <w:rFonts w:ascii="Calibri" w:hAnsi="Calibri" w:cs="Calibri"/>
      <w:sz w:val="24"/>
      <w:szCs w:val="24"/>
      <w:lang w:eastAsia="en-NZ"/>
    </w:rPr>
  </w:style>
  <w:style w:type="paragraph" w:customStyle="1" w:styleId="xl299">
    <w:name w:val="xl299"/>
    <w:basedOn w:val="Normal"/>
    <w:rsid w:val="00D0773A"/>
    <w:pPr>
      <w:spacing w:before="100" w:beforeAutospacing="1" w:after="100" w:afterAutospacing="1" w:line="240" w:lineRule="auto"/>
      <w:jc w:val="right"/>
      <w:textAlignment w:val="top"/>
    </w:pPr>
    <w:rPr>
      <w:rFonts w:ascii="Calibri" w:hAnsi="Calibri" w:cs="Calibri"/>
      <w:sz w:val="24"/>
      <w:szCs w:val="24"/>
      <w:lang w:eastAsia="en-NZ"/>
    </w:rPr>
  </w:style>
  <w:style w:type="paragraph" w:customStyle="1" w:styleId="xl300">
    <w:name w:val="xl300"/>
    <w:basedOn w:val="Normal"/>
    <w:rsid w:val="00D0773A"/>
    <w:pPr>
      <w:spacing w:before="100" w:beforeAutospacing="1" w:after="100" w:afterAutospacing="1" w:line="240" w:lineRule="auto"/>
      <w:jc w:val="right"/>
      <w:textAlignment w:val="top"/>
    </w:pPr>
    <w:rPr>
      <w:rFonts w:ascii="Calibri" w:hAnsi="Calibri" w:cs="Calibri"/>
      <w:sz w:val="24"/>
      <w:szCs w:val="24"/>
      <w:lang w:eastAsia="en-NZ"/>
    </w:rPr>
  </w:style>
  <w:style w:type="paragraph" w:customStyle="1" w:styleId="xl301">
    <w:name w:val="xl301"/>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302">
    <w:name w:val="xl302"/>
    <w:basedOn w:val="Normal"/>
    <w:rsid w:val="00D0773A"/>
    <w:pPr>
      <w:pBdr>
        <w:top w:val="single" w:sz="8" w:space="0" w:color="FF3399"/>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03">
    <w:name w:val="xl303"/>
    <w:basedOn w:val="Normal"/>
    <w:rsid w:val="00D0773A"/>
    <w:pPr>
      <w:spacing w:before="100" w:beforeAutospacing="1" w:after="100" w:afterAutospacing="1" w:line="240" w:lineRule="auto"/>
      <w:textAlignment w:val="top"/>
    </w:pPr>
    <w:rPr>
      <w:rFonts w:ascii="Calibri" w:hAnsi="Calibri" w:cs="Calibri"/>
      <w:color w:val="FF0000"/>
      <w:sz w:val="24"/>
      <w:szCs w:val="24"/>
      <w:lang w:eastAsia="en-NZ"/>
    </w:rPr>
  </w:style>
  <w:style w:type="paragraph" w:customStyle="1" w:styleId="xl304">
    <w:name w:val="xl304"/>
    <w:basedOn w:val="Normal"/>
    <w:rsid w:val="00D0773A"/>
    <w:pPr>
      <w:spacing w:before="100" w:beforeAutospacing="1" w:after="100" w:afterAutospacing="1" w:line="240" w:lineRule="auto"/>
      <w:jc w:val="right"/>
      <w:textAlignment w:val="top"/>
    </w:pPr>
    <w:rPr>
      <w:rFonts w:ascii="Calibri" w:hAnsi="Calibri" w:cs="Calibri"/>
      <w:color w:val="FF0000"/>
      <w:sz w:val="24"/>
      <w:szCs w:val="24"/>
      <w:lang w:eastAsia="en-NZ"/>
    </w:rPr>
  </w:style>
  <w:style w:type="paragraph" w:customStyle="1" w:styleId="xl305">
    <w:name w:val="xl305"/>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306">
    <w:name w:val="xl306"/>
    <w:basedOn w:val="Normal"/>
    <w:rsid w:val="00D0773A"/>
    <w:pPr>
      <w:pBdr>
        <w:left w:val="single" w:sz="4" w:space="0" w:color="808080"/>
      </w:pBdr>
      <w:shd w:val="clear" w:color="000000" w:fill="D9D9D9"/>
      <w:spacing w:before="100" w:beforeAutospacing="1" w:after="100" w:afterAutospacing="1" w:line="240" w:lineRule="auto"/>
      <w:jc w:val="right"/>
      <w:textAlignment w:val="top"/>
    </w:pPr>
    <w:rPr>
      <w:rFonts w:ascii="Calibri" w:hAnsi="Calibri" w:cs="Calibri"/>
      <w:b/>
      <w:bCs/>
      <w:sz w:val="24"/>
      <w:szCs w:val="24"/>
      <w:lang w:eastAsia="en-NZ"/>
    </w:rPr>
  </w:style>
  <w:style w:type="paragraph" w:customStyle="1" w:styleId="xl307">
    <w:name w:val="xl307"/>
    <w:basedOn w:val="Normal"/>
    <w:rsid w:val="00D0773A"/>
    <w:pPr>
      <w:pBdr>
        <w:left w:val="single" w:sz="4" w:space="0" w:color="808080"/>
      </w:pBdr>
      <w:shd w:val="clear" w:color="000000" w:fill="D9D9D9"/>
      <w:spacing w:before="100" w:beforeAutospacing="1" w:after="100" w:afterAutospacing="1" w:line="240" w:lineRule="auto"/>
      <w:jc w:val="right"/>
      <w:textAlignment w:val="top"/>
    </w:pPr>
    <w:rPr>
      <w:rFonts w:ascii="Calibri" w:hAnsi="Calibri" w:cs="Calibri"/>
      <w:b/>
      <w:bCs/>
      <w:sz w:val="24"/>
      <w:szCs w:val="24"/>
      <w:lang w:eastAsia="en-NZ"/>
    </w:rPr>
  </w:style>
  <w:style w:type="paragraph" w:customStyle="1" w:styleId="xl308">
    <w:name w:val="xl308"/>
    <w:basedOn w:val="Normal"/>
    <w:rsid w:val="00D0773A"/>
    <w:pPr>
      <w:pBdr>
        <w:bottom w:val="single" w:sz="8" w:space="0" w:color="008080"/>
      </w:pBdr>
      <w:shd w:val="clear" w:color="000000" w:fill="FFFF0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09">
    <w:name w:val="xl309"/>
    <w:basedOn w:val="Normal"/>
    <w:rsid w:val="00D0773A"/>
    <w:pPr>
      <w:pBdr>
        <w:bottom w:val="single" w:sz="8" w:space="0" w:color="008080"/>
      </w:pBdr>
      <w:shd w:val="clear" w:color="000000" w:fill="D9D9D9"/>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10">
    <w:name w:val="xl310"/>
    <w:basedOn w:val="Normal"/>
    <w:rsid w:val="00D0773A"/>
    <w:pPr>
      <w:pBdr>
        <w:bottom w:val="single" w:sz="8" w:space="0" w:color="538DD5"/>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11">
    <w:name w:val="xl311"/>
    <w:basedOn w:val="Normal"/>
    <w:rsid w:val="00D0773A"/>
    <w:pPr>
      <w:pBdr>
        <w:bottom w:val="single" w:sz="8" w:space="0" w:color="538DD5"/>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12">
    <w:name w:val="xl312"/>
    <w:basedOn w:val="Normal"/>
    <w:rsid w:val="00D0773A"/>
    <w:pPr>
      <w:pBdr>
        <w:bottom w:val="single" w:sz="8" w:space="0" w:color="00B05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13">
    <w:name w:val="xl313"/>
    <w:basedOn w:val="Normal"/>
    <w:rsid w:val="00D0773A"/>
    <w:pPr>
      <w:shd w:val="clear" w:color="000000" w:fill="FF000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14">
    <w:name w:val="xl314"/>
    <w:basedOn w:val="Normal"/>
    <w:rsid w:val="00D0773A"/>
    <w:pPr>
      <w:shd w:val="clear" w:color="000000" w:fill="FF000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15">
    <w:name w:val="xl315"/>
    <w:basedOn w:val="Normal"/>
    <w:rsid w:val="00D0773A"/>
    <w:pPr>
      <w:shd w:val="clear" w:color="000000" w:fill="FF000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16">
    <w:name w:val="xl316"/>
    <w:basedOn w:val="Normal"/>
    <w:rsid w:val="00D0773A"/>
    <w:pPr>
      <w:shd w:val="clear" w:color="000000" w:fill="92D050"/>
      <w:spacing w:before="100" w:beforeAutospacing="1" w:after="100" w:afterAutospacing="1" w:line="240" w:lineRule="auto"/>
      <w:textAlignment w:val="top"/>
    </w:pPr>
    <w:rPr>
      <w:rFonts w:ascii="Calibri" w:hAnsi="Calibri" w:cs="Calibri"/>
      <w:sz w:val="24"/>
      <w:szCs w:val="24"/>
      <w:lang w:eastAsia="en-NZ"/>
    </w:rPr>
  </w:style>
  <w:style w:type="paragraph" w:customStyle="1" w:styleId="xl317">
    <w:name w:val="xl317"/>
    <w:basedOn w:val="Normal"/>
    <w:rsid w:val="00D0773A"/>
    <w:pPr>
      <w:shd w:val="clear" w:color="000000" w:fill="D9D9D9"/>
      <w:spacing w:before="100" w:beforeAutospacing="1" w:after="100" w:afterAutospacing="1" w:line="240" w:lineRule="auto"/>
      <w:textAlignment w:val="top"/>
    </w:pPr>
    <w:rPr>
      <w:rFonts w:ascii="Calibri" w:hAnsi="Calibri" w:cs="Calibri"/>
      <w:sz w:val="24"/>
      <w:szCs w:val="24"/>
      <w:lang w:eastAsia="en-NZ"/>
    </w:rPr>
  </w:style>
  <w:style w:type="paragraph" w:customStyle="1" w:styleId="xl318">
    <w:name w:val="xl318"/>
    <w:basedOn w:val="Normal"/>
    <w:rsid w:val="00D0773A"/>
    <w:pP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19">
    <w:name w:val="xl319"/>
    <w:basedOn w:val="Normal"/>
    <w:rsid w:val="00D0773A"/>
    <w:pPr>
      <w:shd w:val="clear" w:color="000000" w:fill="00B0F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20">
    <w:name w:val="xl320"/>
    <w:basedOn w:val="Normal"/>
    <w:rsid w:val="00D0773A"/>
    <w:pPr>
      <w:shd w:val="clear" w:color="000000" w:fill="00B0F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21">
    <w:name w:val="xl321"/>
    <w:basedOn w:val="Normal"/>
    <w:rsid w:val="00D0773A"/>
    <w:pPr>
      <w:pBdr>
        <w:left w:val="single" w:sz="4" w:space="0" w:color="808080"/>
        <w:bottom w:val="single" w:sz="4" w:space="0" w:color="808080"/>
        <w:right w:val="single" w:sz="4" w:space="0" w:color="808080"/>
      </w:pBdr>
      <w:shd w:val="clear" w:color="000000" w:fill="EBF1DE"/>
      <w:spacing w:before="100" w:beforeAutospacing="1" w:after="100" w:afterAutospacing="1" w:line="240" w:lineRule="auto"/>
      <w:jc w:val="right"/>
      <w:textAlignment w:val="top"/>
    </w:pPr>
    <w:rPr>
      <w:rFonts w:ascii="Calibri" w:hAnsi="Calibri" w:cs="Calibri"/>
      <w:b/>
      <w:bCs/>
      <w:sz w:val="24"/>
      <w:szCs w:val="24"/>
      <w:lang w:eastAsia="en-NZ"/>
    </w:rPr>
  </w:style>
  <w:style w:type="paragraph" w:customStyle="1" w:styleId="xl322">
    <w:name w:val="xl322"/>
    <w:basedOn w:val="Normal"/>
    <w:rsid w:val="00D0773A"/>
    <w:pPr>
      <w:pBdr>
        <w:left w:val="single" w:sz="4" w:space="0" w:color="808080"/>
        <w:bottom w:val="single" w:sz="4" w:space="0" w:color="808080"/>
        <w:right w:val="single" w:sz="4" w:space="0" w:color="808080"/>
      </w:pBdr>
      <w:shd w:val="clear" w:color="000000" w:fill="FFFF00"/>
      <w:spacing w:before="100" w:beforeAutospacing="1" w:after="100" w:afterAutospacing="1" w:line="240" w:lineRule="auto"/>
      <w:textAlignment w:val="top"/>
    </w:pPr>
    <w:rPr>
      <w:rFonts w:ascii="Calibri" w:hAnsi="Calibri" w:cs="Calibri"/>
      <w:b/>
      <w:bCs/>
      <w:sz w:val="24"/>
      <w:szCs w:val="24"/>
      <w:lang w:eastAsia="en-NZ"/>
    </w:rPr>
  </w:style>
  <w:style w:type="paragraph" w:customStyle="1" w:styleId="xl323">
    <w:name w:val="xl323"/>
    <w:basedOn w:val="Normal"/>
    <w:rsid w:val="00D0773A"/>
    <w:pPr>
      <w:shd w:val="clear" w:color="000000" w:fill="F2F2F2"/>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24">
    <w:name w:val="xl324"/>
    <w:basedOn w:val="Normal"/>
    <w:rsid w:val="00D0773A"/>
    <w:pPr>
      <w:shd w:val="clear" w:color="000000" w:fill="F2F2F2"/>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25">
    <w:name w:val="xl325"/>
    <w:basedOn w:val="Normal"/>
    <w:rsid w:val="00D0773A"/>
    <w:pPr>
      <w:shd w:val="clear" w:color="000000" w:fill="F2F2F2"/>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26">
    <w:name w:val="xl326"/>
    <w:basedOn w:val="Normal"/>
    <w:rsid w:val="00D0773A"/>
    <w:pPr>
      <w:shd w:val="clear" w:color="000000" w:fill="F2F2F2"/>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27">
    <w:name w:val="xl327"/>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328">
    <w:name w:val="xl328"/>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329">
    <w:name w:val="xl329"/>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330">
    <w:name w:val="xl330"/>
    <w:basedOn w:val="Normal"/>
    <w:rsid w:val="00D0773A"/>
    <w:pPr>
      <w:pBdr>
        <w:left w:val="single" w:sz="4" w:space="0" w:color="808080"/>
        <w:bottom w:val="single" w:sz="4" w:space="0" w:color="808080"/>
        <w:right w:val="single" w:sz="4" w:space="0" w:color="808080"/>
      </w:pBdr>
      <w:spacing w:before="100" w:beforeAutospacing="1" w:after="100" w:afterAutospacing="1" w:line="240" w:lineRule="auto"/>
      <w:jc w:val="right"/>
      <w:textAlignment w:val="top"/>
    </w:pPr>
    <w:rPr>
      <w:rFonts w:ascii="Calibri" w:hAnsi="Calibri" w:cs="Calibri"/>
      <w:b/>
      <w:bCs/>
      <w:sz w:val="24"/>
      <w:szCs w:val="24"/>
      <w:lang w:eastAsia="en-NZ"/>
    </w:rPr>
  </w:style>
  <w:style w:type="paragraph" w:customStyle="1" w:styleId="xl331">
    <w:name w:val="xl331"/>
    <w:basedOn w:val="Normal"/>
    <w:rsid w:val="00D0773A"/>
    <w:pPr>
      <w:shd w:val="clear" w:color="000000" w:fill="D9D9D9"/>
      <w:spacing w:before="100" w:beforeAutospacing="1" w:after="100" w:afterAutospacing="1" w:line="240" w:lineRule="auto"/>
      <w:jc w:val="right"/>
      <w:textAlignment w:val="top"/>
    </w:pPr>
    <w:rPr>
      <w:rFonts w:ascii="Calibri" w:hAnsi="Calibri" w:cs="Calibri"/>
      <w:sz w:val="24"/>
      <w:szCs w:val="24"/>
      <w:lang w:eastAsia="en-NZ"/>
    </w:rPr>
  </w:style>
  <w:style w:type="paragraph" w:customStyle="1" w:styleId="xl332">
    <w:name w:val="xl332"/>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333">
    <w:name w:val="xl333"/>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334">
    <w:name w:val="xl334"/>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335">
    <w:name w:val="xl335"/>
    <w:basedOn w:val="Normal"/>
    <w:rsid w:val="00D0773A"/>
    <w:pPr>
      <w:pBdr>
        <w:bottom w:val="single" w:sz="8" w:space="0" w:color="538DD5"/>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36">
    <w:name w:val="xl336"/>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337">
    <w:name w:val="xl337"/>
    <w:basedOn w:val="Normal"/>
    <w:rsid w:val="00D0773A"/>
    <w:pPr>
      <w:pBdr>
        <w:bottom w:val="single" w:sz="8" w:space="0" w:color="00B050"/>
      </w:pBdr>
      <w:spacing w:before="100" w:beforeAutospacing="1" w:after="100" w:afterAutospacing="1" w:line="240" w:lineRule="auto"/>
      <w:textAlignment w:val="top"/>
    </w:pPr>
    <w:rPr>
      <w:rFonts w:ascii="Calibri" w:hAnsi="Calibri" w:cs="Calibri"/>
      <w:color w:val="000000"/>
      <w:sz w:val="24"/>
      <w:szCs w:val="24"/>
      <w:lang w:eastAsia="en-NZ"/>
    </w:rPr>
  </w:style>
  <w:style w:type="paragraph" w:customStyle="1" w:styleId="xl338">
    <w:name w:val="xl338"/>
    <w:basedOn w:val="Normal"/>
    <w:rsid w:val="00D0773A"/>
    <w:pPr>
      <w:shd w:val="clear" w:color="000000" w:fill="FCD5B4"/>
      <w:spacing w:before="100" w:beforeAutospacing="1" w:after="100" w:afterAutospacing="1" w:line="240" w:lineRule="auto"/>
      <w:textAlignment w:val="top"/>
    </w:pPr>
    <w:rPr>
      <w:rFonts w:ascii="Calibri" w:hAnsi="Calibri" w:cs="Calibri"/>
      <w:sz w:val="24"/>
      <w:szCs w:val="24"/>
      <w:lang w:eastAsia="en-NZ"/>
    </w:rPr>
  </w:style>
  <w:style w:type="paragraph" w:customStyle="1" w:styleId="xl339">
    <w:name w:val="xl339"/>
    <w:basedOn w:val="Normal"/>
    <w:rsid w:val="00D0773A"/>
    <w:pPr>
      <w:shd w:val="clear" w:color="000000" w:fill="FCD5B4"/>
      <w:spacing w:before="100" w:beforeAutospacing="1" w:after="100" w:afterAutospacing="1" w:line="240" w:lineRule="auto"/>
      <w:textAlignment w:val="center"/>
    </w:pPr>
    <w:rPr>
      <w:rFonts w:ascii="Times New Roman" w:hAnsi="Times New Roman"/>
      <w:lang w:eastAsia="en-NZ"/>
    </w:rPr>
  </w:style>
  <w:style w:type="paragraph" w:customStyle="1" w:styleId="xl340">
    <w:name w:val="xl340"/>
    <w:basedOn w:val="Normal"/>
    <w:rsid w:val="00D0773A"/>
    <w:pPr>
      <w:pBdr>
        <w:bottom w:val="single" w:sz="8" w:space="0" w:color="00B05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41">
    <w:name w:val="xl341"/>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342">
    <w:name w:val="xl342"/>
    <w:basedOn w:val="Normal"/>
    <w:rsid w:val="00D0773A"/>
    <w:pPr>
      <w:pBdr>
        <w:bottom w:val="single" w:sz="8" w:space="0" w:color="00808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43">
    <w:name w:val="xl343"/>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344">
    <w:name w:val="xl344"/>
    <w:basedOn w:val="Normal"/>
    <w:rsid w:val="00D0773A"/>
    <w:pPr>
      <w:shd w:val="clear" w:color="000000" w:fill="F2F2F2"/>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45">
    <w:name w:val="xl345"/>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346">
    <w:name w:val="xl346"/>
    <w:basedOn w:val="Normal"/>
    <w:rsid w:val="00D0773A"/>
    <w:pPr>
      <w:pBdr>
        <w:left w:val="single" w:sz="4" w:space="0" w:color="808080"/>
        <w:bottom w:val="single" w:sz="4" w:space="0" w:color="808080"/>
        <w:right w:val="single" w:sz="4" w:space="0" w:color="808080"/>
      </w:pBdr>
      <w:spacing w:before="100" w:beforeAutospacing="1" w:after="100" w:afterAutospacing="1" w:line="240" w:lineRule="auto"/>
      <w:textAlignment w:val="top"/>
    </w:pPr>
    <w:rPr>
      <w:rFonts w:ascii="Calibri" w:hAnsi="Calibri" w:cs="Calibri"/>
      <w:b/>
      <w:bCs/>
      <w:sz w:val="24"/>
      <w:szCs w:val="24"/>
      <w:lang w:eastAsia="en-NZ"/>
    </w:rPr>
  </w:style>
  <w:style w:type="paragraph" w:customStyle="1" w:styleId="xl347">
    <w:name w:val="xl347"/>
    <w:basedOn w:val="Normal"/>
    <w:rsid w:val="00D0773A"/>
    <w:pPr>
      <w:shd w:val="clear" w:color="000000" w:fill="FCD5B4"/>
      <w:spacing w:before="100" w:beforeAutospacing="1" w:after="100" w:afterAutospacing="1" w:line="240" w:lineRule="auto"/>
      <w:textAlignment w:val="top"/>
    </w:pPr>
    <w:rPr>
      <w:rFonts w:ascii="Calibri" w:hAnsi="Calibri" w:cs="Calibri"/>
      <w:sz w:val="24"/>
      <w:szCs w:val="24"/>
      <w:lang w:eastAsia="en-NZ"/>
    </w:rPr>
  </w:style>
  <w:style w:type="paragraph" w:customStyle="1" w:styleId="xl348">
    <w:name w:val="xl348"/>
    <w:basedOn w:val="Normal"/>
    <w:rsid w:val="00D0773A"/>
    <w:pPr>
      <w:pBdr>
        <w:bottom w:val="single" w:sz="8" w:space="0" w:color="FF000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49">
    <w:name w:val="xl349"/>
    <w:basedOn w:val="Normal"/>
    <w:rsid w:val="00D0773A"/>
    <w:pPr>
      <w:pBdr>
        <w:bottom w:val="single" w:sz="8" w:space="0" w:color="00B050"/>
      </w:pBdr>
      <w:shd w:val="clear" w:color="000000" w:fill="FFFF0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50">
    <w:name w:val="xl350"/>
    <w:basedOn w:val="Normal"/>
    <w:rsid w:val="00D0773A"/>
    <w:pPr>
      <w:pBdr>
        <w:bottom w:val="single" w:sz="8" w:space="0" w:color="00B050"/>
      </w:pBdr>
      <w:shd w:val="clear" w:color="000000" w:fill="D9D9D9"/>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51">
    <w:name w:val="xl351"/>
    <w:basedOn w:val="Normal"/>
    <w:rsid w:val="00D0773A"/>
    <w:pPr>
      <w:pBdr>
        <w:bottom w:val="single" w:sz="8" w:space="0" w:color="FF000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52">
    <w:name w:val="xl352"/>
    <w:basedOn w:val="Normal"/>
    <w:rsid w:val="00D0773A"/>
    <w:pPr>
      <w:pBdr>
        <w:bottom w:val="single" w:sz="8" w:space="0" w:color="00B0F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53">
    <w:name w:val="xl353"/>
    <w:basedOn w:val="Normal"/>
    <w:rsid w:val="00D0773A"/>
    <w:pPr>
      <w:pBdr>
        <w:top w:val="single" w:sz="4" w:space="0" w:color="808080"/>
        <w:left w:val="single" w:sz="4" w:space="0" w:color="808080"/>
        <w:bottom w:val="single" w:sz="4" w:space="0" w:color="808080"/>
        <w:right w:val="single" w:sz="4" w:space="0" w:color="808080"/>
      </w:pBdr>
      <w:shd w:val="clear" w:color="000000" w:fill="000000"/>
      <w:spacing w:before="100" w:beforeAutospacing="1" w:after="100" w:afterAutospacing="1" w:line="240" w:lineRule="auto"/>
      <w:textAlignment w:val="top"/>
    </w:pPr>
    <w:rPr>
      <w:rFonts w:ascii="Calibri" w:hAnsi="Calibri" w:cs="Calibri"/>
      <w:b/>
      <w:bCs/>
      <w:color w:val="FFFFFF"/>
      <w:sz w:val="24"/>
      <w:szCs w:val="24"/>
      <w:lang w:eastAsia="en-NZ"/>
    </w:rPr>
  </w:style>
  <w:style w:type="paragraph" w:customStyle="1" w:styleId="xl354">
    <w:name w:val="xl354"/>
    <w:basedOn w:val="Normal"/>
    <w:rsid w:val="00D0773A"/>
    <w:pPr>
      <w:pBdr>
        <w:bottom w:val="single" w:sz="8" w:space="0" w:color="00B0F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55">
    <w:name w:val="xl355"/>
    <w:basedOn w:val="Normal"/>
    <w:rsid w:val="00D0773A"/>
    <w:pPr>
      <w:pBdr>
        <w:bottom w:val="single" w:sz="8" w:space="0" w:color="00B05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56">
    <w:name w:val="xl356"/>
    <w:basedOn w:val="Normal"/>
    <w:rsid w:val="00D0773A"/>
    <w:pP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57">
    <w:name w:val="xl357"/>
    <w:basedOn w:val="Normal"/>
    <w:rsid w:val="00D0773A"/>
    <w:pP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58">
    <w:name w:val="xl358"/>
    <w:basedOn w:val="Normal"/>
    <w:rsid w:val="00D0773A"/>
    <w:pPr>
      <w:pBdr>
        <w:bottom w:val="single" w:sz="8" w:space="0" w:color="008080"/>
      </w:pBdr>
      <w:shd w:val="clear" w:color="000000" w:fill="D9D9D9"/>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59">
    <w:name w:val="xl359"/>
    <w:basedOn w:val="Normal"/>
    <w:rsid w:val="00D0773A"/>
    <w:pPr>
      <w:pBdr>
        <w:bottom w:val="single" w:sz="8" w:space="0" w:color="538DD5"/>
      </w:pBdr>
      <w:shd w:val="clear" w:color="000000" w:fill="0070C0"/>
      <w:spacing w:before="100" w:beforeAutospacing="1" w:after="100" w:afterAutospacing="1" w:line="240" w:lineRule="auto"/>
      <w:textAlignment w:val="top"/>
    </w:pPr>
    <w:rPr>
      <w:rFonts w:ascii="Calibri" w:hAnsi="Calibri" w:cs="Calibri"/>
      <w:b/>
      <w:bCs/>
      <w:color w:val="FFFFFF"/>
      <w:lang w:eastAsia="en-NZ"/>
    </w:rPr>
  </w:style>
  <w:style w:type="paragraph" w:customStyle="1" w:styleId="xl360">
    <w:name w:val="xl360"/>
    <w:basedOn w:val="Normal"/>
    <w:rsid w:val="00D0773A"/>
    <w:pPr>
      <w:pBdr>
        <w:bottom w:val="single" w:sz="8" w:space="0" w:color="FF9900"/>
      </w:pBdr>
      <w:shd w:val="clear" w:color="000000" w:fill="D9D9D9"/>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61">
    <w:name w:val="xl361"/>
    <w:basedOn w:val="Normal"/>
    <w:rsid w:val="00D0773A"/>
    <w:pPr>
      <w:pBdr>
        <w:bottom w:val="single" w:sz="8" w:space="0" w:color="FF9900"/>
      </w:pBdr>
      <w:shd w:val="clear" w:color="000000" w:fill="D9D9D9"/>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62">
    <w:name w:val="xl362"/>
    <w:basedOn w:val="Normal"/>
    <w:rsid w:val="00D0773A"/>
    <w:pPr>
      <w:pBdr>
        <w:bottom w:val="single" w:sz="8" w:space="0" w:color="00B0F0"/>
      </w:pBdr>
      <w:shd w:val="clear" w:color="000000" w:fill="D9D9D9"/>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63">
    <w:name w:val="xl363"/>
    <w:basedOn w:val="Normal"/>
    <w:rsid w:val="00D0773A"/>
    <w:pPr>
      <w:shd w:val="clear" w:color="000000" w:fill="FFFF00"/>
      <w:spacing w:before="100" w:beforeAutospacing="1" w:after="100" w:afterAutospacing="1" w:line="240" w:lineRule="auto"/>
      <w:textAlignment w:val="top"/>
    </w:pPr>
    <w:rPr>
      <w:rFonts w:ascii="Calibri" w:hAnsi="Calibri" w:cs="Calibri"/>
      <w:sz w:val="24"/>
      <w:szCs w:val="24"/>
      <w:lang w:eastAsia="en-NZ"/>
    </w:rPr>
  </w:style>
  <w:style w:type="paragraph" w:customStyle="1" w:styleId="xl364">
    <w:name w:val="xl364"/>
    <w:basedOn w:val="Normal"/>
    <w:rsid w:val="00D0773A"/>
    <w:pPr>
      <w:shd w:val="clear" w:color="000000" w:fill="D9D9D9"/>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65">
    <w:name w:val="xl365"/>
    <w:basedOn w:val="Normal"/>
    <w:rsid w:val="00D0773A"/>
    <w:pPr>
      <w:spacing w:before="100" w:beforeAutospacing="1" w:after="100" w:afterAutospacing="1" w:line="240" w:lineRule="auto"/>
      <w:jc w:val="right"/>
      <w:textAlignment w:val="top"/>
    </w:pPr>
    <w:rPr>
      <w:rFonts w:ascii="Calibri" w:hAnsi="Calibri" w:cs="Calibri"/>
      <w:sz w:val="24"/>
      <w:szCs w:val="24"/>
      <w:lang w:eastAsia="en-NZ"/>
    </w:rPr>
  </w:style>
  <w:style w:type="paragraph" w:customStyle="1" w:styleId="xl366">
    <w:name w:val="xl366"/>
    <w:basedOn w:val="Normal"/>
    <w:rsid w:val="00D0773A"/>
    <w:pPr>
      <w:shd w:val="clear" w:color="000000" w:fill="FF0000"/>
      <w:spacing w:before="100" w:beforeAutospacing="1" w:after="100" w:afterAutospacing="1" w:line="240" w:lineRule="auto"/>
      <w:textAlignment w:val="top"/>
    </w:pPr>
    <w:rPr>
      <w:rFonts w:ascii="Calibri" w:hAnsi="Calibri" w:cs="Calibri"/>
      <w:sz w:val="24"/>
      <w:szCs w:val="24"/>
      <w:lang w:eastAsia="en-NZ"/>
    </w:rPr>
  </w:style>
  <w:style w:type="paragraph" w:customStyle="1" w:styleId="xl367">
    <w:name w:val="xl367"/>
    <w:basedOn w:val="Normal"/>
    <w:rsid w:val="00D0773A"/>
    <w:pPr>
      <w:spacing w:before="100" w:beforeAutospacing="1" w:after="100" w:afterAutospacing="1" w:line="240" w:lineRule="auto"/>
      <w:jc w:val="right"/>
      <w:textAlignment w:val="top"/>
    </w:pPr>
    <w:rPr>
      <w:rFonts w:ascii="Calibri" w:hAnsi="Calibri" w:cs="Calibri"/>
      <w:sz w:val="24"/>
      <w:szCs w:val="24"/>
      <w:lang w:eastAsia="en-NZ"/>
    </w:rPr>
  </w:style>
  <w:style w:type="paragraph" w:customStyle="1" w:styleId="xl368">
    <w:name w:val="xl368"/>
    <w:basedOn w:val="Normal"/>
    <w:rsid w:val="00D0773A"/>
    <w:pPr>
      <w:shd w:val="clear" w:color="000000" w:fill="FFFF00"/>
      <w:spacing w:before="100" w:beforeAutospacing="1" w:after="100" w:afterAutospacing="1" w:line="240" w:lineRule="auto"/>
      <w:textAlignment w:val="top"/>
    </w:pPr>
    <w:rPr>
      <w:rFonts w:ascii="Calibri" w:hAnsi="Calibri" w:cs="Calibri"/>
      <w:sz w:val="24"/>
      <w:szCs w:val="24"/>
      <w:lang w:eastAsia="en-NZ"/>
    </w:rPr>
  </w:style>
  <w:style w:type="paragraph" w:customStyle="1" w:styleId="xl369">
    <w:name w:val="xl369"/>
    <w:basedOn w:val="Normal"/>
    <w:rsid w:val="00D0773A"/>
    <w:pPr>
      <w:pBdr>
        <w:bottom w:val="single" w:sz="8" w:space="0" w:color="00B050"/>
      </w:pBdr>
      <w:spacing w:before="100" w:beforeAutospacing="1" w:after="100" w:afterAutospacing="1" w:line="240" w:lineRule="auto"/>
      <w:textAlignment w:val="top"/>
    </w:pPr>
    <w:rPr>
      <w:rFonts w:ascii="Calibri" w:hAnsi="Calibri" w:cs="Calibri"/>
      <w:color w:val="000000"/>
      <w:sz w:val="24"/>
      <w:szCs w:val="24"/>
      <w:lang w:eastAsia="en-NZ"/>
    </w:rPr>
  </w:style>
  <w:style w:type="paragraph" w:customStyle="1" w:styleId="xl370">
    <w:name w:val="xl370"/>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371">
    <w:name w:val="xl371"/>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372">
    <w:name w:val="xl372"/>
    <w:basedOn w:val="Normal"/>
    <w:rsid w:val="00D0773A"/>
    <w:pPr>
      <w:spacing w:before="100" w:beforeAutospacing="1" w:after="100" w:afterAutospacing="1" w:line="240" w:lineRule="auto"/>
      <w:textAlignment w:val="top"/>
    </w:pPr>
    <w:rPr>
      <w:rFonts w:ascii="Calibri" w:hAnsi="Calibri" w:cs="Calibri"/>
      <w:color w:val="000000"/>
      <w:sz w:val="24"/>
      <w:szCs w:val="24"/>
      <w:lang w:eastAsia="en-NZ"/>
    </w:rPr>
  </w:style>
  <w:style w:type="paragraph" w:customStyle="1" w:styleId="xl373">
    <w:name w:val="xl373"/>
    <w:basedOn w:val="Normal"/>
    <w:rsid w:val="00D0773A"/>
    <w:pPr>
      <w:pBdr>
        <w:bottom w:val="single" w:sz="8" w:space="0" w:color="FF9900"/>
      </w:pBdr>
      <w:shd w:val="clear" w:color="000000" w:fill="FFFF0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74">
    <w:name w:val="xl374"/>
    <w:basedOn w:val="Normal"/>
    <w:rsid w:val="00D0773A"/>
    <w:pPr>
      <w:pBdr>
        <w:bottom w:val="single" w:sz="8" w:space="0" w:color="00B05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75">
    <w:name w:val="xl375"/>
    <w:basedOn w:val="Normal"/>
    <w:rsid w:val="00D0773A"/>
    <w:pPr>
      <w:pBdr>
        <w:left w:val="single" w:sz="4" w:space="0" w:color="808080"/>
        <w:bottom w:val="single" w:sz="4" w:space="0" w:color="808080"/>
        <w:right w:val="single" w:sz="4" w:space="0" w:color="808080"/>
      </w:pBdr>
      <w:shd w:val="clear" w:color="000000" w:fill="92D050"/>
      <w:spacing w:before="100" w:beforeAutospacing="1" w:after="100" w:afterAutospacing="1" w:line="240" w:lineRule="auto"/>
      <w:jc w:val="right"/>
      <w:textAlignment w:val="top"/>
    </w:pPr>
    <w:rPr>
      <w:rFonts w:ascii="Calibri" w:hAnsi="Calibri" w:cs="Calibri"/>
      <w:b/>
      <w:bCs/>
      <w:sz w:val="24"/>
      <w:szCs w:val="24"/>
      <w:lang w:eastAsia="en-NZ"/>
    </w:rPr>
  </w:style>
  <w:style w:type="paragraph" w:customStyle="1" w:styleId="xl376">
    <w:name w:val="xl376"/>
    <w:basedOn w:val="Normal"/>
    <w:rsid w:val="00D0773A"/>
    <w:pPr>
      <w:pBdr>
        <w:bottom w:val="single" w:sz="8" w:space="0" w:color="FF0000"/>
      </w:pBdr>
      <w:spacing w:before="100" w:beforeAutospacing="1" w:after="100" w:afterAutospacing="1" w:line="240" w:lineRule="auto"/>
      <w:textAlignment w:val="top"/>
    </w:pPr>
    <w:rPr>
      <w:rFonts w:ascii="Calibri" w:hAnsi="Calibri" w:cs="Calibri"/>
      <w:color w:val="000000"/>
      <w:sz w:val="24"/>
      <w:szCs w:val="24"/>
      <w:lang w:eastAsia="en-NZ"/>
    </w:rPr>
  </w:style>
  <w:style w:type="paragraph" w:customStyle="1" w:styleId="xl377">
    <w:name w:val="xl377"/>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378">
    <w:name w:val="xl378"/>
    <w:basedOn w:val="Normal"/>
    <w:rsid w:val="00D0773A"/>
    <w:pP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79">
    <w:name w:val="xl379"/>
    <w:basedOn w:val="Normal"/>
    <w:rsid w:val="00D0773A"/>
    <w:pPr>
      <w:pBdr>
        <w:left w:val="single" w:sz="4" w:space="0" w:color="808080"/>
        <w:bottom w:val="single" w:sz="4" w:space="0" w:color="808080"/>
        <w:right w:val="single" w:sz="4" w:space="0" w:color="808080"/>
      </w:pBdr>
      <w:shd w:val="clear" w:color="000000" w:fill="FABF8F"/>
      <w:spacing w:before="100" w:beforeAutospacing="1" w:after="100" w:afterAutospacing="1" w:line="240" w:lineRule="auto"/>
      <w:jc w:val="right"/>
      <w:textAlignment w:val="top"/>
    </w:pPr>
    <w:rPr>
      <w:rFonts w:ascii="Calibri" w:hAnsi="Calibri" w:cs="Calibri"/>
      <w:b/>
      <w:bCs/>
      <w:sz w:val="24"/>
      <w:szCs w:val="24"/>
      <w:lang w:eastAsia="en-NZ"/>
    </w:rPr>
  </w:style>
  <w:style w:type="paragraph" w:customStyle="1" w:styleId="xl380">
    <w:name w:val="xl380"/>
    <w:basedOn w:val="Normal"/>
    <w:rsid w:val="00D0773A"/>
    <w:pPr>
      <w:pBdr>
        <w:bottom w:val="single" w:sz="8" w:space="0" w:color="538DD5"/>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81">
    <w:name w:val="xl381"/>
    <w:basedOn w:val="Normal"/>
    <w:rsid w:val="00D0773A"/>
    <w:pPr>
      <w:pBdr>
        <w:bottom w:val="single" w:sz="8" w:space="0" w:color="538DD5"/>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82">
    <w:name w:val="xl382"/>
    <w:basedOn w:val="Normal"/>
    <w:rsid w:val="00D0773A"/>
    <w:pPr>
      <w:pBdr>
        <w:bottom w:val="single" w:sz="8" w:space="0" w:color="00B05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83">
    <w:name w:val="xl383"/>
    <w:basedOn w:val="Normal"/>
    <w:rsid w:val="00D0773A"/>
    <w:pPr>
      <w:pBdr>
        <w:bottom w:val="single" w:sz="8" w:space="0" w:color="00B05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84">
    <w:name w:val="xl384"/>
    <w:basedOn w:val="Normal"/>
    <w:rsid w:val="00D0773A"/>
    <w:pPr>
      <w:pBdr>
        <w:bottom w:val="single" w:sz="8" w:space="0" w:color="00B05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85">
    <w:name w:val="xl385"/>
    <w:basedOn w:val="Normal"/>
    <w:rsid w:val="00D0773A"/>
    <w:pPr>
      <w:pBdr>
        <w:bottom w:val="single" w:sz="8" w:space="0" w:color="00B05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86">
    <w:name w:val="xl386"/>
    <w:basedOn w:val="Normal"/>
    <w:rsid w:val="00D0773A"/>
    <w:pPr>
      <w:pBdr>
        <w:bottom w:val="single" w:sz="8" w:space="0" w:color="00B05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87">
    <w:name w:val="xl387"/>
    <w:basedOn w:val="Normal"/>
    <w:rsid w:val="00D0773A"/>
    <w:pP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88">
    <w:name w:val="xl388"/>
    <w:basedOn w:val="Normal"/>
    <w:rsid w:val="00D0773A"/>
    <w:pP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89">
    <w:name w:val="xl389"/>
    <w:basedOn w:val="Normal"/>
    <w:rsid w:val="00D0773A"/>
    <w:pP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90">
    <w:name w:val="xl390"/>
    <w:basedOn w:val="Normal"/>
    <w:rsid w:val="00D0773A"/>
    <w:pPr>
      <w:pBdr>
        <w:top w:val="single" w:sz="8" w:space="0" w:color="00B05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91">
    <w:name w:val="xl391"/>
    <w:basedOn w:val="Normal"/>
    <w:rsid w:val="00D0773A"/>
    <w:pPr>
      <w:pBdr>
        <w:bottom w:val="single" w:sz="8" w:space="0" w:color="00B05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92">
    <w:name w:val="xl392"/>
    <w:basedOn w:val="Normal"/>
    <w:rsid w:val="00D0773A"/>
    <w:pPr>
      <w:pBdr>
        <w:bottom w:val="single" w:sz="8" w:space="0" w:color="FF990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93">
    <w:name w:val="xl393"/>
    <w:basedOn w:val="Normal"/>
    <w:rsid w:val="00D0773A"/>
    <w:pPr>
      <w:pBdr>
        <w:bottom w:val="single" w:sz="8" w:space="0" w:color="FF990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94">
    <w:name w:val="xl394"/>
    <w:basedOn w:val="Normal"/>
    <w:rsid w:val="00D0773A"/>
    <w:pPr>
      <w:pBdr>
        <w:bottom w:val="single" w:sz="8" w:space="0" w:color="FF990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95">
    <w:name w:val="xl395"/>
    <w:basedOn w:val="Normal"/>
    <w:rsid w:val="00D0773A"/>
    <w:pPr>
      <w:pBdr>
        <w:bottom w:val="single" w:sz="8" w:space="0" w:color="FF990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96">
    <w:name w:val="xl396"/>
    <w:basedOn w:val="Normal"/>
    <w:rsid w:val="00D0773A"/>
    <w:pPr>
      <w:pBdr>
        <w:bottom w:val="single" w:sz="8" w:space="0" w:color="FF990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97">
    <w:name w:val="xl397"/>
    <w:basedOn w:val="Normal"/>
    <w:rsid w:val="00D0773A"/>
    <w:pPr>
      <w:pBdr>
        <w:bottom w:val="single" w:sz="8" w:space="0" w:color="FF3399"/>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98">
    <w:name w:val="xl398"/>
    <w:basedOn w:val="Normal"/>
    <w:rsid w:val="00D0773A"/>
    <w:pPr>
      <w:pBdr>
        <w:bottom w:val="single" w:sz="8" w:space="0" w:color="FF3399"/>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399">
    <w:name w:val="xl399"/>
    <w:basedOn w:val="Normal"/>
    <w:rsid w:val="00D0773A"/>
    <w:pP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00">
    <w:name w:val="xl400"/>
    <w:basedOn w:val="Normal"/>
    <w:rsid w:val="00D0773A"/>
    <w:pP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01">
    <w:name w:val="xl401"/>
    <w:basedOn w:val="Normal"/>
    <w:rsid w:val="00D0773A"/>
    <w:pPr>
      <w:pBdr>
        <w:top w:val="single" w:sz="8" w:space="0" w:color="FF3399"/>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02">
    <w:name w:val="xl402"/>
    <w:basedOn w:val="Normal"/>
    <w:rsid w:val="00D0773A"/>
    <w:pPr>
      <w:pBdr>
        <w:top w:val="single" w:sz="8" w:space="0" w:color="FF3399"/>
        <w:bottom w:val="single" w:sz="8" w:space="0" w:color="FF3399"/>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03">
    <w:name w:val="xl403"/>
    <w:basedOn w:val="Normal"/>
    <w:rsid w:val="00D0773A"/>
    <w:pPr>
      <w:pBdr>
        <w:bottom w:val="single" w:sz="8" w:space="0" w:color="00808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04">
    <w:name w:val="xl404"/>
    <w:basedOn w:val="Normal"/>
    <w:rsid w:val="00D0773A"/>
    <w:pPr>
      <w:pBdr>
        <w:bottom w:val="single" w:sz="8" w:space="0" w:color="00808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05">
    <w:name w:val="xl405"/>
    <w:basedOn w:val="Normal"/>
    <w:rsid w:val="00D0773A"/>
    <w:pPr>
      <w:pBdr>
        <w:bottom w:val="single" w:sz="8" w:space="0" w:color="00808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06">
    <w:name w:val="xl406"/>
    <w:basedOn w:val="Normal"/>
    <w:rsid w:val="00D0773A"/>
    <w:pPr>
      <w:pBdr>
        <w:bottom w:val="single" w:sz="8" w:space="0" w:color="00808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07">
    <w:name w:val="xl407"/>
    <w:basedOn w:val="Normal"/>
    <w:rsid w:val="00D0773A"/>
    <w:pPr>
      <w:pBdr>
        <w:bottom w:val="single" w:sz="8" w:space="0" w:color="00808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08">
    <w:name w:val="xl408"/>
    <w:basedOn w:val="Normal"/>
    <w:rsid w:val="00D0773A"/>
    <w:pPr>
      <w:pBdr>
        <w:bottom w:val="single" w:sz="8" w:space="0" w:color="00808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09">
    <w:name w:val="xl409"/>
    <w:basedOn w:val="Normal"/>
    <w:rsid w:val="00D0773A"/>
    <w:pPr>
      <w:shd w:val="clear" w:color="000000" w:fill="FABF8F"/>
      <w:spacing w:before="100" w:beforeAutospacing="1" w:after="100" w:afterAutospacing="1" w:line="240" w:lineRule="auto"/>
      <w:jc w:val="right"/>
      <w:textAlignment w:val="top"/>
    </w:pPr>
    <w:rPr>
      <w:rFonts w:ascii="Calibri" w:hAnsi="Calibri" w:cs="Calibri"/>
      <w:sz w:val="24"/>
      <w:szCs w:val="24"/>
      <w:lang w:eastAsia="en-NZ"/>
    </w:rPr>
  </w:style>
  <w:style w:type="paragraph" w:customStyle="1" w:styleId="xl410">
    <w:name w:val="xl410"/>
    <w:basedOn w:val="Normal"/>
    <w:rsid w:val="00D0773A"/>
    <w:pPr>
      <w:pBdr>
        <w:bottom w:val="single" w:sz="8" w:space="0" w:color="00B0F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11">
    <w:name w:val="xl411"/>
    <w:basedOn w:val="Normal"/>
    <w:rsid w:val="00D0773A"/>
    <w:pPr>
      <w:pBdr>
        <w:bottom w:val="single" w:sz="8" w:space="0" w:color="00B0F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12">
    <w:name w:val="xl412"/>
    <w:basedOn w:val="Normal"/>
    <w:rsid w:val="00D0773A"/>
    <w:pPr>
      <w:pBdr>
        <w:bottom w:val="single" w:sz="8" w:space="0" w:color="FF000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13">
    <w:name w:val="xl413"/>
    <w:basedOn w:val="Normal"/>
    <w:rsid w:val="00D0773A"/>
    <w:pPr>
      <w:pBdr>
        <w:bottom w:val="single" w:sz="8" w:space="0" w:color="FF000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14">
    <w:name w:val="xl414"/>
    <w:basedOn w:val="Normal"/>
    <w:rsid w:val="00D0773A"/>
    <w:pPr>
      <w:pBdr>
        <w:bottom w:val="single" w:sz="8" w:space="0" w:color="FF000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15">
    <w:name w:val="xl415"/>
    <w:basedOn w:val="Normal"/>
    <w:rsid w:val="00D0773A"/>
    <w:pP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16">
    <w:name w:val="xl416"/>
    <w:basedOn w:val="Normal"/>
    <w:rsid w:val="00D0773A"/>
    <w:pPr>
      <w:pBdr>
        <w:bottom w:val="single" w:sz="8" w:space="0" w:color="FF000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17">
    <w:name w:val="xl417"/>
    <w:basedOn w:val="Normal"/>
    <w:rsid w:val="00D0773A"/>
    <w:pP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18">
    <w:name w:val="xl418"/>
    <w:basedOn w:val="Normal"/>
    <w:rsid w:val="00D0773A"/>
    <w:pPr>
      <w:shd w:val="clear" w:color="000000" w:fill="FABF8F"/>
      <w:spacing w:before="100" w:beforeAutospacing="1" w:after="100" w:afterAutospacing="1" w:line="240" w:lineRule="auto"/>
      <w:textAlignment w:val="top"/>
    </w:pPr>
    <w:rPr>
      <w:rFonts w:ascii="Calibri" w:hAnsi="Calibri" w:cs="Calibri"/>
      <w:sz w:val="24"/>
      <w:szCs w:val="24"/>
      <w:lang w:eastAsia="en-NZ"/>
    </w:rPr>
  </w:style>
  <w:style w:type="paragraph" w:customStyle="1" w:styleId="xl419">
    <w:name w:val="xl419"/>
    <w:basedOn w:val="Normal"/>
    <w:rsid w:val="00D0773A"/>
    <w:pPr>
      <w:pBdr>
        <w:left w:val="single" w:sz="4" w:space="0" w:color="808080"/>
        <w:bottom w:val="single" w:sz="4" w:space="0" w:color="808080"/>
        <w:right w:val="single" w:sz="4" w:space="0" w:color="808080"/>
      </w:pBdr>
      <w:shd w:val="clear" w:color="000000" w:fill="FABF8F"/>
      <w:spacing w:before="100" w:beforeAutospacing="1" w:after="100" w:afterAutospacing="1" w:line="240" w:lineRule="auto"/>
      <w:textAlignment w:val="top"/>
    </w:pPr>
    <w:rPr>
      <w:rFonts w:ascii="Calibri" w:hAnsi="Calibri" w:cs="Calibri"/>
      <w:b/>
      <w:bCs/>
      <w:sz w:val="24"/>
      <w:szCs w:val="24"/>
      <w:lang w:eastAsia="en-NZ"/>
    </w:rPr>
  </w:style>
  <w:style w:type="paragraph" w:customStyle="1" w:styleId="xl420">
    <w:name w:val="xl420"/>
    <w:basedOn w:val="Normal"/>
    <w:rsid w:val="00D0773A"/>
    <w:pPr>
      <w:pBdr>
        <w:bottom w:val="single" w:sz="8" w:space="0" w:color="00B05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21">
    <w:name w:val="xl421"/>
    <w:basedOn w:val="Normal"/>
    <w:rsid w:val="00D0773A"/>
    <w:pPr>
      <w:pBdr>
        <w:bottom w:val="single" w:sz="8" w:space="0" w:color="FF000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22">
    <w:name w:val="xl422"/>
    <w:basedOn w:val="Normal"/>
    <w:rsid w:val="00D0773A"/>
    <w:pPr>
      <w:pBdr>
        <w:bottom w:val="single" w:sz="8" w:space="0" w:color="FF9900"/>
      </w:pBdr>
      <w:shd w:val="clear" w:color="000000" w:fill="FFFF0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23">
    <w:name w:val="xl423"/>
    <w:basedOn w:val="Normal"/>
    <w:rsid w:val="00D0773A"/>
    <w:pPr>
      <w:shd w:val="clear" w:color="000000" w:fill="FABF8F"/>
      <w:spacing w:before="100" w:beforeAutospacing="1" w:after="100" w:afterAutospacing="1" w:line="240" w:lineRule="auto"/>
      <w:jc w:val="right"/>
      <w:textAlignment w:val="top"/>
    </w:pPr>
    <w:rPr>
      <w:rFonts w:ascii="Calibri" w:hAnsi="Calibri" w:cs="Calibri"/>
      <w:sz w:val="24"/>
      <w:szCs w:val="24"/>
      <w:lang w:eastAsia="en-NZ"/>
    </w:rPr>
  </w:style>
  <w:style w:type="paragraph" w:customStyle="1" w:styleId="xl424">
    <w:name w:val="xl424"/>
    <w:basedOn w:val="Normal"/>
    <w:rsid w:val="00D0773A"/>
    <w:pPr>
      <w:pBdr>
        <w:bottom w:val="single" w:sz="8" w:space="0" w:color="FF990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25">
    <w:name w:val="xl425"/>
    <w:basedOn w:val="Normal"/>
    <w:rsid w:val="00D0773A"/>
    <w:pPr>
      <w:pBdr>
        <w:bottom w:val="single" w:sz="8" w:space="0" w:color="538DD5"/>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26">
    <w:name w:val="xl426"/>
    <w:basedOn w:val="Normal"/>
    <w:rsid w:val="00D0773A"/>
    <w:pPr>
      <w:pBdr>
        <w:top w:val="single" w:sz="8" w:space="0" w:color="00B050"/>
        <w:left w:val="single" w:sz="8" w:space="0" w:color="00B050"/>
        <w:bottom w:val="single" w:sz="8" w:space="0" w:color="00B05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27">
    <w:name w:val="xl427"/>
    <w:basedOn w:val="Normal"/>
    <w:rsid w:val="00D0773A"/>
    <w:pPr>
      <w:pBdr>
        <w:bottom w:val="single" w:sz="8" w:space="0" w:color="00B05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28">
    <w:name w:val="xl428"/>
    <w:basedOn w:val="Normal"/>
    <w:rsid w:val="00D0773A"/>
    <w:pPr>
      <w:pBdr>
        <w:top w:val="single" w:sz="8" w:space="0" w:color="00B050"/>
        <w:left w:val="single" w:sz="8" w:space="0" w:color="00B050"/>
        <w:bottom w:val="single" w:sz="8" w:space="0" w:color="00B05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29">
    <w:name w:val="xl429"/>
    <w:basedOn w:val="Normal"/>
    <w:rsid w:val="00D0773A"/>
    <w:pPr>
      <w:pBdr>
        <w:bottom w:val="single" w:sz="8" w:space="0" w:color="FF3399"/>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30">
    <w:name w:val="xl430"/>
    <w:basedOn w:val="Normal"/>
    <w:rsid w:val="00D0773A"/>
    <w:pPr>
      <w:pBdr>
        <w:top w:val="single" w:sz="8" w:space="0" w:color="FF3399"/>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31">
    <w:name w:val="xl431"/>
    <w:basedOn w:val="Normal"/>
    <w:rsid w:val="00D0773A"/>
    <w:pPr>
      <w:pBdr>
        <w:bottom w:val="single" w:sz="8" w:space="0" w:color="00B0F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32">
    <w:name w:val="xl432"/>
    <w:basedOn w:val="Normal"/>
    <w:rsid w:val="00D0773A"/>
    <w:pPr>
      <w:pBdr>
        <w:bottom w:val="single" w:sz="8" w:space="0" w:color="00B050"/>
      </w:pBdr>
      <w:shd w:val="clear" w:color="000000" w:fill="D9D9D9"/>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33">
    <w:name w:val="xl433"/>
    <w:basedOn w:val="Normal"/>
    <w:rsid w:val="00D0773A"/>
    <w:pPr>
      <w:pBdr>
        <w:bottom w:val="single" w:sz="8" w:space="0" w:color="00B050"/>
      </w:pBdr>
      <w:shd w:val="clear" w:color="000000" w:fill="D9D9D9"/>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34">
    <w:name w:val="xl434"/>
    <w:basedOn w:val="Normal"/>
    <w:rsid w:val="00D0773A"/>
    <w:pPr>
      <w:shd w:val="clear" w:color="000000" w:fill="D9D9D9"/>
      <w:spacing w:before="100" w:beforeAutospacing="1" w:after="100" w:afterAutospacing="1" w:line="240" w:lineRule="auto"/>
      <w:jc w:val="right"/>
      <w:textAlignment w:val="top"/>
    </w:pPr>
    <w:rPr>
      <w:rFonts w:ascii="Calibri" w:hAnsi="Calibri" w:cs="Calibri"/>
      <w:sz w:val="24"/>
      <w:szCs w:val="24"/>
      <w:lang w:eastAsia="en-NZ"/>
    </w:rPr>
  </w:style>
  <w:style w:type="paragraph" w:customStyle="1" w:styleId="xl435">
    <w:name w:val="xl435"/>
    <w:basedOn w:val="Normal"/>
    <w:rsid w:val="00D0773A"/>
    <w:pPr>
      <w:pBdr>
        <w:bottom w:val="single" w:sz="8" w:space="0" w:color="008080"/>
      </w:pBdr>
      <w:shd w:val="clear" w:color="000000" w:fill="FABF8F"/>
      <w:spacing w:before="100" w:beforeAutospacing="1" w:after="100" w:afterAutospacing="1" w:line="240" w:lineRule="auto"/>
      <w:jc w:val="right"/>
      <w:textAlignment w:val="top"/>
    </w:pPr>
    <w:rPr>
      <w:rFonts w:ascii="Calibri" w:hAnsi="Calibri" w:cs="Calibri"/>
      <w:i/>
      <w:iCs/>
      <w:color w:val="000000"/>
      <w:sz w:val="24"/>
      <w:szCs w:val="24"/>
      <w:lang w:eastAsia="en-NZ"/>
    </w:rPr>
  </w:style>
  <w:style w:type="paragraph" w:customStyle="1" w:styleId="xl436">
    <w:name w:val="xl436"/>
    <w:basedOn w:val="Normal"/>
    <w:rsid w:val="00D0773A"/>
    <w:pPr>
      <w:pBdr>
        <w:bottom w:val="single" w:sz="8" w:space="0" w:color="008080"/>
        <w:right w:val="single" w:sz="8" w:space="0" w:color="008080"/>
      </w:pBdr>
      <w:spacing w:before="100" w:beforeAutospacing="1" w:after="100" w:afterAutospacing="1" w:line="240" w:lineRule="auto"/>
      <w:textAlignment w:val="top"/>
    </w:pPr>
    <w:rPr>
      <w:rFonts w:ascii="Calibri" w:hAnsi="Calibri" w:cs="Calibri"/>
      <w:i/>
      <w:iCs/>
      <w:color w:val="000000"/>
      <w:sz w:val="24"/>
      <w:szCs w:val="24"/>
      <w:lang w:eastAsia="en-NZ"/>
    </w:rPr>
  </w:style>
  <w:style w:type="paragraph" w:customStyle="1" w:styleId="xl437">
    <w:name w:val="xl437"/>
    <w:basedOn w:val="Normal"/>
    <w:rsid w:val="00D0773A"/>
    <w:pPr>
      <w:pBdr>
        <w:bottom w:val="single" w:sz="8" w:space="0" w:color="008080"/>
      </w:pBdr>
      <w:shd w:val="clear" w:color="000000" w:fill="FFFF00"/>
      <w:spacing w:before="100" w:beforeAutospacing="1" w:after="100" w:afterAutospacing="1" w:line="240" w:lineRule="auto"/>
      <w:jc w:val="right"/>
      <w:textAlignment w:val="top"/>
    </w:pPr>
    <w:rPr>
      <w:rFonts w:ascii="Calibri" w:hAnsi="Calibri" w:cs="Calibri"/>
      <w:i/>
      <w:iCs/>
      <w:color w:val="000000"/>
      <w:sz w:val="24"/>
      <w:szCs w:val="24"/>
      <w:lang w:eastAsia="en-NZ"/>
    </w:rPr>
  </w:style>
  <w:style w:type="paragraph" w:customStyle="1" w:styleId="xl438">
    <w:name w:val="xl438"/>
    <w:basedOn w:val="Normal"/>
    <w:rsid w:val="00D0773A"/>
    <w:pPr>
      <w:pBdr>
        <w:bottom w:val="single" w:sz="8" w:space="0" w:color="008080"/>
      </w:pBdr>
      <w:shd w:val="clear" w:color="000000" w:fill="FFFF00"/>
      <w:spacing w:before="100" w:beforeAutospacing="1" w:after="100" w:afterAutospacing="1" w:line="240" w:lineRule="auto"/>
      <w:jc w:val="right"/>
      <w:textAlignment w:val="top"/>
    </w:pPr>
    <w:rPr>
      <w:rFonts w:ascii="Calibri" w:hAnsi="Calibri" w:cs="Calibri"/>
      <w:i/>
      <w:iCs/>
      <w:color w:val="000000"/>
      <w:sz w:val="24"/>
      <w:szCs w:val="24"/>
      <w:lang w:eastAsia="en-NZ"/>
    </w:rPr>
  </w:style>
  <w:style w:type="paragraph" w:customStyle="1" w:styleId="xl439">
    <w:name w:val="xl439"/>
    <w:basedOn w:val="Normal"/>
    <w:rsid w:val="00D0773A"/>
    <w:pPr>
      <w:pBdr>
        <w:top w:val="single" w:sz="8" w:space="0" w:color="008080"/>
        <w:left w:val="single" w:sz="8" w:space="0" w:color="008080"/>
        <w:bottom w:val="single" w:sz="8" w:space="0" w:color="008080"/>
      </w:pBdr>
      <w:shd w:val="clear" w:color="000000" w:fill="FFFF00"/>
      <w:spacing w:before="100" w:beforeAutospacing="1" w:after="100" w:afterAutospacing="1" w:line="240" w:lineRule="auto"/>
      <w:jc w:val="right"/>
      <w:textAlignment w:val="top"/>
    </w:pPr>
    <w:rPr>
      <w:rFonts w:ascii="Calibri" w:hAnsi="Calibri" w:cs="Calibri"/>
      <w:i/>
      <w:iCs/>
      <w:color w:val="000000"/>
      <w:sz w:val="24"/>
      <w:szCs w:val="24"/>
      <w:lang w:eastAsia="en-NZ"/>
    </w:rPr>
  </w:style>
  <w:style w:type="paragraph" w:customStyle="1" w:styleId="xl440">
    <w:name w:val="xl440"/>
    <w:basedOn w:val="Normal"/>
    <w:rsid w:val="00D0773A"/>
    <w:pPr>
      <w:pBdr>
        <w:bottom w:val="single" w:sz="8" w:space="0" w:color="FF9900"/>
      </w:pBdr>
      <w:shd w:val="clear" w:color="000000" w:fill="FFFF00"/>
      <w:spacing w:before="100" w:beforeAutospacing="1" w:after="100" w:afterAutospacing="1" w:line="240" w:lineRule="auto"/>
      <w:jc w:val="right"/>
      <w:textAlignment w:val="top"/>
    </w:pPr>
    <w:rPr>
      <w:rFonts w:ascii="Calibri" w:hAnsi="Calibri" w:cs="Calibri"/>
      <w:i/>
      <w:iCs/>
      <w:color w:val="000000"/>
      <w:sz w:val="24"/>
      <w:szCs w:val="24"/>
      <w:lang w:eastAsia="en-NZ"/>
    </w:rPr>
  </w:style>
  <w:style w:type="paragraph" w:customStyle="1" w:styleId="xl441">
    <w:name w:val="xl441"/>
    <w:basedOn w:val="Normal"/>
    <w:rsid w:val="00D0773A"/>
    <w:pPr>
      <w:shd w:val="clear" w:color="000000" w:fill="FFFF0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42">
    <w:name w:val="xl442"/>
    <w:basedOn w:val="Normal"/>
    <w:rsid w:val="00D0773A"/>
    <w:pPr>
      <w:shd w:val="clear" w:color="000000" w:fill="FFFF0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43">
    <w:name w:val="xl443"/>
    <w:basedOn w:val="Normal"/>
    <w:rsid w:val="00D0773A"/>
    <w:pPr>
      <w:pBdr>
        <w:bottom w:val="single" w:sz="8" w:space="0" w:color="00B050"/>
        <w:right w:val="single" w:sz="8" w:space="0" w:color="00B050"/>
      </w:pBdr>
      <w:shd w:val="clear" w:color="000000" w:fill="DAEEF3"/>
      <w:spacing w:before="100" w:beforeAutospacing="1" w:after="100" w:afterAutospacing="1" w:line="240" w:lineRule="auto"/>
      <w:textAlignment w:val="top"/>
    </w:pPr>
    <w:rPr>
      <w:rFonts w:ascii="Calibri" w:hAnsi="Calibri" w:cs="Calibri"/>
      <w:color w:val="000000"/>
      <w:sz w:val="24"/>
      <w:szCs w:val="24"/>
      <w:lang w:eastAsia="en-NZ"/>
    </w:rPr>
  </w:style>
  <w:style w:type="paragraph" w:customStyle="1" w:styleId="xl444">
    <w:name w:val="xl444"/>
    <w:basedOn w:val="Normal"/>
    <w:rsid w:val="00D0773A"/>
    <w:pPr>
      <w:pBdr>
        <w:bottom w:val="single" w:sz="8" w:space="0" w:color="00B050"/>
        <w:right w:val="single" w:sz="8" w:space="0" w:color="00B050"/>
      </w:pBdr>
      <w:shd w:val="clear" w:color="000000" w:fill="DAEEF3"/>
      <w:spacing w:before="100" w:beforeAutospacing="1" w:after="100" w:afterAutospacing="1" w:line="240" w:lineRule="auto"/>
      <w:ind w:firstLineChars="100" w:firstLine="100"/>
      <w:textAlignment w:val="top"/>
    </w:pPr>
    <w:rPr>
      <w:rFonts w:ascii="Calibri" w:hAnsi="Calibri" w:cs="Calibri"/>
      <w:color w:val="000000"/>
      <w:sz w:val="24"/>
      <w:szCs w:val="24"/>
      <w:lang w:eastAsia="en-NZ"/>
    </w:rPr>
  </w:style>
  <w:style w:type="paragraph" w:customStyle="1" w:styleId="xl445">
    <w:name w:val="xl445"/>
    <w:basedOn w:val="Normal"/>
    <w:rsid w:val="00D0773A"/>
    <w:pPr>
      <w:pBdr>
        <w:top w:val="single" w:sz="8" w:space="0" w:color="FF0000"/>
        <w:bottom w:val="single" w:sz="8" w:space="0" w:color="FF000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46">
    <w:name w:val="xl446"/>
    <w:basedOn w:val="Normal"/>
    <w:rsid w:val="00D0773A"/>
    <w:pPr>
      <w:pBdr>
        <w:top w:val="single" w:sz="8" w:space="0" w:color="FF0000"/>
        <w:bottom w:val="single" w:sz="8" w:space="0" w:color="FF000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47">
    <w:name w:val="xl447"/>
    <w:basedOn w:val="Normal"/>
    <w:rsid w:val="00D0773A"/>
    <w:pPr>
      <w:pBdr>
        <w:bottom w:val="single" w:sz="8" w:space="0" w:color="008080"/>
        <w:right w:val="single" w:sz="8" w:space="0" w:color="008080"/>
      </w:pBdr>
      <w:shd w:val="clear" w:color="000000" w:fill="DAEEF3"/>
      <w:spacing w:before="100" w:beforeAutospacing="1" w:after="100" w:afterAutospacing="1" w:line="240" w:lineRule="auto"/>
      <w:textAlignment w:val="top"/>
    </w:pPr>
    <w:rPr>
      <w:rFonts w:ascii="Calibri" w:hAnsi="Calibri" w:cs="Calibri"/>
      <w:color w:val="000000"/>
      <w:sz w:val="24"/>
      <w:szCs w:val="24"/>
      <w:lang w:eastAsia="en-NZ"/>
    </w:rPr>
  </w:style>
  <w:style w:type="paragraph" w:customStyle="1" w:styleId="xl448">
    <w:name w:val="xl448"/>
    <w:basedOn w:val="Normal"/>
    <w:rsid w:val="00D0773A"/>
    <w:pPr>
      <w:pBdr>
        <w:bottom w:val="single" w:sz="8" w:space="0" w:color="FF0000"/>
        <w:right w:val="single" w:sz="8" w:space="0" w:color="FF0000"/>
      </w:pBdr>
      <w:spacing w:before="100" w:beforeAutospacing="1" w:after="100" w:afterAutospacing="1" w:line="240" w:lineRule="auto"/>
      <w:textAlignment w:val="top"/>
    </w:pPr>
    <w:rPr>
      <w:rFonts w:ascii="Calibri" w:hAnsi="Calibri" w:cs="Calibri"/>
      <w:color w:val="000000"/>
      <w:sz w:val="24"/>
      <w:szCs w:val="24"/>
      <w:lang w:eastAsia="en-NZ"/>
    </w:rPr>
  </w:style>
  <w:style w:type="paragraph" w:customStyle="1" w:styleId="xl449">
    <w:name w:val="xl449"/>
    <w:basedOn w:val="Normal"/>
    <w:rsid w:val="00D0773A"/>
    <w:pPr>
      <w:pBdr>
        <w:bottom w:val="single" w:sz="8" w:space="0" w:color="008080"/>
        <w:right w:val="single" w:sz="8" w:space="0" w:color="008080"/>
      </w:pBdr>
      <w:spacing w:before="100" w:beforeAutospacing="1" w:after="100" w:afterAutospacing="1" w:line="240" w:lineRule="auto"/>
      <w:textAlignment w:val="top"/>
    </w:pPr>
    <w:rPr>
      <w:rFonts w:ascii="Calibri" w:hAnsi="Calibri" w:cs="Calibri"/>
      <w:color w:val="000000"/>
      <w:sz w:val="24"/>
      <w:szCs w:val="24"/>
      <w:lang w:eastAsia="en-NZ"/>
    </w:rPr>
  </w:style>
  <w:style w:type="paragraph" w:customStyle="1" w:styleId="xl450">
    <w:name w:val="xl450"/>
    <w:basedOn w:val="Normal"/>
    <w:rsid w:val="00D0773A"/>
    <w:pPr>
      <w:spacing w:before="100" w:beforeAutospacing="1" w:after="100" w:afterAutospacing="1" w:line="240" w:lineRule="auto"/>
      <w:textAlignment w:val="top"/>
    </w:pPr>
    <w:rPr>
      <w:rFonts w:ascii="Calibri" w:hAnsi="Calibri" w:cs="Calibri"/>
      <w:color w:val="000000"/>
      <w:sz w:val="24"/>
      <w:szCs w:val="24"/>
      <w:lang w:eastAsia="en-NZ"/>
    </w:rPr>
  </w:style>
  <w:style w:type="paragraph" w:customStyle="1" w:styleId="xl451">
    <w:name w:val="xl451"/>
    <w:basedOn w:val="Normal"/>
    <w:rsid w:val="00D0773A"/>
    <w:pPr>
      <w:pBdr>
        <w:top w:val="single" w:sz="8" w:space="0" w:color="FF3399"/>
        <w:right w:val="single" w:sz="8" w:space="0" w:color="FF3399"/>
      </w:pBdr>
      <w:spacing w:before="100" w:beforeAutospacing="1" w:after="100" w:afterAutospacing="1" w:line="240" w:lineRule="auto"/>
      <w:textAlignment w:val="top"/>
    </w:pPr>
    <w:rPr>
      <w:rFonts w:ascii="Calibri" w:hAnsi="Calibri" w:cs="Calibri"/>
      <w:color w:val="000000"/>
      <w:sz w:val="24"/>
      <w:szCs w:val="24"/>
      <w:lang w:eastAsia="en-NZ"/>
    </w:rPr>
  </w:style>
  <w:style w:type="paragraph" w:customStyle="1" w:styleId="xl452">
    <w:name w:val="xl452"/>
    <w:basedOn w:val="Normal"/>
    <w:rsid w:val="00D0773A"/>
    <w:pPr>
      <w:pBdr>
        <w:bottom w:val="single" w:sz="4" w:space="0" w:color="808080"/>
        <w:right w:val="single" w:sz="4" w:space="0" w:color="808080"/>
      </w:pBdr>
      <w:shd w:val="clear" w:color="000000" w:fill="FABF8F"/>
      <w:spacing w:before="100" w:beforeAutospacing="1" w:after="100" w:afterAutospacing="1" w:line="240" w:lineRule="auto"/>
      <w:jc w:val="right"/>
      <w:textAlignment w:val="top"/>
    </w:pPr>
    <w:rPr>
      <w:rFonts w:ascii="Calibri" w:hAnsi="Calibri" w:cs="Calibri"/>
      <w:b/>
      <w:bCs/>
      <w:sz w:val="24"/>
      <w:szCs w:val="24"/>
      <w:lang w:eastAsia="en-NZ"/>
    </w:rPr>
  </w:style>
  <w:style w:type="paragraph" w:customStyle="1" w:styleId="xl453">
    <w:name w:val="xl453"/>
    <w:basedOn w:val="Normal"/>
    <w:rsid w:val="00D0773A"/>
    <w:pPr>
      <w:pBdr>
        <w:right w:val="single" w:sz="12" w:space="0" w:color="auto"/>
      </w:pBdr>
      <w:spacing w:before="100" w:beforeAutospacing="1" w:after="100" w:afterAutospacing="1" w:line="240" w:lineRule="auto"/>
      <w:textAlignment w:val="top"/>
    </w:pPr>
    <w:rPr>
      <w:rFonts w:ascii="Calibri" w:hAnsi="Calibri" w:cs="Calibri"/>
      <w:sz w:val="24"/>
      <w:szCs w:val="24"/>
      <w:lang w:eastAsia="en-NZ"/>
    </w:rPr>
  </w:style>
  <w:style w:type="paragraph" w:customStyle="1" w:styleId="xl454">
    <w:name w:val="xl454"/>
    <w:basedOn w:val="Normal"/>
    <w:rsid w:val="00D0773A"/>
    <w:pPr>
      <w:pBdr>
        <w:right w:val="single" w:sz="12" w:space="0" w:color="auto"/>
      </w:pBdr>
      <w:spacing w:before="100" w:beforeAutospacing="1" w:after="100" w:afterAutospacing="1" w:line="240" w:lineRule="auto"/>
      <w:textAlignment w:val="top"/>
    </w:pPr>
    <w:rPr>
      <w:rFonts w:ascii="Calibri" w:hAnsi="Calibri" w:cs="Calibri"/>
      <w:sz w:val="24"/>
      <w:szCs w:val="24"/>
      <w:lang w:eastAsia="en-NZ"/>
    </w:rPr>
  </w:style>
  <w:style w:type="paragraph" w:customStyle="1" w:styleId="xl455">
    <w:name w:val="xl455"/>
    <w:basedOn w:val="Normal"/>
    <w:rsid w:val="00D0773A"/>
    <w:pPr>
      <w:pBdr>
        <w:right w:val="single" w:sz="12" w:space="0" w:color="auto"/>
      </w:pBdr>
      <w:spacing w:before="100" w:beforeAutospacing="1" w:after="100" w:afterAutospacing="1" w:line="240" w:lineRule="auto"/>
      <w:textAlignment w:val="top"/>
    </w:pPr>
    <w:rPr>
      <w:rFonts w:ascii="Calibri" w:hAnsi="Calibri" w:cs="Calibri"/>
      <w:sz w:val="24"/>
      <w:szCs w:val="24"/>
      <w:lang w:eastAsia="en-NZ"/>
    </w:rPr>
  </w:style>
  <w:style w:type="paragraph" w:customStyle="1" w:styleId="xl456">
    <w:name w:val="xl456"/>
    <w:basedOn w:val="Normal"/>
    <w:rsid w:val="00D0773A"/>
    <w:pPr>
      <w:pBdr>
        <w:right w:val="single" w:sz="12" w:space="0" w:color="auto"/>
      </w:pBdr>
      <w:spacing w:before="100" w:beforeAutospacing="1" w:after="100" w:afterAutospacing="1" w:line="240" w:lineRule="auto"/>
    </w:pPr>
    <w:rPr>
      <w:rFonts w:ascii="Calibri" w:hAnsi="Calibri" w:cs="Calibri"/>
      <w:sz w:val="24"/>
      <w:szCs w:val="24"/>
      <w:lang w:eastAsia="en-NZ"/>
    </w:rPr>
  </w:style>
  <w:style w:type="paragraph" w:customStyle="1" w:styleId="xl457">
    <w:name w:val="xl457"/>
    <w:basedOn w:val="Normal"/>
    <w:rsid w:val="00D0773A"/>
    <w:pPr>
      <w:pBdr>
        <w:right w:val="single" w:sz="12" w:space="0" w:color="auto"/>
      </w:pBdr>
      <w:shd w:val="clear" w:color="000000" w:fill="D9D9D9"/>
      <w:spacing w:before="100" w:beforeAutospacing="1" w:after="100" w:afterAutospacing="1" w:line="240" w:lineRule="auto"/>
      <w:textAlignment w:val="top"/>
    </w:pPr>
    <w:rPr>
      <w:rFonts w:ascii="Calibri" w:hAnsi="Calibri" w:cs="Calibri"/>
      <w:sz w:val="24"/>
      <w:szCs w:val="24"/>
      <w:lang w:eastAsia="en-NZ"/>
    </w:rPr>
  </w:style>
  <w:style w:type="paragraph" w:customStyle="1" w:styleId="xl458">
    <w:name w:val="xl458"/>
    <w:basedOn w:val="Normal"/>
    <w:rsid w:val="00D0773A"/>
    <w:pPr>
      <w:pBdr>
        <w:right w:val="single" w:sz="12" w:space="0" w:color="auto"/>
      </w:pBdr>
      <w:shd w:val="clear" w:color="000000" w:fill="D9D9D9"/>
      <w:spacing w:before="100" w:beforeAutospacing="1" w:after="100" w:afterAutospacing="1" w:line="240" w:lineRule="auto"/>
      <w:textAlignment w:val="top"/>
    </w:pPr>
    <w:rPr>
      <w:rFonts w:ascii="Calibri" w:hAnsi="Calibri" w:cs="Calibri"/>
      <w:sz w:val="24"/>
      <w:szCs w:val="24"/>
      <w:lang w:eastAsia="en-NZ"/>
    </w:rPr>
  </w:style>
  <w:style w:type="paragraph" w:customStyle="1" w:styleId="xl459">
    <w:name w:val="xl459"/>
    <w:basedOn w:val="Normal"/>
    <w:rsid w:val="00D0773A"/>
    <w:pPr>
      <w:pBdr>
        <w:right w:val="single" w:sz="12" w:space="0" w:color="auto"/>
      </w:pBdr>
      <w:spacing w:before="100" w:beforeAutospacing="1" w:after="100" w:afterAutospacing="1" w:line="240" w:lineRule="auto"/>
      <w:textAlignment w:val="center"/>
    </w:pPr>
    <w:rPr>
      <w:rFonts w:ascii="Calibri" w:hAnsi="Calibri" w:cs="Calibri"/>
      <w:sz w:val="24"/>
      <w:szCs w:val="24"/>
      <w:lang w:eastAsia="en-NZ"/>
    </w:rPr>
  </w:style>
  <w:style w:type="paragraph" w:customStyle="1" w:styleId="xl460">
    <w:name w:val="xl460"/>
    <w:basedOn w:val="Normal"/>
    <w:rsid w:val="00D0773A"/>
    <w:pPr>
      <w:pBdr>
        <w:right w:val="single" w:sz="12" w:space="0" w:color="auto"/>
      </w:pBdr>
      <w:spacing w:before="100" w:beforeAutospacing="1" w:after="100" w:afterAutospacing="1" w:line="240" w:lineRule="auto"/>
      <w:ind w:firstLineChars="400" w:firstLine="400"/>
      <w:textAlignment w:val="center"/>
    </w:pPr>
    <w:rPr>
      <w:rFonts w:ascii="Symbol" w:hAnsi="Symbol"/>
      <w:sz w:val="24"/>
      <w:szCs w:val="24"/>
      <w:lang w:eastAsia="en-NZ"/>
    </w:rPr>
  </w:style>
  <w:style w:type="paragraph" w:customStyle="1" w:styleId="xl461">
    <w:name w:val="xl461"/>
    <w:basedOn w:val="Normal"/>
    <w:rsid w:val="00D0773A"/>
    <w:pPr>
      <w:pBdr>
        <w:left w:val="single" w:sz="4" w:space="0" w:color="auto"/>
        <w:bottom w:val="single" w:sz="4" w:space="0" w:color="808080"/>
        <w:right w:val="single" w:sz="12" w:space="0" w:color="auto"/>
      </w:pBdr>
      <w:spacing w:before="100" w:beforeAutospacing="1" w:after="100" w:afterAutospacing="1" w:line="240" w:lineRule="auto"/>
      <w:textAlignment w:val="top"/>
    </w:pPr>
    <w:rPr>
      <w:rFonts w:ascii="Calibri" w:hAnsi="Calibri" w:cs="Calibri"/>
      <w:b/>
      <w:bCs/>
      <w:sz w:val="24"/>
      <w:szCs w:val="24"/>
      <w:lang w:eastAsia="en-NZ"/>
    </w:rPr>
  </w:style>
  <w:style w:type="paragraph" w:customStyle="1" w:styleId="xl462">
    <w:name w:val="xl462"/>
    <w:basedOn w:val="Normal"/>
    <w:rsid w:val="00D0773A"/>
    <w:pPr>
      <w:pBdr>
        <w:left w:val="single" w:sz="4" w:space="0" w:color="808080"/>
        <w:bottom w:val="single" w:sz="4" w:space="0" w:color="808080"/>
        <w:right w:val="single" w:sz="12" w:space="0" w:color="auto"/>
      </w:pBdr>
      <w:spacing w:before="100" w:beforeAutospacing="1" w:after="100" w:afterAutospacing="1" w:line="240" w:lineRule="auto"/>
      <w:textAlignment w:val="top"/>
    </w:pPr>
    <w:rPr>
      <w:rFonts w:ascii="Calibri" w:hAnsi="Calibri" w:cs="Calibri"/>
      <w:b/>
      <w:bCs/>
      <w:sz w:val="24"/>
      <w:szCs w:val="24"/>
      <w:lang w:eastAsia="en-NZ"/>
    </w:rPr>
  </w:style>
  <w:style w:type="paragraph" w:customStyle="1" w:styleId="xl463">
    <w:name w:val="xl463"/>
    <w:basedOn w:val="Normal"/>
    <w:rsid w:val="00D0773A"/>
    <w:pPr>
      <w:pBdr>
        <w:left w:val="single" w:sz="4" w:space="0" w:color="808080"/>
        <w:bottom w:val="single" w:sz="4" w:space="0" w:color="808080"/>
      </w:pBdr>
      <w:spacing w:before="100" w:beforeAutospacing="1" w:after="100" w:afterAutospacing="1" w:line="240" w:lineRule="auto"/>
      <w:textAlignment w:val="top"/>
    </w:pPr>
    <w:rPr>
      <w:rFonts w:ascii="Calibri" w:hAnsi="Calibri" w:cs="Calibri"/>
      <w:b/>
      <w:bCs/>
      <w:sz w:val="24"/>
      <w:szCs w:val="24"/>
      <w:lang w:eastAsia="en-NZ"/>
    </w:rPr>
  </w:style>
  <w:style w:type="paragraph" w:customStyle="1" w:styleId="xl464">
    <w:name w:val="xl464"/>
    <w:basedOn w:val="Normal"/>
    <w:rsid w:val="00D0773A"/>
    <w:pPr>
      <w:pBdr>
        <w:left w:val="single" w:sz="12" w:space="0" w:color="auto"/>
        <w:bottom w:val="single" w:sz="4" w:space="0" w:color="808080"/>
        <w:right w:val="single" w:sz="4" w:space="0" w:color="808080"/>
      </w:pBdr>
      <w:shd w:val="clear" w:color="000000" w:fill="FABF8F"/>
      <w:spacing w:before="100" w:beforeAutospacing="1" w:after="100" w:afterAutospacing="1" w:line="240" w:lineRule="auto"/>
      <w:jc w:val="right"/>
      <w:textAlignment w:val="top"/>
    </w:pPr>
    <w:rPr>
      <w:rFonts w:ascii="Calibri" w:hAnsi="Calibri" w:cs="Calibri"/>
      <w:b/>
      <w:bCs/>
      <w:sz w:val="24"/>
      <w:szCs w:val="24"/>
      <w:lang w:eastAsia="en-NZ"/>
    </w:rPr>
  </w:style>
  <w:style w:type="paragraph" w:customStyle="1" w:styleId="xl465">
    <w:name w:val="xl465"/>
    <w:basedOn w:val="Normal"/>
    <w:rsid w:val="00D0773A"/>
    <w:pPr>
      <w:pBdr>
        <w:left w:val="single" w:sz="12" w:space="0" w:color="auto"/>
      </w:pBdr>
      <w:spacing w:before="100" w:beforeAutospacing="1" w:after="100" w:afterAutospacing="1" w:line="240" w:lineRule="auto"/>
      <w:textAlignment w:val="top"/>
    </w:pPr>
    <w:rPr>
      <w:rFonts w:ascii="Calibri" w:hAnsi="Calibri" w:cs="Calibri"/>
      <w:sz w:val="24"/>
      <w:szCs w:val="24"/>
      <w:lang w:eastAsia="en-NZ"/>
    </w:rPr>
  </w:style>
  <w:style w:type="paragraph" w:customStyle="1" w:styleId="xl466">
    <w:name w:val="xl466"/>
    <w:basedOn w:val="Normal"/>
    <w:rsid w:val="00D0773A"/>
    <w:pPr>
      <w:pBdr>
        <w:left w:val="single" w:sz="12" w:space="0" w:color="auto"/>
        <w:bottom w:val="single" w:sz="8" w:space="0" w:color="538DD5"/>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67">
    <w:name w:val="xl467"/>
    <w:basedOn w:val="Normal"/>
    <w:rsid w:val="00D0773A"/>
    <w:pPr>
      <w:pBdr>
        <w:left w:val="single" w:sz="12" w:space="0" w:color="auto"/>
      </w:pBdr>
      <w:spacing w:before="100" w:beforeAutospacing="1" w:after="100" w:afterAutospacing="1" w:line="240" w:lineRule="auto"/>
      <w:jc w:val="right"/>
      <w:textAlignment w:val="top"/>
    </w:pPr>
    <w:rPr>
      <w:rFonts w:ascii="Calibri" w:hAnsi="Calibri" w:cs="Calibri"/>
      <w:sz w:val="24"/>
      <w:szCs w:val="24"/>
      <w:lang w:eastAsia="en-NZ"/>
    </w:rPr>
  </w:style>
  <w:style w:type="paragraph" w:customStyle="1" w:styleId="xl468">
    <w:name w:val="xl468"/>
    <w:basedOn w:val="Normal"/>
    <w:rsid w:val="00D0773A"/>
    <w:pPr>
      <w:pBdr>
        <w:left w:val="single" w:sz="12" w:space="0" w:color="auto"/>
        <w:bottom w:val="single" w:sz="8" w:space="0" w:color="538DD5"/>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69">
    <w:name w:val="xl469"/>
    <w:basedOn w:val="Normal"/>
    <w:rsid w:val="00D0773A"/>
    <w:pPr>
      <w:pBdr>
        <w:left w:val="single" w:sz="12" w:space="0" w:color="auto"/>
        <w:bottom w:val="single" w:sz="8" w:space="0" w:color="00B05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70">
    <w:name w:val="xl470"/>
    <w:basedOn w:val="Normal"/>
    <w:rsid w:val="00D0773A"/>
    <w:pPr>
      <w:pBdr>
        <w:left w:val="single" w:sz="12" w:space="0" w:color="auto"/>
        <w:bottom w:val="single" w:sz="8" w:space="0" w:color="00B05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71">
    <w:name w:val="xl471"/>
    <w:basedOn w:val="Normal"/>
    <w:rsid w:val="00D0773A"/>
    <w:pPr>
      <w:pBdr>
        <w:left w:val="single" w:sz="12" w:space="0" w:color="auto"/>
        <w:bottom w:val="single" w:sz="8" w:space="0" w:color="00B05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72">
    <w:name w:val="xl472"/>
    <w:basedOn w:val="Normal"/>
    <w:rsid w:val="00D0773A"/>
    <w:pPr>
      <w:pBdr>
        <w:left w:val="single" w:sz="12" w:space="0" w:color="auto"/>
        <w:bottom w:val="single" w:sz="8" w:space="0" w:color="00B05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73">
    <w:name w:val="xl473"/>
    <w:basedOn w:val="Normal"/>
    <w:rsid w:val="00D0773A"/>
    <w:pPr>
      <w:pBdr>
        <w:left w:val="single" w:sz="12" w:space="0" w:color="auto"/>
        <w:bottom w:val="single" w:sz="8" w:space="0" w:color="00B05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74">
    <w:name w:val="xl474"/>
    <w:basedOn w:val="Normal"/>
    <w:rsid w:val="00D0773A"/>
    <w:pPr>
      <w:pBdr>
        <w:left w:val="single" w:sz="12" w:space="0" w:color="auto"/>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75">
    <w:name w:val="xl475"/>
    <w:basedOn w:val="Normal"/>
    <w:rsid w:val="00D0773A"/>
    <w:pPr>
      <w:pBdr>
        <w:left w:val="single" w:sz="12" w:space="0" w:color="auto"/>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76">
    <w:name w:val="xl476"/>
    <w:basedOn w:val="Normal"/>
    <w:rsid w:val="00D0773A"/>
    <w:pPr>
      <w:pBdr>
        <w:left w:val="single" w:sz="12" w:space="0" w:color="auto"/>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77">
    <w:name w:val="xl477"/>
    <w:basedOn w:val="Normal"/>
    <w:rsid w:val="00D0773A"/>
    <w:pPr>
      <w:pBdr>
        <w:top w:val="single" w:sz="8" w:space="0" w:color="00B050"/>
        <w:left w:val="single" w:sz="12" w:space="0" w:color="auto"/>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78">
    <w:name w:val="xl478"/>
    <w:basedOn w:val="Normal"/>
    <w:rsid w:val="00D0773A"/>
    <w:pPr>
      <w:pBdr>
        <w:left w:val="single" w:sz="12" w:space="0" w:color="auto"/>
        <w:bottom w:val="single" w:sz="8" w:space="0" w:color="00B05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79">
    <w:name w:val="xl479"/>
    <w:basedOn w:val="Normal"/>
    <w:rsid w:val="00D0773A"/>
    <w:pPr>
      <w:pBdr>
        <w:left w:val="single" w:sz="12" w:space="0" w:color="auto"/>
        <w:bottom w:val="single" w:sz="8" w:space="0" w:color="FF990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80">
    <w:name w:val="xl480"/>
    <w:basedOn w:val="Normal"/>
    <w:rsid w:val="00D0773A"/>
    <w:pPr>
      <w:pBdr>
        <w:left w:val="single" w:sz="12" w:space="0" w:color="auto"/>
        <w:bottom w:val="single" w:sz="8" w:space="0" w:color="FF990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81">
    <w:name w:val="xl481"/>
    <w:basedOn w:val="Normal"/>
    <w:rsid w:val="00D0773A"/>
    <w:pPr>
      <w:pBdr>
        <w:left w:val="single" w:sz="12" w:space="0" w:color="auto"/>
        <w:bottom w:val="single" w:sz="8" w:space="0" w:color="FF9900"/>
      </w:pBdr>
      <w:shd w:val="clear" w:color="000000" w:fill="FFFF00"/>
      <w:spacing w:before="100" w:beforeAutospacing="1" w:after="100" w:afterAutospacing="1" w:line="240" w:lineRule="auto"/>
      <w:jc w:val="right"/>
      <w:textAlignment w:val="top"/>
    </w:pPr>
    <w:rPr>
      <w:rFonts w:ascii="Calibri" w:hAnsi="Calibri" w:cs="Calibri"/>
      <w:i/>
      <w:iCs/>
      <w:color w:val="000000"/>
      <w:sz w:val="24"/>
      <w:szCs w:val="24"/>
      <w:lang w:eastAsia="en-NZ"/>
    </w:rPr>
  </w:style>
  <w:style w:type="paragraph" w:customStyle="1" w:styleId="xl482">
    <w:name w:val="xl482"/>
    <w:basedOn w:val="Normal"/>
    <w:rsid w:val="00D0773A"/>
    <w:pPr>
      <w:pBdr>
        <w:left w:val="single" w:sz="12" w:space="0" w:color="auto"/>
        <w:bottom w:val="single" w:sz="8" w:space="0" w:color="FF9900"/>
      </w:pBdr>
      <w:shd w:val="clear" w:color="000000" w:fill="FFFF0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83">
    <w:name w:val="xl483"/>
    <w:basedOn w:val="Normal"/>
    <w:rsid w:val="00D0773A"/>
    <w:pPr>
      <w:pBdr>
        <w:left w:val="single" w:sz="12" w:space="0" w:color="auto"/>
        <w:bottom w:val="single" w:sz="8" w:space="0" w:color="FF990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84">
    <w:name w:val="xl484"/>
    <w:basedOn w:val="Normal"/>
    <w:rsid w:val="00D0773A"/>
    <w:pPr>
      <w:pBdr>
        <w:left w:val="single" w:sz="12" w:space="0" w:color="auto"/>
        <w:bottom w:val="single" w:sz="8" w:space="0" w:color="FF990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85">
    <w:name w:val="xl485"/>
    <w:basedOn w:val="Normal"/>
    <w:rsid w:val="00D0773A"/>
    <w:pPr>
      <w:pBdr>
        <w:left w:val="single" w:sz="12" w:space="0" w:color="auto"/>
        <w:bottom w:val="single" w:sz="8" w:space="0" w:color="FF990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86">
    <w:name w:val="xl486"/>
    <w:basedOn w:val="Normal"/>
    <w:rsid w:val="00D0773A"/>
    <w:pPr>
      <w:pBdr>
        <w:left w:val="single" w:sz="12" w:space="0" w:color="auto"/>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87">
    <w:name w:val="xl487"/>
    <w:basedOn w:val="Normal"/>
    <w:rsid w:val="00D0773A"/>
    <w:pPr>
      <w:pBdr>
        <w:left w:val="single" w:sz="12" w:space="0" w:color="auto"/>
        <w:bottom w:val="single" w:sz="8" w:space="0" w:color="FF3399"/>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88">
    <w:name w:val="xl488"/>
    <w:basedOn w:val="Normal"/>
    <w:rsid w:val="00D0773A"/>
    <w:pPr>
      <w:pBdr>
        <w:left w:val="single" w:sz="12" w:space="0" w:color="auto"/>
        <w:bottom w:val="single" w:sz="8" w:space="0" w:color="FF3399"/>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89">
    <w:name w:val="xl489"/>
    <w:basedOn w:val="Normal"/>
    <w:rsid w:val="00D0773A"/>
    <w:pPr>
      <w:pBdr>
        <w:left w:val="single" w:sz="12" w:space="0" w:color="auto"/>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90">
    <w:name w:val="xl490"/>
    <w:basedOn w:val="Normal"/>
    <w:rsid w:val="00D0773A"/>
    <w:pPr>
      <w:pBdr>
        <w:left w:val="single" w:sz="12" w:space="0" w:color="auto"/>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91">
    <w:name w:val="xl491"/>
    <w:basedOn w:val="Normal"/>
    <w:rsid w:val="00D0773A"/>
    <w:pPr>
      <w:pBdr>
        <w:top w:val="single" w:sz="8" w:space="0" w:color="FF3399"/>
        <w:left w:val="single" w:sz="12" w:space="0" w:color="auto"/>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92">
    <w:name w:val="xl492"/>
    <w:basedOn w:val="Normal"/>
    <w:rsid w:val="00D0773A"/>
    <w:pPr>
      <w:pBdr>
        <w:top w:val="single" w:sz="8" w:space="0" w:color="FF3399"/>
        <w:left w:val="single" w:sz="12" w:space="0" w:color="auto"/>
        <w:bottom w:val="single" w:sz="8" w:space="0" w:color="FF3399"/>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93">
    <w:name w:val="xl493"/>
    <w:basedOn w:val="Normal"/>
    <w:rsid w:val="00D0773A"/>
    <w:pPr>
      <w:pBdr>
        <w:left w:val="single" w:sz="12" w:space="0" w:color="auto"/>
        <w:bottom w:val="single" w:sz="8" w:space="0" w:color="00808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94">
    <w:name w:val="xl494"/>
    <w:basedOn w:val="Normal"/>
    <w:rsid w:val="00D0773A"/>
    <w:pPr>
      <w:pBdr>
        <w:left w:val="single" w:sz="12" w:space="0" w:color="auto"/>
        <w:bottom w:val="single" w:sz="8" w:space="0" w:color="00808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95">
    <w:name w:val="xl495"/>
    <w:basedOn w:val="Normal"/>
    <w:rsid w:val="00D0773A"/>
    <w:pPr>
      <w:pBdr>
        <w:left w:val="single" w:sz="12" w:space="0" w:color="auto"/>
        <w:bottom w:val="single" w:sz="8" w:space="0" w:color="00808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96">
    <w:name w:val="xl496"/>
    <w:basedOn w:val="Normal"/>
    <w:rsid w:val="00D0773A"/>
    <w:pPr>
      <w:pBdr>
        <w:left w:val="single" w:sz="12" w:space="0" w:color="auto"/>
        <w:bottom w:val="single" w:sz="8" w:space="0" w:color="00808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97">
    <w:name w:val="xl497"/>
    <w:basedOn w:val="Normal"/>
    <w:rsid w:val="00D0773A"/>
    <w:pPr>
      <w:pBdr>
        <w:top w:val="single" w:sz="8" w:space="0" w:color="008080"/>
        <w:left w:val="single" w:sz="12" w:space="0" w:color="auto"/>
        <w:bottom w:val="single" w:sz="8" w:space="0" w:color="00808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98">
    <w:name w:val="xl498"/>
    <w:basedOn w:val="Normal"/>
    <w:rsid w:val="00D0773A"/>
    <w:pPr>
      <w:pBdr>
        <w:left w:val="single" w:sz="12" w:space="0" w:color="auto"/>
        <w:bottom w:val="single" w:sz="8" w:space="0" w:color="00808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499">
    <w:name w:val="xl499"/>
    <w:basedOn w:val="Normal"/>
    <w:rsid w:val="00D0773A"/>
    <w:pPr>
      <w:pBdr>
        <w:left w:val="single" w:sz="12" w:space="0" w:color="auto"/>
        <w:bottom w:val="single" w:sz="8" w:space="0" w:color="008080"/>
      </w:pBdr>
      <w:shd w:val="clear" w:color="000000" w:fill="FABF8F"/>
      <w:spacing w:before="100" w:beforeAutospacing="1" w:after="100" w:afterAutospacing="1" w:line="240" w:lineRule="auto"/>
      <w:jc w:val="right"/>
      <w:textAlignment w:val="top"/>
    </w:pPr>
    <w:rPr>
      <w:rFonts w:ascii="Calibri" w:hAnsi="Calibri" w:cs="Calibri"/>
      <w:i/>
      <w:iCs/>
      <w:color w:val="000000"/>
      <w:sz w:val="24"/>
      <w:szCs w:val="24"/>
      <w:lang w:eastAsia="en-NZ"/>
    </w:rPr>
  </w:style>
  <w:style w:type="paragraph" w:customStyle="1" w:styleId="xl500">
    <w:name w:val="xl500"/>
    <w:basedOn w:val="Normal"/>
    <w:rsid w:val="00D0773A"/>
    <w:pPr>
      <w:pBdr>
        <w:left w:val="single" w:sz="12" w:space="0" w:color="auto"/>
        <w:bottom w:val="single" w:sz="8" w:space="0" w:color="00808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01">
    <w:name w:val="xl501"/>
    <w:basedOn w:val="Normal"/>
    <w:rsid w:val="00D0773A"/>
    <w:pPr>
      <w:pBdr>
        <w:left w:val="single" w:sz="12" w:space="0" w:color="auto"/>
      </w:pBdr>
      <w:shd w:val="clear" w:color="000000" w:fill="FFFF0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02">
    <w:name w:val="xl502"/>
    <w:basedOn w:val="Normal"/>
    <w:rsid w:val="00D0773A"/>
    <w:pPr>
      <w:pBdr>
        <w:left w:val="single" w:sz="12" w:space="0" w:color="auto"/>
        <w:bottom w:val="single" w:sz="8" w:space="0" w:color="00808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03">
    <w:name w:val="xl503"/>
    <w:basedOn w:val="Normal"/>
    <w:rsid w:val="00D0773A"/>
    <w:pPr>
      <w:pBdr>
        <w:left w:val="single" w:sz="12" w:space="0" w:color="auto"/>
      </w:pBdr>
      <w:shd w:val="clear" w:color="000000" w:fill="FABF8F"/>
      <w:spacing w:before="100" w:beforeAutospacing="1" w:after="100" w:afterAutospacing="1" w:line="240" w:lineRule="auto"/>
      <w:jc w:val="right"/>
      <w:textAlignment w:val="top"/>
    </w:pPr>
    <w:rPr>
      <w:rFonts w:ascii="Calibri" w:hAnsi="Calibri" w:cs="Calibri"/>
      <w:sz w:val="24"/>
      <w:szCs w:val="24"/>
      <w:lang w:eastAsia="en-NZ"/>
    </w:rPr>
  </w:style>
  <w:style w:type="paragraph" w:customStyle="1" w:styleId="xl504">
    <w:name w:val="xl504"/>
    <w:basedOn w:val="Normal"/>
    <w:rsid w:val="00D0773A"/>
    <w:pPr>
      <w:pBdr>
        <w:left w:val="single" w:sz="12" w:space="0" w:color="auto"/>
        <w:bottom w:val="single" w:sz="8" w:space="0" w:color="00B0F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05">
    <w:name w:val="xl505"/>
    <w:basedOn w:val="Normal"/>
    <w:rsid w:val="00D0773A"/>
    <w:pPr>
      <w:pBdr>
        <w:left w:val="single" w:sz="12" w:space="0" w:color="auto"/>
        <w:bottom w:val="single" w:sz="8" w:space="0" w:color="00B0F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06">
    <w:name w:val="xl506"/>
    <w:basedOn w:val="Normal"/>
    <w:rsid w:val="00D0773A"/>
    <w:pPr>
      <w:pBdr>
        <w:left w:val="single" w:sz="12" w:space="0" w:color="auto"/>
        <w:bottom w:val="single" w:sz="8" w:space="0" w:color="00B0F0"/>
      </w:pBdr>
      <w:shd w:val="clear" w:color="000000" w:fill="FABF8F"/>
      <w:spacing w:before="100" w:beforeAutospacing="1" w:after="100" w:afterAutospacing="1" w:line="240" w:lineRule="auto"/>
      <w:textAlignment w:val="top"/>
    </w:pPr>
    <w:rPr>
      <w:rFonts w:ascii="Calibri" w:hAnsi="Calibri" w:cs="Calibri"/>
      <w:sz w:val="24"/>
      <w:szCs w:val="24"/>
      <w:lang w:eastAsia="en-NZ"/>
    </w:rPr>
  </w:style>
  <w:style w:type="paragraph" w:customStyle="1" w:styleId="xl507">
    <w:name w:val="xl507"/>
    <w:basedOn w:val="Normal"/>
    <w:rsid w:val="00D0773A"/>
    <w:pPr>
      <w:pBdr>
        <w:left w:val="single" w:sz="12" w:space="0" w:color="auto"/>
        <w:bottom w:val="single" w:sz="8" w:space="0" w:color="FF000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08">
    <w:name w:val="xl508"/>
    <w:basedOn w:val="Normal"/>
    <w:rsid w:val="00D0773A"/>
    <w:pPr>
      <w:pBdr>
        <w:left w:val="single" w:sz="12" w:space="0" w:color="auto"/>
        <w:bottom w:val="single" w:sz="8" w:space="0" w:color="FF000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09">
    <w:name w:val="xl509"/>
    <w:basedOn w:val="Normal"/>
    <w:rsid w:val="00D0773A"/>
    <w:pPr>
      <w:pBdr>
        <w:left w:val="single" w:sz="12" w:space="0" w:color="auto"/>
        <w:bottom w:val="single" w:sz="8" w:space="0" w:color="FF000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10">
    <w:name w:val="xl510"/>
    <w:basedOn w:val="Normal"/>
    <w:rsid w:val="00D0773A"/>
    <w:pPr>
      <w:pBdr>
        <w:left w:val="single" w:sz="12" w:space="0" w:color="auto"/>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11">
    <w:name w:val="xl511"/>
    <w:basedOn w:val="Normal"/>
    <w:rsid w:val="00D0773A"/>
    <w:pPr>
      <w:pBdr>
        <w:top w:val="single" w:sz="8" w:space="0" w:color="FF0000"/>
        <w:left w:val="single" w:sz="12" w:space="0" w:color="auto"/>
        <w:bottom w:val="single" w:sz="8" w:space="0" w:color="FF000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12">
    <w:name w:val="xl512"/>
    <w:basedOn w:val="Normal"/>
    <w:rsid w:val="00D0773A"/>
    <w:pPr>
      <w:pBdr>
        <w:left w:val="single" w:sz="12" w:space="0" w:color="auto"/>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13">
    <w:name w:val="xl513"/>
    <w:basedOn w:val="Normal"/>
    <w:rsid w:val="00D0773A"/>
    <w:pPr>
      <w:pBdr>
        <w:left w:val="single" w:sz="12" w:space="0" w:color="auto"/>
        <w:bottom w:val="single" w:sz="8" w:space="0" w:color="FF000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14">
    <w:name w:val="xl514"/>
    <w:basedOn w:val="Normal"/>
    <w:rsid w:val="00D0773A"/>
    <w:pPr>
      <w:pBdr>
        <w:left w:val="single" w:sz="12" w:space="0" w:color="auto"/>
        <w:bottom w:val="single" w:sz="8" w:space="0" w:color="FF000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15">
    <w:name w:val="xl515"/>
    <w:basedOn w:val="Normal"/>
    <w:rsid w:val="00D0773A"/>
    <w:pPr>
      <w:pBdr>
        <w:bottom w:val="single" w:sz="8" w:space="0" w:color="00B050"/>
      </w:pBdr>
      <w:shd w:val="clear" w:color="000000" w:fill="DAEEF3"/>
      <w:spacing w:before="100" w:beforeAutospacing="1" w:after="100" w:afterAutospacing="1" w:line="240" w:lineRule="auto"/>
      <w:textAlignment w:val="top"/>
    </w:pPr>
    <w:rPr>
      <w:rFonts w:ascii="Calibri" w:hAnsi="Calibri" w:cs="Calibri"/>
      <w:color w:val="000000"/>
      <w:sz w:val="24"/>
      <w:szCs w:val="24"/>
      <w:lang w:eastAsia="en-NZ"/>
    </w:rPr>
  </w:style>
  <w:style w:type="paragraph" w:customStyle="1" w:styleId="xl516">
    <w:name w:val="xl516"/>
    <w:basedOn w:val="Normal"/>
    <w:rsid w:val="00D0773A"/>
    <w:pPr>
      <w:pBdr>
        <w:bottom w:val="single" w:sz="8" w:space="0" w:color="FF9900"/>
        <w:right w:val="single" w:sz="8" w:space="0" w:color="FF9900"/>
      </w:pBdr>
      <w:shd w:val="clear" w:color="000000" w:fill="DAEEF3"/>
      <w:spacing w:before="100" w:beforeAutospacing="1" w:after="100" w:afterAutospacing="1" w:line="240" w:lineRule="auto"/>
      <w:textAlignment w:val="top"/>
    </w:pPr>
    <w:rPr>
      <w:rFonts w:ascii="Calibri" w:hAnsi="Calibri" w:cs="Calibri"/>
      <w:color w:val="000000"/>
      <w:sz w:val="24"/>
      <w:szCs w:val="24"/>
      <w:lang w:eastAsia="en-NZ"/>
    </w:rPr>
  </w:style>
  <w:style w:type="paragraph" w:customStyle="1" w:styleId="xl517">
    <w:name w:val="xl517"/>
    <w:basedOn w:val="Normal"/>
    <w:rsid w:val="00D0773A"/>
    <w:pPr>
      <w:pBdr>
        <w:top w:val="single" w:sz="8" w:space="0" w:color="FF3399"/>
        <w:right w:val="single" w:sz="8" w:space="0" w:color="FF3399"/>
      </w:pBdr>
      <w:shd w:val="clear" w:color="000000" w:fill="DAEEF3"/>
      <w:spacing w:before="100" w:beforeAutospacing="1" w:after="100" w:afterAutospacing="1" w:line="240" w:lineRule="auto"/>
      <w:textAlignment w:val="top"/>
    </w:pPr>
    <w:rPr>
      <w:rFonts w:ascii="Calibri" w:hAnsi="Calibri" w:cs="Calibri"/>
      <w:color w:val="000000"/>
      <w:sz w:val="24"/>
      <w:szCs w:val="24"/>
      <w:lang w:eastAsia="en-NZ"/>
    </w:rPr>
  </w:style>
  <w:style w:type="paragraph" w:customStyle="1" w:styleId="xl518">
    <w:name w:val="xl518"/>
    <w:basedOn w:val="Normal"/>
    <w:rsid w:val="00D0773A"/>
    <w:pPr>
      <w:pBdr>
        <w:bottom w:val="single" w:sz="8" w:space="0" w:color="FF0000"/>
      </w:pBdr>
      <w:shd w:val="clear" w:color="000000" w:fill="DAEEF3"/>
      <w:spacing w:before="100" w:beforeAutospacing="1" w:after="100" w:afterAutospacing="1" w:line="240" w:lineRule="auto"/>
      <w:textAlignment w:val="top"/>
    </w:pPr>
    <w:rPr>
      <w:rFonts w:ascii="Calibri" w:hAnsi="Calibri" w:cs="Calibri"/>
      <w:color w:val="000000"/>
      <w:sz w:val="24"/>
      <w:szCs w:val="24"/>
      <w:lang w:eastAsia="en-NZ"/>
    </w:rPr>
  </w:style>
  <w:style w:type="paragraph" w:customStyle="1" w:styleId="xl519">
    <w:name w:val="xl519"/>
    <w:basedOn w:val="Normal"/>
    <w:rsid w:val="00D0773A"/>
    <w:pPr>
      <w:pBdr>
        <w:bottom w:val="single" w:sz="8" w:space="0" w:color="00B0F0"/>
        <w:right w:val="single" w:sz="8" w:space="0" w:color="00B0F0"/>
      </w:pBdr>
      <w:shd w:val="clear" w:color="000000" w:fill="DAEEF3"/>
      <w:spacing w:before="100" w:beforeAutospacing="1" w:after="100" w:afterAutospacing="1" w:line="240" w:lineRule="auto"/>
      <w:textAlignment w:val="top"/>
    </w:pPr>
    <w:rPr>
      <w:rFonts w:ascii="Calibri" w:hAnsi="Calibri" w:cs="Calibri"/>
      <w:color w:val="000000"/>
      <w:sz w:val="24"/>
      <w:szCs w:val="24"/>
      <w:lang w:eastAsia="en-NZ"/>
    </w:rPr>
  </w:style>
  <w:style w:type="paragraph" w:customStyle="1" w:styleId="xl520">
    <w:name w:val="xl520"/>
    <w:basedOn w:val="Normal"/>
    <w:rsid w:val="00D0773A"/>
    <w:pPr>
      <w:pBdr>
        <w:bottom w:val="single" w:sz="8" w:space="0" w:color="008080"/>
        <w:right w:val="single" w:sz="8" w:space="0" w:color="008080"/>
      </w:pBdr>
      <w:shd w:val="clear" w:color="000000" w:fill="DAEEF3"/>
      <w:spacing w:before="100" w:beforeAutospacing="1" w:after="100" w:afterAutospacing="1" w:line="240" w:lineRule="auto"/>
      <w:textAlignment w:val="top"/>
    </w:pPr>
    <w:rPr>
      <w:rFonts w:ascii="Calibri" w:hAnsi="Calibri" w:cs="Calibri"/>
      <w:i/>
      <w:iCs/>
      <w:color w:val="000000"/>
      <w:sz w:val="24"/>
      <w:szCs w:val="24"/>
      <w:lang w:eastAsia="en-NZ"/>
    </w:rPr>
  </w:style>
  <w:style w:type="paragraph" w:customStyle="1" w:styleId="xl521">
    <w:name w:val="xl521"/>
    <w:basedOn w:val="Normal"/>
    <w:rsid w:val="00D0773A"/>
    <w:pPr>
      <w:pBdr>
        <w:bottom w:val="single" w:sz="8" w:space="0" w:color="008080"/>
        <w:right w:val="single" w:sz="8" w:space="0" w:color="008080"/>
      </w:pBdr>
      <w:shd w:val="clear" w:color="000000" w:fill="FFFF00"/>
      <w:spacing w:before="100" w:beforeAutospacing="1" w:after="100" w:afterAutospacing="1" w:line="240" w:lineRule="auto"/>
      <w:textAlignment w:val="top"/>
    </w:pPr>
    <w:rPr>
      <w:rFonts w:ascii="Calibri" w:hAnsi="Calibri" w:cs="Calibri"/>
      <w:color w:val="000000"/>
      <w:sz w:val="24"/>
      <w:szCs w:val="24"/>
      <w:lang w:eastAsia="en-NZ"/>
    </w:rPr>
  </w:style>
  <w:style w:type="paragraph" w:customStyle="1" w:styleId="xl522">
    <w:name w:val="xl522"/>
    <w:basedOn w:val="Normal"/>
    <w:rsid w:val="00D0773A"/>
    <w:pPr>
      <w:pBdr>
        <w:right w:val="single" w:sz="12" w:space="0" w:color="auto"/>
      </w:pBdr>
      <w:spacing w:before="100" w:beforeAutospacing="1" w:after="100" w:afterAutospacing="1" w:line="240" w:lineRule="auto"/>
      <w:textAlignment w:val="top"/>
    </w:pPr>
    <w:rPr>
      <w:rFonts w:ascii="Calibri" w:hAnsi="Calibri" w:cs="Calibri"/>
      <w:sz w:val="24"/>
      <w:szCs w:val="24"/>
      <w:lang w:eastAsia="en-NZ"/>
    </w:rPr>
  </w:style>
  <w:style w:type="paragraph" w:customStyle="1" w:styleId="xl523">
    <w:name w:val="xl523"/>
    <w:basedOn w:val="Normal"/>
    <w:rsid w:val="00D0773A"/>
    <w:pPr>
      <w:pBdr>
        <w:right w:val="single" w:sz="12" w:space="0" w:color="auto"/>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24">
    <w:name w:val="xl524"/>
    <w:basedOn w:val="Normal"/>
    <w:rsid w:val="00D0773A"/>
    <w:pPr>
      <w:pBdr>
        <w:right w:val="single" w:sz="12" w:space="0" w:color="auto"/>
      </w:pBdr>
      <w:spacing w:before="100" w:beforeAutospacing="1" w:after="100" w:afterAutospacing="1" w:line="240" w:lineRule="auto"/>
      <w:textAlignment w:val="top"/>
    </w:pPr>
    <w:rPr>
      <w:rFonts w:ascii="Calibri" w:hAnsi="Calibri" w:cs="Calibri"/>
      <w:sz w:val="24"/>
      <w:szCs w:val="24"/>
      <w:lang w:eastAsia="en-NZ"/>
    </w:rPr>
  </w:style>
  <w:style w:type="paragraph" w:customStyle="1" w:styleId="xl525">
    <w:name w:val="xl525"/>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526">
    <w:name w:val="xl526"/>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527">
    <w:name w:val="xl527"/>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528">
    <w:name w:val="xl528"/>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529">
    <w:name w:val="xl529"/>
    <w:basedOn w:val="Normal"/>
    <w:rsid w:val="00D0773A"/>
    <w:pPr>
      <w:pBdr>
        <w:left w:val="single" w:sz="12" w:space="0" w:color="auto"/>
        <w:bottom w:val="single" w:sz="8" w:space="0" w:color="00B05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30">
    <w:name w:val="xl530"/>
    <w:basedOn w:val="Normal"/>
    <w:rsid w:val="00D0773A"/>
    <w:pPr>
      <w:spacing w:before="100" w:beforeAutospacing="1" w:after="100" w:afterAutospacing="1" w:line="240" w:lineRule="auto"/>
      <w:textAlignment w:val="top"/>
    </w:pPr>
    <w:rPr>
      <w:rFonts w:ascii="Calibri" w:hAnsi="Calibri" w:cs="Calibri"/>
      <w:color w:val="FF0000"/>
      <w:sz w:val="24"/>
      <w:szCs w:val="24"/>
      <w:lang w:eastAsia="en-NZ"/>
    </w:rPr>
  </w:style>
  <w:style w:type="paragraph" w:customStyle="1" w:styleId="xl531">
    <w:name w:val="xl531"/>
    <w:basedOn w:val="Normal"/>
    <w:rsid w:val="00D0773A"/>
    <w:pPr>
      <w:pBdr>
        <w:bottom w:val="single" w:sz="8" w:space="0" w:color="00B050"/>
      </w:pBdr>
      <w:spacing w:before="100" w:beforeAutospacing="1" w:after="100" w:afterAutospacing="1" w:line="240" w:lineRule="auto"/>
      <w:jc w:val="right"/>
      <w:textAlignment w:val="top"/>
    </w:pPr>
    <w:rPr>
      <w:rFonts w:ascii="Calibri" w:hAnsi="Calibri" w:cs="Calibri"/>
      <w:i/>
      <w:iCs/>
      <w:color w:val="000000"/>
      <w:sz w:val="24"/>
      <w:szCs w:val="24"/>
      <w:lang w:eastAsia="en-NZ"/>
    </w:rPr>
  </w:style>
  <w:style w:type="paragraph" w:customStyle="1" w:styleId="xl532">
    <w:name w:val="xl532"/>
    <w:basedOn w:val="Normal"/>
    <w:rsid w:val="00D0773A"/>
    <w:pPr>
      <w:pBdr>
        <w:right w:val="single" w:sz="12" w:space="0" w:color="auto"/>
      </w:pBdr>
      <w:spacing w:before="100" w:beforeAutospacing="1" w:after="100" w:afterAutospacing="1" w:line="240" w:lineRule="auto"/>
      <w:textAlignment w:val="top"/>
    </w:pPr>
    <w:rPr>
      <w:rFonts w:ascii="Calibri" w:hAnsi="Calibri" w:cs="Calibri"/>
      <w:color w:val="FF0000"/>
      <w:sz w:val="24"/>
      <w:szCs w:val="24"/>
      <w:lang w:eastAsia="en-NZ"/>
    </w:rPr>
  </w:style>
  <w:style w:type="paragraph" w:customStyle="1" w:styleId="xl533">
    <w:name w:val="xl533"/>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534">
    <w:name w:val="xl534"/>
    <w:basedOn w:val="Normal"/>
    <w:rsid w:val="00D0773A"/>
    <w:pPr>
      <w:pBdr>
        <w:right w:val="single" w:sz="12" w:space="0" w:color="auto"/>
      </w:pBdr>
      <w:shd w:val="clear" w:color="000000" w:fill="FFC000"/>
      <w:spacing w:before="100" w:beforeAutospacing="1" w:after="100" w:afterAutospacing="1" w:line="240" w:lineRule="auto"/>
      <w:textAlignment w:val="top"/>
    </w:pPr>
    <w:rPr>
      <w:rFonts w:ascii="Calibri" w:hAnsi="Calibri" w:cs="Calibri"/>
      <w:sz w:val="24"/>
      <w:szCs w:val="24"/>
      <w:lang w:eastAsia="en-NZ"/>
    </w:rPr>
  </w:style>
  <w:style w:type="paragraph" w:customStyle="1" w:styleId="xl535">
    <w:name w:val="xl535"/>
    <w:basedOn w:val="Normal"/>
    <w:rsid w:val="00D0773A"/>
    <w:pPr>
      <w:pBdr>
        <w:right w:val="single" w:sz="12" w:space="0" w:color="auto"/>
      </w:pBdr>
      <w:spacing w:before="100" w:beforeAutospacing="1" w:after="100" w:afterAutospacing="1" w:line="240" w:lineRule="auto"/>
      <w:jc w:val="right"/>
      <w:textAlignment w:val="top"/>
    </w:pPr>
    <w:rPr>
      <w:rFonts w:ascii="Calibri" w:hAnsi="Calibri" w:cs="Calibri"/>
      <w:sz w:val="24"/>
      <w:szCs w:val="24"/>
      <w:lang w:eastAsia="en-NZ"/>
    </w:rPr>
  </w:style>
  <w:style w:type="paragraph" w:customStyle="1" w:styleId="xl536">
    <w:name w:val="xl536"/>
    <w:basedOn w:val="Normal"/>
    <w:rsid w:val="00D0773A"/>
    <w:pPr>
      <w:pBdr>
        <w:right w:val="single" w:sz="12" w:space="0" w:color="auto"/>
      </w:pBdr>
      <w:spacing w:before="100" w:beforeAutospacing="1" w:after="100" w:afterAutospacing="1" w:line="240" w:lineRule="auto"/>
      <w:jc w:val="right"/>
      <w:textAlignment w:val="top"/>
    </w:pPr>
    <w:rPr>
      <w:rFonts w:ascii="Calibri" w:hAnsi="Calibri" w:cs="Calibri"/>
      <w:color w:val="FF0000"/>
      <w:sz w:val="24"/>
      <w:szCs w:val="24"/>
      <w:lang w:eastAsia="en-NZ"/>
    </w:rPr>
  </w:style>
  <w:style w:type="paragraph" w:customStyle="1" w:styleId="xl537">
    <w:name w:val="xl537"/>
    <w:basedOn w:val="Normal"/>
    <w:rsid w:val="00D0773A"/>
    <w:pPr>
      <w:shd w:val="clear" w:color="000000" w:fill="F2F2F2"/>
      <w:spacing w:before="100" w:beforeAutospacing="1" w:after="100" w:afterAutospacing="1" w:line="240" w:lineRule="auto"/>
      <w:jc w:val="right"/>
      <w:textAlignment w:val="top"/>
    </w:pPr>
    <w:rPr>
      <w:rFonts w:ascii="Calibri" w:hAnsi="Calibri" w:cs="Calibri"/>
      <w:color w:val="FF0000"/>
      <w:sz w:val="24"/>
      <w:szCs w:val="24"/>
      <w:lang w:eastAsia="en-NZ"/>
    </w:rPr>
  </w:style>
  <w:style w:type="paragraph" w:customStyle="1" w:styleId="xl538">
    <w:name w:val="xl538"/>
    <w:basedOn w:val="Normal"/>
    <w:rsid w:val="00D0773A"/>
    <w:pPr>
      <w:pBdr>
        <w:right w:val="single" w:sz="12" w:space="0" w:color="auto"/>
      </w:pBdr>
      <w:spacing w:before="100" w:beforeAutospacing="1" w:after="100" w:afterAutospacing="1" w:line="240" w:lineRule="auto"/>
      <w:textAlignment w:val="top"/>
    </w:pPr>
    <w:rPr>
      <w:rFonts w:ascii="Calibri" w:hAnsi="Calibri" w:cs="Calibri"/>
      <w:color w:val="FF0000"/>
      <w:sz w:val="24"/>
      <w:szCs w:val="24"/>
      <w:lang w:eastAsia="en-NZ"/>
    </w:rPr>
  </w:style>
  <w:style w:type="paragraph" w:customStyle="1" w:styleId="xl539">
    <w:name w:val="xl539"/>
    <w:basedOn w:val="Normal"/>
    <w:rsid w:val="00D0773A"/>
    <w:pPr>
      <w:pBdr>
        <w:bottom w:val="single" w:sz="8" w:space="0" w:color="FF0000"/>
      </w:pBdr>
      <w:shd w:val="clear" w:color="000000" w:fill="FFFF0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40">
    <w:name w:val="xl540"/>
    <w:basedOn w:val="Normal"/>
    <w:rsid w:val="00D0773A"/>
    <w:pPr>
      <w:shd w:val="clear" w:color="000000" w:fill="FCD5B4"/>
      <w:spacing w:before="100" w:beforeAutospacing="1" w:after="100" w:afterAutospacing="1" w:line="240" w:lineRule="auto"/>
      <w:textAlignment w:val="top"/>
    </w:pPr>
    <w:rPr>
      <w:rFonts w:ascii="Calibri" w:hAnsi="Calibri" w:cs="Calibri"/>
      <w:sz w:val="24"/>
      <w:szCs w:val="24"/>
      <w:lang w:eastAsia="en-NZ"/>
    </w:rPr>
  </w:style>
  <w:style w:type="paragraph" w:customStyle="1" w:styleId="xl541">
    <w:name w:val="xl541"/>
    <w:basedOn w:val="Normal"/>
    <w:rsid w:val="00D0773A"/>
    <w:pPr>
      <w:pBdr>
        <w:bottom w:val="single" w:sz="8" w:space="0" w:color="538DD5"/>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42">
    <w:name w:val="xl542"/>
    <w:basedOn w:val="Normal"/>
    <w:rsid w:val="00D0773A"/>
    <w:pPr>
      <w:shd w:val="clear" w:color="000000" w:fill="FCD5B4"/>
      <w:spacing w:before="100" w:beforeAutospacing="1" w:after="100" w:afterAutospacing="1" w:line="240" w:lineRule="auto"/>
      <w:jc w:val="right"/>
      <w:textAlignment w:val="top"/>
    </w:pPr>
    <w:rPr>
      <w:rFonts w:ascii="Calibri" w:hAnsi="Calibri" w:cs="Calibri"/>
      <w:sz w:val="24"/>
      <w:szCs w:val="24"/>
      <w:lang w:eastAsia="en-NZ"/>
    </w:rPr>
  </w:style>
  <w:style w:type="paragraph" w:customStyle="1" w:styleId="xl543">
    <w:name w:val="xl543"/>
    <w:basedOn w:val="Normal"/>
    <w:rsid w:val="00D0773A"/>
    <w:pPr>
      <w:pBdr>
        <w:bottom w:val="single" w:sz="8" w:space="0" w:color="538DD5"/>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44">
    <w:name w:val="xl544"/>
    <w:basedOn w:val="Normal"/>
    <w:rsid w:val="00D0773A"/>
    <w:pPr>
      <w:pBdr>
        <w:bottom w:val="single" w:sz="8" w:space="0" w:color="00B050"/>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45">
    <w:name w:val="xl545"/>
    <w:basedOn w:val="Normal"/>
    <w:rsid w:val="00D0773A"/>
    <w:pPr>
      <w:pBdr>
        <w:bottom w:val="single" w:sz="8" w:space="0" w:color="00B050"/>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46">
    <w:name w:val="xl546"/>
    <w:basedOn w:val="Normal"/>
    <w:rsid w:val="00D0773A"/>
    <w:pPr>
      <w:pBdr>
        <w:bottom w:val="single" w:sz="8" w:space="0" w:color="00B050"/>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47">
    <w:name w:val="xl547"/>
    <w:basedOn w:val="Normal"/>
    <w:rsid w:val="00D0773A"/>
    <w:pPr>
      <w:pBdr>
        <w:bottom w:val="single" w:sz="8" w:space="0" w:color="00B050"/>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48">
    <w:name w:val="xl548"/>
    <w:basedOn w:val="Normal"/>
    <w:rsid w:val="00D0773A"/>
    <w:pP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49">
    <w:name w:val="xl549"/>
    <w:basedOn w:val="Normal"/>
    <w:rsid w:val="00D0773A"/>
    <w:pP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50">
    <w:name w:val="xl550"/>
    <w:basedOn w:val="Normal"/>
    <w:rsid w:val="00D0773A"/>
    <w:pP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51">
    <w:name w:val="xl551"/>
    <w:basedOn w:val="Normal"/>
    <w:rsid w:val="00D0773A"/>
    <w:pPr>
      <w:pBdr>
        <w:top w:val="single" w:sz="8" w:space="0" w:color="00B050"/>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52">
    <w:name w:val="xl552"/>
    <w:basedOn w:val="Normal"/>
    <w:rsid w:val="00D0773A"/>
    <w:pPr>
      <w:pBdr>
        <w:bottom w:val="single" w:sz="8" w:space="0" w:color="00B050"/>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53">
    <w:name w:val="xl553"/>
    <w:basedOn w:val="Normal"/>
    <w:rsid w:val="00D0773A"/>
    <w:pPr>
      <w:pBdr>
        <w:bottom w:val="single" w:sz="8" w:space="0" w:color="FF9900"/>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54">
    <w:name w:val="xl554"/>
    <w:basedOn w:val="Normal"/>
    <w:rsid w:val="00D0773A"/>
    <w:pPr>
      <w:pBdr>
        <w:bottom w:val="single" w:sz="8" w:space="0" w:color="FF9900"/>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55">
    <w:name w:val="xl555"/>
    <w:basedOn w:val="Normal"/>
    <w:rsid w:val="00D0773A"/>
    <w:pPr>
      <w:pBdr>
        <w:bottom w:val="single" w:sz="8" w:space="0" w:color="FF9900"/>
      </w:pBdr>
      <w:shd w:val="clear" w:color="000000" w:fill="FCD5B4"/>
      <w:spacing w:before="100" w:beforeAutospacing="1" w:after="100" w:afterAutospacing="1" w:line="240" w:lineRule="auto"/>
      <w:jc w:val="right"/>
      <w:textAlignment w:val="top"/>
    </w:pPr>
    <w:rPr>
      <w:rFonts w:ascii="Calibri" w:hAnsi="Calibri" w:cs="Calibri"/>
      <w:i/>
      <w:iCs/>
      <w:color w:val="000000"/>
      <w:sz w:val="24"/>
      <w:szCs w:val="24"/>
      <w:lang w:eastAsia="en-NZ"/>
    </w:rPr>
  </w:style>
  <w:style w:type="paragraph" w:customStyle="1" w:styleId="xl556">
    <w:name w:val="xl556"/>
    <w:basedOn w:val="Normal"/>
    <w:rsid w:val="00D0773A"/>
    <w:pPr>
      <w:pBdr>
        <w:bottom w:val="single" w:sz="8" w:space="0" w:color="FF9900"/>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57">
    <w:name w:val="xl557"/>
    <w:basedOn w:val="Normal"/>
    <w:rsid w:val="00D0773A"/>
    <w:pPr>
      <w:pBdr>
        <w:bottom w:val="single" w:sz="8" w:space="0" w:color="FF9900"/>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58">
    <w:name w:val="xl558"/>
    <w:basedOn w:val="Normal"/>
    <w:rsid w:val="00D0773A"/>
    <w:pPr>
      <w:pBdr>
        <w:bottom w:val="single" w:sz="8" w:space="0" w:color="FF9900"/>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59">
    <w:name w:val="xl559"/>
    <w:basedOn w:val="Normal"/>
    <w:rsid w:val="00D0773A"/>
    <w:pPr>
      <w:pBdr>
        <w:bottom w:val="single" w:sz="8" w:space="0" w:color="FF3399"/>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60">
    <w:name w:val="xl560"/>
    <w:basedOn w:val="Normal"/>
    <w:rsid w:val="00D0773A"/>
    <w:pPr>
      <w:pBdr>
        <w:bottom w:val="single" w:sz="8" w:space="0" w:color="FF3399"/>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61">
    <w:name w:val="xl561"/>
    <w:basedOn w:val="Normal"/>
    <w:rsid w:val="00D0773A"/>
    <w:pP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62">
    <w:name w:val="xl562"/>
    <w:basedOn w:val="Normal"/>
    <w:rsid w:val="00D0773A"/>
    <w:pP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63">
    <w:name w:val="xl563"/>
    <w:basedOn w:val="Normal"/>
    <w:rsid w:val="00D0773A"/>
    <w:pPr>
      <w:pBdr>
        <w:top w:val="single" w:sz="8" w:space="0" w:color="FF3399"/>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64">
    <w:name w:val="xl564"/>
    <w:basedOn w:val="Normal"/>
    <w:rsid w:val="00D0773A"/>
    <w:pPr>
      <w:pBdr>
        <w:top w:val="single" w:sz="8" w:space="0" w:color="FF3399"/>
        <w:bottom w:val="single" w:sz="8" w:space="0" w:color="FF3399"/>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65">
    <w:name w:val="xl565"/>
    <w:basedOn w:val="Normal"/>
    <w:rsid w:val="00D0773A"/>
    <w:pPr>
      <w:pBdr>
        <w:bottom w:val="single" w:sz="8" w:space="0" w:color="008080"/>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66">
    <w:name w:val="xl566"/>
    <w:basedOn w:val="Normal"/>
    <w:rsid w:val="00D0773A"/>
    <w:pPr>
      <w:pBdr>
        <w:bottom w:val="single" w:sz="8" w:space="0" w:color="008080"/>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67">
    <w:name w:val="xl567"/>
    <w:basedOn w:val="Normal"/>
    <w:rsid w:val="00D0773A"/>
    <w:pPr>
      <w:pBdr>
        <w:bottom w:val="single" w:sz="8" w:space="0" w:color="008080"/>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68">
    <w:name w:val="xl568"/>
    <w:basedOn w:val="Normal"/>
    <w:rsid w:val="00D0773A"/>
    <w:pPr>
      <w:pBdr>
        <w:top w:val="single" w:sz="8" w:space="0" w:color="008080"/>
        <w:bottom w:val="single" w:sz="8" w:space="0" w:color="008080"/>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69">
    <w:name w:val="xl569"/>
    <w:basedOn w:val="Normal"/>
    <w:rsid w:val="00D0773A"/>
    <w:pPr>
      <w:pBdr>
        <w:bottom w:val="single" w:sz="8" w:space="0" w:color="008080"/>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70">
    <w:name w:val="xl570"/>
    <w:basedOn w:val="Normal"/>
    <w:rsid w:val="00D0773A"/>
    <w:pPr>
      <w:pBdr>
        <w:bottom w:val="single" w:sz="8" w:space="0" w:color="008080"/>
      </w:pBdr>
      <w:shd w:val="clear" w:color="000000" w:fill="FCD5B4"/>
      <w:spacing w:before="100" w:beforeAutospacing="1" w:after="100" w:afterAutospacing="1" w:line="240" w:lineRule="auto"/>
      <w:jc w:val="right"/>
      <w:textAlignment w:val="top"/>
    </w:pPr>
    <w:rPr>
      <w:rFonts w:ascii="Calibri" w:hAnsi="Calibri" w:cs="Calibri"/>
      <w:i/>
      <w:iCs/>
      <w:color w:val="000000"/>
      <w:sz w:val="24"/>
      <w:szCs w:val="24"/>
      <w:lang w:eastAsia="en-NZ"/>
    </w:rPr>
  </w:style>
  <w:style w:type="paragraph" w:customStyle="1" w:styleId="xl571">
    <w:name w:val="xl571"/>
    <w:basedOn w:val="Normal"/>
    <w:rsid w:val="00D0773A"/>
    <w:pPr>
      <w:pBdr>
        <w:bottom w:val="single" w:sz="8" w:space="0" w:color="008080"/>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72">
    <w:name w:val="xl572"/>
    <w:basedOn w:val="Normal"/>
    <w:rsid w:val="00D0773A"/>
    <w:pPr>
      <w:pBdr>
        <w:bottom w:val="single" w:sz="8" w:space="0" w:color="008080"/>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73">
    <w:name w:val="xl573"/>
    <w:basedOn w:val="Normal"/>
    <w:rsid w:val="00D0773A"/>
    <w:pPr>
      <w:pBdr>
        <w:bottom w:val="single" w:sz="8" w:space="0" w:color="00B0F0"/>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74">
    <w:name w:val="xl574"/>
    <w:basedOn w:val="Normal"/>
    <w:rsid w:val="00D0773A"/>
    <w:pPr>
      <w:pBdr>
        <w:bottom w:val="single" w:sz="8" w:space="0" w:color="00B0F0"/>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75">
    <w:name w:val="xl575"/>
    <w:basedOn w:val="Normal"/>
    <w:rsid w:val="00D0773A"/>
    <w:pPr>
      <w:pBdr>
        <w:bottom w:val="single" w:sz="8" w:space="0" w:color="00B0F0"/>
      </w:pBdr>
      <w:shd w:val="clear" w:color="000000" w:fill="FCD5B4"/>
      <w:spacing w:before="100" w:beforeAutospacing="1" w:after="100" w:afterAutospacing="1" w:line="240" w:lineRule="auto"/>
      <w:textAlignment w:val="top"/>
    </w:pPr>
    <w:rPr>
      <w:rFonts w:ascii="Calibri" w:hAnsi="Calibri" w:cs="Calibri"/>
      <w:sz w:val="24"/>
      <w:szCs w:val="24"/>
      <w:lang w:eastAsia="en-NZ"/>
    </w:rPr>
  </w:style>
  <w:style w:type="paragraph" w:customStyle="1" w:styleId="xl576">
    <w:name w:val="xl576"/>
    <w:basedOn w:val="Normal"/>
    <w:rsid w:val="00D0773A"/>
    <w:pPr>
      <w:shd w:val="clear" w:color="000000" w:fill="FCD5B4"/>
      <w:spacing w:before="100" w:beforeAutospacing="1" w:after="100" w:afterAutospacing="1" w:line="240" w:lineRule="auto"/>
      <w:jc w:val="right"/>
      <w:textAlignment w:val="top"/>
    </w:pPr>
    <w:rPr>
      <w:rFonts w:ascii="Calibri" w:hAnsi="Calibri" w:cs="Calibri"/>
      <w:sz w:val="24"/>
      <w:szCs w:val="24"/>
      <w:lang w:eastAsia="en-NZ"/>
    </w:rPr>
  </w:style>
  <w:style w:type="paragraph" w:customStyle="1" w:styleId="xl577">
    <w:name w:val="xl577"/>
    <w:basedOn w:val="Normal"/>
    <w:rsid w:val="00D0773A"/>
    <w:pPr>
      <w:pBdr>
        <w:bottom w:val="single" w:sz="8" w:space="0" w:color="FF0000"/>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78">
    <w:name w:val="xl578"/>
    <w:basedOn w:val="Normal"/>
    <w:rsid w:val="00D0773A"/>
    <w:pPr>
      <w:pBdr>
        <w:bottom w:val="single" w:sz="8" w:space="0" w:color="FF0000"/>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79">
    <w:name w:val="xl579"/>
    <w:basedOn w:val="Normal"/>
    <w:rsid w:val="00D0773A"/>
    <w:pPr>
      <w:pBdr>
        <w:bottom w:val="single" w:sz="8" w:space="0" w:color="FF0000"/>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80">
    <w:name w:val="xl580"/>
    <w:basedOn w:val="Normal"/>
    <w:rsid w:val="00D0773A"/>
    <w:pP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81">
    <w:name w:val="xl581"/>
    <w:basedOn w:val="Normal"/>
    <w:rsid w:val="00D0773A"/>
    <w:pPr>
      <w:pBdr>
        <w:bottom w:val="single" w:sz="8" w:space="0" w:color="FF0000"/>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82">
    <w:name w:val="xl582"/>
    <w:basedOn w:val="Normal"/>
    <w:rsid w:val="00D0773A"/>
    <w:pP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83">
    <w:name w:val="xl583"/>
    <w:basedOn w:val="Normal"/>
    <w:rsid w:val="00D0773A"/>
    <w:pPr>
      <w:pBdr>
        <w:left w:val="single" w:sz="4" w:space="0" w:color="808080"/>
        <w:bottom w:val="single" w:sz="4" w:space="0" w:color="808080"/>
        <w:right w:val="single" w:sz="4" w:space="0" w:color="808080"/>
      </w:pBdr>
      <w:shd w:val="clear" w:color="000000" w:fill="D8E4BC"/>
      <w:spacing w:before="100" w:beforeAutospacing="1" w:after="100" w:afterAutospacing="1" w:line="240" w:lineRule="auto"/>
      <w:jc w:val="right"/>
      <w:textAlignment w:val="top"/>
    </w:pPr>
    <w:rPr>
      <w:rFonts w:ascii="Calibri" w:hAnsi="Calibri" w:cs="Calibri"/>
      <w:b/>
      <w:bCs/>
      <w:sz w:val="24"/>
      <w:szCs w:val="24"/>
      <w:lang w:eastAsia="en-NZ"/>
    </w:rPr>
  </w:style>
  <w:style w:type="paragraph" w:customStyle="1" w:styleId="xl584">
    <w:name w:val="xl584"/>
    <w:basedOn w:val="Normal"/>
    <w:rsid w:val="00D0773A"/>
    <w:pPr>
      <w:pBdr>
        <w:bottom w:val="single" w:sz="8" w:space="0" w:color="538DD5"/>
      </w:pBdr>
      <w:shd w:val="clear" w:color="000000" w:fill="D9D9D9"/>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85">
    <w:name w:val="xl585"/>
    <w:basedOn w:val="Normal"/>
    <w:rsid w:val="00D0773A"/>
    <w:pPr>
      <w:pBdr>
        <w:bottom w:val="single" w:sz="8" w:space="0" w:color="538DD5"/>
      </w:pBdr>
      <w:shd w:val="clear" w:color="000000" w:fill="D9D9D9"/>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86">
    <w:name w:val="xl586"/>
    <w:basedOn w:val="Normal"/>
    <w:rsid w:val="00D0773A"/>
    <w:pPr>
      <w:shd w:val="clear" w:color="000000" w:fill="D9D9D9"/>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87">
    <w:name w:val="xl587"/>
    <w:basedOn w:val="Normal"/>
    <w:rsid w:val="00D0773A"/>
    <w:pPr>
      <w:shd w:val="clear" w:color="000000" w:fill="D9D9D9"/>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88">
    <w:name w:val="xl588"/>
    <w:basedOn w:val="Normal"/>
    <w:rsid w:val="00D0773A"/>
    <w:pPr>
      <w:pBdr>
        <w:bottom w:val="single" w:sz="8" w:space="0" w:color="FF9900"/>
      </w:pBdr>
      <w:shd w:val="clear" w:color="000000" w:fill="D9D9D9"/>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89">
    <w:name w:val="xl589"/>
    <w:basedOn w:val="Normal"/>
    <w:rsid w:val="00D0773A"/>
    <w:pPr>
      <w:pBdr>
        <w:bottom w:val="single" w:sz="8" w:space="0" w:color="FF9900"/>
      </w:pBdr>
      <w:shd w:val="clear" w:color="000000" w:fill="D9D9D9"/>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90">
    <w:name w:val="xl590"/>
    <w:basedOn w:val="Normal"/>
    <w:rsid w:val="00D0773A"/>
    <w:pPr>
      <w:pBdr>
        <w:bottom w:val="single" w:sz="8" w:space="0" w:color="FF3399"/>
      </w:pBdr>
      <w:shd w:val="clear" w:color="000000" w:fill="D9D9D9"/>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91">
    <w:name w:val="xl591"/>
    <w:basedOn w:val="Normal"/>
    <w:rsid w:val="00D0773A"/>
    <w:pPr>
      <w:pBdr>
        <w:bottom w:val="single" w:sz="8" w:space="0" w:color="FF3399"/>
      </w:pBdr>
      <w:shd w:val="clear" w:color="000000" w:fill="D9D9D9"/>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92">
    <w:name w:val="xl592"/>
    <w:basedOn w:val="Normal"/>
    <w:rsid w:val="00D0773A"/>
    <w:pPr>
      <w:shd w:val="clear" w:color="000000" w:fill="D9D9D9"/>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93">
    <w:name w:val="xl593"/>
    <w:basedOn w:val="Normal"/>
    <w:rsid w:val="00D0773A"/>
    <w:pPr>
      <w:pBdr>
        <w:top w:val="single" w:sz="8" w:space="0" w:color="FF3399"/>
      </w:pBdr>
      <w:shd w:val="clear" w:color="000000" w:fill="D9D9D9"/>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94">
    <w:name w:val="xl594"/>
    <w:basedOn w:val="Normal"/>
    <w:rsid w:val="00D0773A"/>
    <w:pPr>
      <w:pBdr>
        <w:top w:val="single" w:sz="8" w:space="0" w:color="FF3399"/>
        <w:bottom w:val="single" w:sz="8" w:space="0" w:color="FF3399"/>
      </w:pBdr>
      <w:shd w:val="clear" w:color="000000" w:fill="D9D9D9"/>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95">
    <w:name w:val="xl595"/>
    <w:basedOn w:val="Normal"/>
    <w:rsid w:val="00D0773A"/>
    <w:pPr>
      <w:pBdr>
        <w:bottom w:val="single" w:sz="8" w:space="0" w:color="008080"/>
      </w:pBdr>
      <w:shd w:val="clear" w:color="000000" w:fill="D9D9D9"/>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96">
    <w:name w:val="xl596"/>
    <w:basedOn w:val="Normal"/>
    <w:rsid w:val="00D0773A"/>
    <w:pPr>
      <w:pBdr>
        <w:bottom w:val="single" w:sz="8" w:space="0" w:color="008080"/>
      </w:pBdr>
      <w:shd w:val="clear" w:color="000000" w:fill="D9D9D9"/>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97">
    <w:name w:val="xl597"/>
    <w:basedOn w:val="Normal"/>
    <w:rsid w:val="00D0773A"/>
    <w:pPr>
      <w:pBdr>
        <w:bottom w:val="single" w:sz="8" w:space="0" w:color="FF0000"/>
      </w:pBdr>
      <w:shd w:val="clear" w:color="000000" w:fill="D9D9D9"/>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98">
    <w:name w:val="xl598"/>
    <w:basedOn w:val="Normal"/>
    <w:rsid w:val="00D0773A"/>
    <w:pPr>
      <w:shd w:val="clear" w:color="000000" w:fill="D9D9D9"/>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599">
    <w:name w:val="xl599"/>
    <w:basedOn w:val="Normal"/>
    <w:rsid w:val="00D0773A"/>
    <w:pPr>
      <w:shd w:val="clear" w:color="000000" w:fill="D9D9D9"/>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00">
    <w:name w:val="xl600"/>
    <w:basedOn w:val="Normal"/>
    <w:rsid w:val="00D0773A"/>
    <w:pPr>
      <w:pBdr>
        <w:bottom w:val="single" w:sz="8" w:space="0" w:color="00B0F0"/>
      </w:pBdr>
      <w:shd w:val="clear" w:color="000000" w:fill="D9D9D9"/>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01">
    <w:name w:val="xl601"/>
    <w:basedOn w:val="Normal"/>
    <w:rsid w:val="00D0773A"/>
    <w:pPr>
      <w:pBdr>
        <w:bottom w:val="single" w:sz="8" w:space="0" w:color="00B050"/>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02">
    <w:name w:val="xl602"/>
    <w:basedOn w:val="Normal"/>
    <w:rsid w:val="00D0773A"/>
    <w:pPr>
      <w:pBdr>
        <w:bottom w:val="single" w:sz="8" w:space="0" w:color="00B050"/>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03">
    <w:name w:val="xl603"/>
    <w:basedOn w:val="Normal"/>
    <w:rsid w:val="00D0773A"/>
    <w:pPr>
      <w:pBdr>
        <w:bottom w:val="single" w:sz="8" w:space="0" w:color="00B0F0"/>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04">
    <w:name w:val="xl604"/>
    <w:basedOn w:val="Normal"/>
    <w:rsid w:val="00D0773A"/>
    <w:pPr>
      <w:pBdr>
        <w:bottom w:val="single" w:sz="8" w:space="0" w:color="FF9900"/>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05">
    <w:name w:val="xl605"/>
    <w:basedOn w:val="Normal"/>
    <w:rsid w:val="00D0773A"/>
    <w:pPr>
      <w:pBdr>
        <w:bottom w:val="single" w:sz="8" w:space="0" w:color="FF0000"/>
        <w:right w:val="single" w:sz="8" w:space="0" w:color="FF0000"/>
      </w:pBdr>
      <w:shd w:val="clear" w:color="000000" w:fill="DAEEF3"/>
      <w:spacing w:before="100" w:beforeAutospacing="1" w:after="100" w:afterAutospacing="1" w:line="240" w:lineRule="auto"/>
      <w:textAlignment w:val="top"/>
    </w:pPr>
    <w:rPr>
      <w:rFonts w:ascii="Calibri" w:hAnsi="Calibri" w:cs="Calibri"/>
      <w:color w:val="000000"/>
      <w:sz w:val="24"/>
      <w:szCs w:val="24"/>
      <w:lang w:eastAsia="en-NZ"/>
    </w:rPr>
  </w:style>
  <w:style w:type="paragraph" w:customStyle="1" w:styleId="xl606">
    <w:name w:val="xl606"/>
    <w:basedOn w:val="Normal"/>
    <w:rsid w:val="00D0773A"/>
    <w:pPr>
      <w:pBdr>
        <w:bottom w:val="single" w:sz="8" w:space="0" w:color="008080"/>
      </w:pBdr>
      <w:shd w:val="clear" w:color="000000" w:fill="FFFF0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07">
    <w:name w:val="xl607"/>
    <w:basedOn w:val="Normal"/>
    <w:rsid w:val="00D0773A"/>
    <w:pPr>
      <w:shd w:val="clear" w:color="000000" w:fill="FFFF0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08">
    <w:name w:val="xl608"/>
    <w:basedOn w:val="Normal"/>
    <w:rsid w:val="00D0773A"/>
    <w:pPr>
      <w:shd w:val="clear" w:color="000000" w:fill="FFFF0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09">
    <w:name w:val="xl609"/>
    <w:basedOn w:val="Normal"/>
    <w:rsid w:val="00D0773A"/>
    <w:pPr>
      <w:pBdr>
        <w:bottom w:val="single" w:sz="8" w:space="0" w:color="008080"/>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10">
    <w:name w:val="xl610"/>
    <w:basedOn w:val="Normal"/>
    <w:rsid w:val="00D0773A"/>
    <w:pPr>
      <w:pBdr>
        <w:bottom w:val="single" w:sz="8" w:space="0" w:color="00B0F0"/>
      </w:pBdr>
      <w:shd w:val="clear" w:color="000000" w:fill="FCD5B4"/>
      <w:spacing w:before="100" w:beforeAutospacing="1" w:after="100" w:afterAutospacing="1" w:line="240" w:lineRule="auto"/>
      <w:textAlignment w:val="top"/>
    </w:pPr>
    <w:rPr>
      <w:rFonts w:ascii="Calibri" w:hAnsi="Calibri" w:cs="Calibri"/>
      <w:sz w:val="24"/>
      <w:szCs w:val="24"/>
      <w:lang w:eastAsia="en-NZ"/>
    </w:rPr>
  </w:style>
  <w:style w:type="paragraph" w:customStyle="1" w:styleId="xl611">
    <w:name w:val="xl611"/>
    <w:basedOn w:val="Normal"/>
    <w:rsid w:val="00D0773A"/>
    <w:pPr>
      <w:pBdr>
        <w:bottom w:val="single" w:sz="8" w:space="0" w:color="00B0F0"/>
      </w:pBdr>
      <w:spacing w:before="100" w:beforeAutospacing="1" w:after="100" w:afterAutospacing="1" w:line="240" w:lineRule="auto"/>
      <w:jc w:val="right"/>
      <w:textAlignment w:val="top"/>
    </w:pPr>
    <w:rPr>
      <w:rFonts w:ascii="Calibri" w:hAnsi="Calibri" w:cs="Calibri"/>
      <w:color w:val="FF0000"/>
      <w:sz w:val="24"/>
      <w:szCs w:val="24"/>
      <w:lang w:eastAsia="en-NZ"/>
    </w:rPr>
  </w:style>
  <w:style w:type="paragraph" w:customStyle="1" w:styleId="xl612">
    <w:name w:val="xl612"/>
    <w:basedOn w:val="Normal"/>
    <w:rsid w:val="00D0773A"/>
    <w:pPr>
      <w:pBdr>
        <w:bottom w:val="single" w:sz="8" w:space="0" w:color="00808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13">
    <w:name w:val="xl613"/>
    <w:basedOn w:val="Normal"/>
    <w:rsid w:val="00D0773A"/>
    <w:pPr>
      <w:pBdr>
        <w:bottom w:val="single" w:sz="8" w:space="0" w:color="FF9900"/>
      </w:pBdr>
      <w:spacing w:before="100" w:beforeAutospacing="1" w:after="100" w:afterAutospacing="1" w:line="240" w:lineRule="auto"/>
      <w:jc w:val="right"/>
      <w:textAlignment w:val="top"/>
    </w:pPr>
    <w:rPr>
      <w:rFonts w:ascii="Calibri" w:hAnsi="Calibri" w:cs="Calibri"/>
      <w:i/>
      <w:iCs/>
      <w:color w:val="000000"/>
      <w:sz w:val="24"/>
      <w:szCs w:val="24"/>
      <w:lang w:eastAsia="en-NZ"/>
    </w:rPr>
  </w:style>
  <w:style w:type="paragraph" w:customStyle="1" w:styleId="xl614">
    <w:name w:val="xl614"/>
    <w:basedOn w:val="Normal"/>
    <w:rsid w:val="00D0773A"/>
    <w:pPr>
      <w:pBdr>
        <w:right w:val="single" w:sz="4" w:space="0" w:color="auto"/>
      </w:pBdr>
      <w:spacing w:before="100" w:beforeAutospacing="1" w:after="100" w:afterAutospacing="1" w:line="240" w:lineRule="auto"/>
      <w:textAlignment w:val="top"/>
    </w:pPr>
    <w:rPr>
      <w:rFonts w:ascii="Calibri" w:hAnsi="Calibri" w:cs="Calibri"/>
      <w:sz w:val="24"/>
      <w:szCs w:val="24"/>
      <w:lang w:eastAsia="en-NZ"/>
    </w:rPr>
  </w:style>
  <w:style w:type="paragraph" w:customStyle="1" w:styleId="xl615">
    <w:name w:val="xl615"/>
    <w:basedOn w:val="Normal"/>
    <w:rsid w:val="00D0773A"/>
    <w:pPr>
      <w:pBdr>
        <w:right w:val="single" w:sz="4" w:space="0" w:color="auto"/>
      </w:pBdr>
      <w:spacing w:before="100" w:beforeAutospacing="1" w:after="100" w:afterAutospacing="1" w:line="240" w:lineRule="auto"/>
      <w:textAlignment w:val="top"/>
    </w:pPr>
    <w:rPr>
      <w:rFonts w:ascii="Calibri" w:hAnsi="Calibri" w:cs="Calibri"/>
      <w:sz w:val="24"/>
      <w:szCs w:val="24"/>
      <w:lang w:eastAsia="en-NZ"/>
    </w:rPr>
  </w:style>
  <w:style w:type="paragraph" w:customStyle="1" w:styleId="xl616">
    <w:name w:val="xl616"/>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617">
    <w:name w:val="xl617"/>
    <w:basedOn w:val="Normal"/>
    <w:rsid w:val="00D0773A"/>
    <w:pPr>
      <w:pBdr>
        <w:bottom w:val="single" w:sz="8" w:space="0" w:color="008080"/>
        <w:right w:val="single" w:sz="8" w:space="0" w:color="008080"/>
      </w:pBdr>
      <w:spacing w:before="100" w:beforeAutospacing="1" w:after="100" w:afterAutospacing="1" w:line="240" w:lineRule="auto"/>
      <w:textAlignment w:val="top"/>
    </w:pPr>
    <w:rPr>
      <w:rFonts w:ascii="Calibri" w:hAnsi="Calibri" w:cs="Calibri"/>
      <w:sz w:val="24"/>
      <w:szCs w:val="24"/>
      <w:lang w:eastAsia="en-NZ"/>
    </w:rPr>
  </w:style>
  <w:style w:type="paragraph" w:customStyle="1" w:styleId="xl618">
    <w:name w:val="xl618"/>
    <w:basedOn w:val="Normal"/>
    <w:rsid w:val="00D0773A"/>
    <w:pPr>
      <w:shd w:val="clear" w:color="000000" w:fill="EBF1DE"/>
      <w:spacing w:before="100" w:beforeAutospacing="1" w:after="100" w:afterAutospacing="1" w:line="240" w:lineRule="auto"/>
      <w:textAlignment w:val="top"/>
    </w:pPr>
    <w:rPr>
      <w:rFonts w:ascii="Calibri" w:hAnsi="Calibri" w:cs="Calibri"/>
      <w:sz w:val="24"/>
      <w:szCs w:val="24"/>
      <w:lang w:eastAsia="en-NZ"/>
    </w:rPr>
  </w:style>
  <w:style w:type="paragraph" w:customStyle="1" w:styleId="xl619">
    <w:name w:val="xl619"/>
    <w:basedOn w:val="Normal"/>
    <w:rsid w:val="00D0773A"/>
    <w:pPr>
      <w:pBdr>
        <w:top w:val="single" w:sz="8" w:space="0" w:color="FF3399"/>
        <w:bottom w:val="single" w:sz="8" w:space="0" w:color="FF3399"/>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20">
    <w:name w:val="xl620"/>
    <w:basedOn w:val="Normal"/>
    <w:rsid w:val="00D0773A"/>
    <w:pPr>
      <w:pBdr>
        <w:bottom w:val="single" w:sz="8" w:space="0" w:color="00808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21">
    <w:name w:val="xl621"/>
    <w:basedOn w:val="Normal"/>
    <w:rsid w:val="00D0773A"/>
    <w:pPr>
      <w:pBdr>
        <w:bottom w:val="single" w:sz="8" w:space="0" w:color="00808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22">
    <w:name w:val="xl622"/>
    <w:basedOn w:val="Normal"/>
    <w:rsid w:val="00D0773A"/>
    <w:pP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23">
    <w:name w:val="xl623"/>
    <w:basedOn w:val="Normal"/>
    <w:rsid w:val="00D0773A"/>
    <w:pPr>
      <w:pBdr>
        <w:bottom w:val="single" w:sz="8" w:space="0" w:color="00B05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24">
    <w:name w:val="xl624"/>
    <w:basedOn w:val="Normal"/>
    <w:rsid w:val="00D0773A"/>
    <w:pPr>
      <w:pBdr>
        <w:right w:val="single" w:sz="4" w:space="0" w:color="auto"/>
      </w:pBdr>
      <w:shd w:val="clear" w:color="000000" w:fill="FFFF00"/>
      <w:spacing w:before="100" w:beforeAutospacing="1" w:after="100" w:afterAutospacing="1" w:line="240" w:lineRule="auto"/>
      <w:textAlignment w:val="top"/>
    </w:pPr>
    <w:rPr>
      <w:rFonts w:ascii="Calibri" w:hAnsi="Calibri" w:cs="Calibri"/>
      <w:sz w:val="24"/>
      <w:szCs w:val="24"/>
      <w:lang w:eastAsia="en-NZ"/>
    </w:rPr>
  </w:style>
  <w:style w:type="paragraph" w:customStyle="1" w:styleId="xl625">
    <w:name w:val="xl625"/>
    <w:basedOn w:val="Normal"/>
    <w:rsid w:val="00D0773A"/>
    <w:pPr>
      <w:pBdr>
        <w:bottom w:val="single" w:sz="8" w:space="0" w:color="538DD5"/>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26">
    <w:name w:val="xl626"/>
    <w:basedOn w:val="Normal"/>
    <w:rsid w:val="00D0773A"/>
    <w:pPr>
      <w:pBdr>
        <w:bottom w:val="single" w:sz="8" w:space="0" w:color="538DD5"/>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27">
    <w:name w:val="xl627"/>
    <w:basedOn w:val="Normal"/>
    <w:rsid w:val="00D0773A"/>
    <w:pPr>
      <w:pBdr>
        <w:bottom w:val="single" w:sz="8" w:space="0" w:color="00B0F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28">
    <w:name w:val="xl628"/>
    <w:basedOn w:val="Normal"/>
    <w:rsid w:val="00D0773A"/>
    <w:pPr>
      <w:pBdr>
        <w:bottom w:val="single" w:sz="8" w:space="0" w:color="008080"/>
      </w:pBdr>
      <w:shd w:val="clear" w:color="000000" w:fill="FFFF0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29">
    <w:name w:val="xl629"/>
    <w:basedOn w:val="Normal"/>
    <w:rsid w:val="00D0773A"/>
    <w:pPr>
      <w:pBdr>
        <w:bottom w:val="single" w:sz="8" w:space="0" w:color="00B0F0"/>
      </w:pBdr>
      <w:shd w:val="clear" w:color="000000" w:fill="FFFF0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30">
    <w:name w:val="xl630"/>
    <w:basedOn w:val="Normal"/>
    <w:rsid w:val="00D0773A"/>
    <w:pPr>
      <w:pBdr>
        <w:bottom w:val="single" w:sz="8" w:space="0" w:color="00B050"/>
      </w:pBdr>
      <w:shd w:val="clear" w:color="000000" w:fill="FFFF0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31">
    <w:name w:val="xl631"/>
    <w:basedOn w:val="Normal"/>
    <w:rsid w:val="00D0773A"/>
    <w:pPr>
      <w:pBdr>
        <w:bottom w:val="single" w:sz="8" w:space="0" w:color="008080"/>
      </w:pBdr>
      <w:shd w:val="clear" w:color="000000" w:fill="FFFF0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32">
    <w:name w:val="xl632"/>
    <w:basedOn w:val="Normal"/>
    <w:rsid w:val="00D0773A"/>
    <w:pPr>
      <w:spacing w:before="100" w:beforeAutospacing="1" w:after="100" w:afterAutospacing="1" w:line="240" w:lineRule="auto"/>
      <w:textAlignment w:val="center"/>
    </w:pPr>
    <w:rPr>
      <w:rFonts w:ascii="Calibri" w:hAnsi="Calibri" w:cs="Calibri"/>
      <w:sz w:val="24"/>
      <w:szCs w:val="24"/>
      <w:lang w:eastAsia="en-NZ"/>
    </w:rPr>
  </w:style>
  <w:style w:type="paragraph" w:customStyle="1" w:styleId="xl633">
    <w:name w:val="xl633"/>
    <w:basedOn w:val="Normal"/>
    <w:rsid w:val="00D0773A"/>
    <w:pPr>
      <w:pBdr>
        <w:right w:val="single" w:sz="4" w:space="0" w:color="auto"/>
      </w:pBdr>
      <w:shd w:val="clear" w:color="000000" w:fill="FFC000"/>
      <w:spacing w:before="100" w:beforeAutospacing="1" w:after="100" w:afterAutospacing="1" w:line="240" w:lineRule="auto"/>
      <w:textAlignment w:val="top"/>
    </w:pPr>
    <w:rPr>
      <w:rFonts w:ascii="Calibri" w:hAnsi="Calibri" w:cs="Calibri"/>
      <w:sz w:val="24"/>
      <w:szCs w:val="24"/>
      <w:lang w:eastAsia="en-NZ"/>
    </w:rPr>
  </w:style>
  <w:style w:type="paragraph" w:customStyle="1" w:styleId="xl634">
    <w:name w:val="xl634"/>
    <w:basedOn w:val="Normal"/>
    <w:rsid w:val="00D0773A"/>
    <w:pPr>
      <w:pBdr>
        <w:bottom w:val="single" w:sz="8" w:space="0" w:color="00B0F0"/>
      </w:pBdr>
      <w:shd w:val="clear" w:color="000000" w:fill="FFFF0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35">
    <w:name w:val="xl635"/>
    <w:basedOn w:val="Normal"/>
    <w:rsid w:val="00D0773A"/>
    <w:pPr>
      <w:pBdr>
        <w:bottom w:val="single" w:sz="8" w:space="0" w:color="00B05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36">
    <w:name w:val="xl636"/>
    <w:basedOn w:val="Normal"/>
    <w:rsid w:val="00D0773A"/>
    <w:pPr>
      <w:pBdr>
        <w:top w:val="single" w:sz="8" w:space="0" w:color="FF0000"/>
        <w:bottom w:val="single" w:sz="8" w:space="0" w:color="FF000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37">
    <w:name w:val="xl637"/>
    <w:basedOn w:val="Normal"/>
    <w:rsid w:val="00D0773A"/>
    <w:pPr>
      <w:pBdr>
        <w:bottom w:val="single" w:sz="8" w:space="0" w:color="FF000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38">
    <w:name w:val="xl638"/>
    <w:basedOn w:val="Normal"/>
    <w:rsid w:val="00D0773A"/>
    <w:pPr>
      <w:shd w:val="clear" w:color="000000" w:fill="FFFF0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39">
    <w:name w:val="xl639"/>
    <w:basedOn w:val="Normal"/>
    <w:rsid w:val="00D0773A"/>
    <w:pPr>
      <w:pBdr>
        <w:bottom w:val="single" w:sz="8" w:space="0" w:color="FF990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40">
    <w:name w:val="xl640"/>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641">
    <w:name w:val="xl641"/>
    <w:basedOn w:val="Normal"/>
    <w:rsid w:val="00D0773A"/>
    <w:pPr>
      <w:pBdr>
        <w:bottom w:val="single" w:sz="8" w:space="0" w:color="FF990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42">
    <w:name w:val="xl642"/>
    <w:basedOn w:val="Normal"/>
    <w:rsid w:val="00D0773A"/>
    <w:pPr>
      <w:pBdr>
        <w:bottom w:val="single" w:sz="8" w:space="0" w:color="FF9900"/>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43">
    <w:name w:val="xl643"/>
    <w:basedOn w:val="Normal"/>
    <w:rsid w:val="00D0773A"/>
    <w:pPr>
      <w:pBdr>
        <w:bottom w:val="single" w:sz="8" w:space="0" w:color="FF9900"/>
      </w:pBdr>
      <w:shd w:val="clear" w:color="000000" w:fill="FFFF0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44">
    <w:name w:val="xl644"/>
    <w:basedOn w:val="Normal"/>
    <w:rsid w:val="00D0773A"/>
    <w:pPr>
      <w:pBdr>
        <w:bottom w:val="single" w:sz="8" w:space="0" w:color="00B050"/>
      </w:pBdr>
      <w:shd w:val="clear" w:color="000000" w:fill="FFFF0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45">
    <w:name w:val="xl645"/>
    <w:basedOn w:val="Normal"/>
    <w:rsid w:val="00D0773A"/>
    <w:pPr>
      <w:pBdr>
        <w:bottom w:val="single" w:sz="8" w:space="0" w:color="008080"/>
      </w:pBdr>
      <w:shd w:val="clear" w:color="000000" w:fill="FFFF0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46">
    <w:name w:val="xl646"/>
    <w:basedOn w:val="Normal"/>
    <w:rsid w:val="00D0773A"/>
    <w:pPr>
      <w:pBdr>
        <w:bottom w:val="single" w:sz="8" w:space="0" w:color="FF990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47">
    <w:name w:val="xl647"/>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648">
    <w:name w:val="xl648"/>
    <w:basedOn w:val="Normal"/>
    <w:rsid w:val="00D0773A"/>
    <w:pPr>
      <w:spacing w:before="100" w:beforeAutospacing="1" w:after="100" w:afterAutospacing="1" w:line="240" w:lineRule="auto"/>
      <w:jc w:val="right"/>
      <w:textAlignment w:val="top"/>
    </w:pPr>
    <w:rPr>
      <w:rFonts w:ascii="Calibri" w:hAnsi="Calibri" w:cs="Calibri"/>
      <w:color w:val="FF0000"/>
      <w:sz w:val="24"/>
      <w:szCs w:val="24"/>
      <w:lang w:eastAsia="en-NZ"/>
    </w:rPr>
  </w:style>
  <w:style w:type="paragraph" w:customStyle="1" w:styleId="xl649">
    <w:name w:val="xl649"/>
    <w:basedOn w:val="Normal"/>
    <w:rsid w:val="00D0773A"/>
    <w:pPr>
      <w:spacing w:before="100" w:beforeAutospacing="1" w:after="100" w:afterAutospacing="1" w:line="240" w:lineRule="auto"/>
      <w:jc w:val="right"/>
      <w:textAlignment w:val="top"/>
    </w:pPr>
    <w:rPr>
      <w:rFonts w:ascii="Calibri" w:hAnsi="Calibri" w:cs="Calibri"/>
      <w:color w:val="FF0000"/>
      <w:sz w:val="24"/>
      <w:szCs w:val="24"/>
      <w:lang w:eastAsia="en-NZ"/>
    </w:rPr>
  </w:style>
  <w:style w:type="paragraph" w:customStyle="1" w:styleId="xl650">
    <w:name w:val="xl650"/>
    <w:basedOn w:val="Normal"/>
    <w:rsid w:val="00D0773A"/>
    <w:pPr>
      <w:pBdr>
        <w:bottom w:val="single" w:sz="8" w:space="0" w:color="FF9900"/>
      </w:pBdr>
      <w:shd w:val="clear" w:color="000000" w:fill="FFFF0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51">
    <w:name w:val="xl651"/>
    <w:basedOn w:val="Normal"/>
    <w:rsid w:val="00D0773A"/>
    <w:pPr>
      <w:pBdr>
        <w:bottom w:val="single" w:sz="8" w:space="0" w:color="538DD5"/>
      </w:pBdr>
      <w:shd w:val="clear" w:color="000000" w:fill="FFFF0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52">
    <w:name w:val="xl652"/>
    <w:basedOn w:val="Normal"/>
    <w:rsid w:val="00D0773A"/>
    <w:pPr>
      <w:pBdr>
        <w:bottom w:val="single" w:sz="8" w:space="0" w:color="FF9900"/>
      </w:pBdr>
      <w:shd w:val="clear" w:color="000000" w:fill="FFFF0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53">
    <w:name w:val="xl653"/>
    <w:basedOn w:val="Normal"/>
    <w:rsid w:val="00D0773A"/>
    <w:pPr>
      <w:pBdr>
        <w:bottom w:val="single" w:sz="8" w:space="0" w:color="00B050"/>
      </w:pBd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54">
    <w:name w:val="xl654"/>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655">
    <w:name w:val="xl655"/>
    <w:basedOn w:val="Normal"/>
    <w:rsid w:val="00D0773A"/>
    <w:pPr>
      <w:pBdr>
        <w:bottom w:val="single" w:sz="8" w:space="0" w:color="538DD5"/>
      </w:pBdr>
      <w:shd w:val="clear" w:color="000000" w:fill="CCC0DA"/>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56">
    <w:name w:val="xl656"/>
    <w:basedOn w:val="Normal"/>
    <w:rsid w:val="00D0773A"/>
    <w:pPr>
      <w:pBdr>
        <w:bottom w:val="single" w:sz="8" w:space="0" w:color="538DD5"/>
      </w:pBdr>
      <w:shd w:val="clear" w:color="000000" w:fill="CCC0DA"/>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57">
    <w:name w:val="xl657"/>
    <w:basedOn w:val="Normal"/>
    <w:rsid w:val="00D0773A"/>
    <w:pPr>
      <w:shd w:val="clear" w:color="000000" w:fill="CCC0DA"/>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58">
    <w:name w:val="xl658"/>
    <w:basedOn w:val="Normal"/>
    <w:rsid w:val="00D0773A"/>
    <w:pPr>
      <w:shd w:val="clear" w:color="000000" w:fill="CCC0DA"/>
      <w:spacing w:before="100" w:beforeAutospacing="1" w:after="100" w:afterAutospacing="1" w:line="240" w:lineRule="auto"/>
      <w:textAlignment w:val="top"/>
    </w:pPr>
    <w:rPr>
      <w:rFonts w:ascii="Calibri" w:hAnsi="Calibri" w:cs="Calibri"/>
      <w:sz w:val="24"/>
      <w:szCs w:val="24"/>
      <w:lang w:eastAsia="en-NZ"/>
    </w:rPr>
  </w:style>
  <w:style w:type="paragraph" w:customStyle="1" w:styleId="xl659">
    <w:name w:val="xl659"/>
    <w:basedOn w:val="Normal"/>
    <w:rsid w:val="00D0773A"/>
    <w:pPr>
      <w:pBdr>
        <w:right w:val="single" w:sz="12" w:space="0" w:color="auto"/>
      </w:pBdr>
      <w:shd w:val="clear" w:color="000000" w:fill="CCC0DA"/>
      <w:spacing w:before="100" w:beforeAutospacing="1" w:after="100" w:afterAutospacing="1" w:line="240" w:lineRule="auto"/>
      <w:textAlignment w:val="top"/>
    </w:pPr>
    <w:rPr>
      <w:rFonts w:ascii="Calibri" w:hAnsi="Calibri" w:cs="Calibri"/>
      <w:sz w:val="24"/>
      <w:szCs w:val="24"/>
      <w:lang w:eastAsia="en-NZ"/>
    </w:rPr>
  </w:style>
  <w:style w:type="paragraph" w:customStyle="1" w:styleId="xl660">
    <w:name w:val="xl660"/>
    <w:basedOn w:val="Normal"/>
    <w:rsid w:val="00D0773A"/>
    <w:pPr>
      <w:pBdr>
        <w:left w:val="single" w:sz="12" w:space="0" w:color="auto"/>
        <w:bottom w:val="single" w:sz="8" w:space="0" w:color="538DD5"/>
      </w:pBdr>
      <w:shd w:val="clear" w:color="000000" w:fill="CCC0DA"/>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61">
    <w:name w:val="xl661"/>
    <w:basedOn w:val="Normal"/>
    <w:rsid w:val="00D0773A"/>
    <w:pPr>
      <w:pBdr>
        <w:right w:val="single" w:sz="12" w:space="0" w:color="auto"/>
      </w:pBdr>
      <w:shd w:val="clear" w:color="000000" w:fill="CCC0DA"/>
      <w:spacing w:before="100" w:beforeAutospacing="1" w:after="100" w:afterAutospacing="1" w:line="240" w:lineRule="auto"/>
      <w:textAlignment w:val="top"/>
    </w:pPr>
    <w:rPr>
      <w:rFonts w:ascii="Calibri" w:hAnsi="Calibri" w:cs="Calibri"/>
      <w:sz w:val="24"/>
      <w:szCs w:val="24"/>
      <w:lang w:eastAsia="en-NZ"/>
    </w:rPr>
  </w:style>
  <w:style w:type="paragraph" w:customStyle="1" w:styleId="xl662">
    <w:name w:val="xl662"/>
    <w:basedOn w:val="Normal"/>
    <w:rsid w:val="00D0773A"/>
    <w:pPr>
      <w:pBdr>
        <w:left w:val="single" w:sz="4" w:space="0" w:color="808080"/>
        <w:bottom w:val="single" w:sz="4" w:space="0" w:color="808080"/>
      </w:pBdr>
      <w:spacing w:before="100" w:beforeAutospacing="1" w:after="100" w:afterAutospacing="1" w:line="240" w:lineRule="auto"/>
      <w:textAlignment w:val="top"/>
    </w:pPr>
    <w:rPr>
      <w:rFonts w:ascii="Calibri" w:hAnsi="Calibri" w:cs="Calibri"/>
      <w:b/>
      <w:bCs/>
      <w:sz w:val="24"/>
      <w:szCs w:val="24"/>
      <w:lang w:eastAsia="en-NZ"/>
    </w:rPr>
  </w:style>
  <w:style w:type="paragraph" w:customStyle="1" w:styleId="xl663">
    <w:name w:val="xl663"/>
    <w:basedOn w:val="Normal"/>
    <w:rsid w:val="00D0773A"/>
    <w:pPr>
      <w:pBdr>
        <w:right w:val="single" w:sz="4" w:space="0" w:color="auto"/>
      </w:pBdr>
      <w:shd w:val="clear" w:color="000000" w:fill="CCC0DA"/>
      <w:spacing w:before="100" w:beforeAutospacing="1" w:after="100" w:afterAutospacing="1" w:line="240" w:lineRule="auto"/>
      <w:textAlignment w:val="top"/>
    </w:pPr>
    <w:rPr>
      <w:rFonts w:ascii="Calibri" w:hAnsi="Calibri" w:cs="Calibri"/>
      <w:sz w:val="24"/>
      <w:szCs w:val="24"/>
      <w:lang w:eastAsia="en-NZ"/>
    </w:rPr>
  </w:style>
  <w:style w:type="paragraph" w:customStyle="1" w:styleId="xl664">
    <w:name w:val="xl664"/>
    <w:basedOn w:val="Normal"/>
    <w:rsid w:val="00D0773A"/>
    <w:pPr>
      <w:pBdr>
        <w:top w:val="single" w:sz="8" w:space="0" w:color="FF0000"/>
        <w:bottom w:val="single" w:sz="8" w:space="0" w:color="FF0000"/>
      </w:pBdr>
      <w:shd w:val="clear" w:color="000000" w:fill="FFFF0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65">
    <w:name w:val="xl665"/>
    <w:basedOn w:val="Normal"/>
    <w:rsid w:val="00D0773A"/>
    <w:pPr>
      <w:pBdr>
        <w:bottom w:val="single" w:sz="8" w:space="0" w:color="FF0000"/>
      </w:pBdr>
      <w:shd w:val="clear" w:color="000000" w:fill="FABF8F"/>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66">
    <w:name w:val="xl666"/>
    <w:basedOn w:val="Normal"/>
    <w:rsid w:val="00D0773A"/>
    <w:pPr>
      <w:pBdr>
        <w:bottom w:val="single" w:sz="8" w:space="0" w:color="538DD5"/>
      </w:pBdr>
      <w:shd w:val="clear" w:color="000000" w:fill="FCD5B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67">
    <w:name w:val="xl667"/>
    <w:basedOn w:val="Normal"/>
    <w:rsid w:val="00D0773A"/>
    <w:pPr>
      <w:pBdr>
        <w:bottom w:val="single" w:sz="8" w:space="0" w:color="FF0000"/>
      </w:pBdr>
      <w:shd w:val="clear" w:color="000000" w:fill="FFFF0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68">
    <w:name w:val="xl668"/>
    <w:basedOn w:val="Normal"/>
    <w:rsid w:val="00D0773A"/>
    <w:pPr>
      <w:pBdr>
        <w:bottom w:val="single" w:sz="8" w:space="0" w:color="FF9900"/>
      </w:pBdr>
      <w:shd w:val="clear" w:color="000000" w:fill="DA969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69">
    <w:name w:val="xl669"/>
    <w:basedOn w:val="Normal"/>
    <w:rsid w:val="00D0773A"/>
    <w:pPr>
      <w:pBdr>
        <w:bottom w:val="single" w:sz="8" w:space="0" w:color="FF9900"/>
      </w:pBdr>
      <w:shd w:val="clear" w:color="000000" w:fill="DA969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70">
    <w:name w:val="xl670"/>
    <w:basedOn w:val="Normal"/>
    <w:rsid w:val="00D0773A"/>
    <w:pPr>
      <w:shd w:val="clear" w:color="000000" w:fill="DA969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71">
    <w:name w:val="xl671"/>
    <w:basedOn w:val="Normal"/>
    <w:rsid w:val="00D0773A"/>
    <w:pPr>
      <w:shd w:val="clear" w:color="000000" w:fill="DA969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72">
    <w:name w:val="xl672"/>
    <w:basedOn w:val="Normal"/>
    <w:rsid w:val="00D0773A"/>
    <w:pPr>
      <w:pBdr>
        <w:top w:val="single" w:sz="8" w:space="0" w:color="FF3399"/>
      </w:pBdr>
      <w:shd w:val="clear" w:color="000000" w:fill="DA969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73">
    <w:name w:val="xl673"/>
    <w:basedOn w:val="Normal"/>
    <w:rsid w:val="00D0773A"/>
    <w:pPr>
      <w:pBdr>
        <w:bottom w:val="single" w:sz="8" w:space="0" w:color="00B0F0"/>
      </w:pBdr>
      <w:shd w:val="clear" w:color="000000" w:fill="DA969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74">
    <w:name w:val="xl674"/>
    <w:basedOn w:val="Normal"/>
    <w:rsid w:val="00D0773A"/>
    <w:pPr>
      <w:pBdr>
        <w:bottom w:val="single" w:sz="8" w:space="0" w:color="00B0F0"/>
      </w:pBdr>
      <w:shd w:val="clear" w:color="000000" w:fill="DA969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75">
    <w:name w:val="xl675"/>
    <w:basedOn w:val="Normal"/>
    <w:rsid w:val="00D0773A"/>
    <w:pPr>
      <w:pBdr>
        <w:bottom w:val="single" w:sz="8" w:space="0" w:color="FF0000"/>
      </w:pBdr>
      <w:shd w:val="clear" w:color="000000" w:fill="DA969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76">
    <w:name w:val="xl676"/>
    <w:basedOn w:val="Normal"/>
    <w:rsid w:val="00D0773A"/>
    <w:pPr>
      <w:pBdr>
        <w:bottom w:val="single" w:sz="8" w:space="0" w:color="FF0000"/>
      </w:pBdr>
      <w:shd w:val="clear" w:color="000000" w:fill="DA969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77">
    <w:name w:val="xl677"/>
    <w:basedOn w:val="Normal"/>
    <w:rsid w:val="00D0773A"/>
    <w:pPr>
      <w:shd w:val="clear" w:color="000000" w:fill="DA969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78">
    <w:name w:val="xl678"/>
    <w:basedOn w:val="Normal"/>
    <w:rsid w:val="00D0773A"/>
    <w:pPr>
      <w:shd w:val="clear" w:color="000000" w:fill="DA969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79">
    <w:name w:val="xl679"/>
    <w:basedOn w:val="Normal"/>
    <w:rsid w:val="00D0773A"/>
    <w:pPr>
      <w:shd w:val="clear" w:color="000000" w:fill="DA9694"/>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80">
    <w:name w:val="xl680"/>
    <w:basedOn w:val="Normal"/>
    <w:rsid w:val="00D0773A"/>
    <w:pPr>
      <w:shd w:val="clear" w:color="000000" w:fill="DA9694"/>
      <w:spacing w:before="100" w:beforeAutospacing="1" w:after="100" w:afterAutospacing="1" w:line="240" w:lineRule="auto"/>
      <w:jc w:val="right"/>
      <w:textAlignment w:val="top"/>
    </w:pPr>
    <w:rPr>
      <w:rFonts w:ascii="Calibri" w:hAnsi="Calibri" w:cs="Calibri"/>
      <w:sz w:val="24"/>
      <w:szCs w:val="24"/>
      <w:lang w:eastAsia="en-NZ"/>
    </w:rPr>
  </w:style>
  <w:style w:type="paragraph" w:customStyle="1" w:styleId="xl681">
    <w:name w:val="xl681"/>
    <w:basedOn w:val="Normal"/>
    <w:rsid w:val="00D0773A"/>
    <w:pPr>
      <w:shd w:val="clear" w:color="000000" w:fill="92D050"/>
      <w:spacing w:before="100" w:beforeAutospacing="1" w:after="100" w:afterAutospacing="1" w:line="240" w:lineRule="auto"/>
      <w:jc w:val="right"/>
      <w:textAlignment w:val="top"/>
    </w:pPr>
    <w:rPr>
      <w:rFonts w:ascii="Calibri" w:hAnsi="Calibri" w:cs="Calibri"/>
      <w:sz w:val="24"/>
      <w:szCs w:val="24"/>
      <w:lang w:eastAsia="en-NZ"/>
    </w:rPr>
  </w:style>
  <w:style w:type="paragraph" w:customStyle="1" w:styleId="xl682">
    <w:name w:val="xl682"/>
    <w:basedOn w:val="Normal"/>
    <w:rsid w:val="00D0773A"/>
    <w:pPr>
      <w:pBdr>
        <w:bottom w:val="single" w:sz="8" w:space="0" w:color="00B050"/>
      </w:pBdr>
      <w:shd w:val="clear" w:color="000000" w:fill="92D05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83">
    <w:name w:val="xl683"/>
    <w:basedOn w:val="Normal"/>
    <w:rsid w:val="00D0773A"/>
    <w:pP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84">
    <w:name w:val="xl684"/>
    <w:basedOn w:val="Normal"/>
    <w:rsid w:val="00D0773A"/>
    <w:pPr>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85">
    <w:name w:val="xl685"/>
    <w:basedOn w:val="Normal"/>
    <w:rsid w:val="00D0773A"/>
    <w:pPr>
      <w:pBdr>
        <w:top w:val="single" w:sz="8" w:space="0" w:color="00B050"/>
      </w:pBdr>
      <w:shd w:val="clear" w:color="000000" w:fill="FFFF0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86">
    <w:name w:val="xl686"/>
    <w:basedOn w:val="Normal"/>
    <w:rsid w:val="00D0773A"/>
    <w:pPr>
      <w:shd w:val="clear" w:color="000000" w:fill="92D050"/>
      <w:spacing w:before="100" w:beforeAutospacing="1" w:after="100" w:afterAutospacing="1" w:line="240" w:lineRule="auto"/>
      <w:jc w:val="right"/>
      <w:textAlignment w:val="top"/>
    </w:pPr>
    <w:rPr>
      <w:rFonts w:ascii="Calibri" w:hAnsi="Calibri" w:cs="Calibri"/>
      <w:sz w:val="24"/>
      <w:szCs w:val="24"/>
      <w:lang w:eastAsia="en-NZ"/>
    </w:rPr>
  </w:style>
  <w:style w:type="paragraph" w:customStyle="1" w:styleId="xl687">
    <w:name w:val="xl687"/>
    <w:basedOn w:val="Normal"/>
    <w:rsid w:val="00D0773A"/>
    <w:pPr>
      <w:shd w:val="clear" w:color="000000" w:fill="92D050"/>
      <w:spacing w:before="100" w:beforeAutospacing="1" w:after="100" w:afterAutospacing="1" w:line="240" w:lineRule="auto"/>
      <w:textAlignment w:val="top"/>
    </w:pPr>
    <w:rPr>
      <w:rFonts w:ascii="Calibri" w:hAnsi="Calibri" w:cs="Calibri"/>
      <w:sz w:val="24"/>
      <w:szCs w:val="24"/>
      <w:lang w:eastAsia="en-NZ"/>
    </w:rPr>
  </w:style>
  <w:style w:type="paragraph" w:customStyle="1" w:styleId="xl688">
    <w:name w:val="xl688"/>
    <w:basedOn w:val="Normal"/>
    <w:rsid w:val="00D0773A"/>
    <w:pPr>
      <w:shd w:val="clear" w:color="000000" w:fill="FCD5B4"/>
      <w:spacing w:before="100" w:beforeAutospacing="1" w:after="100" w:afterAutospacing="1" w:line="240" w:lineRule="auto"/>
      <w:jc w:val="right"/>
      <w:textAlignment w:val="top"/>
    </w:pPr>
    <w:rPr>
      <w:rFonts w:ascii="Calibri" w:hAnsi="Calibri" w:cs="Calibri"/>
      <w:sz w:val="24"/>
      <w:szCs w:val="24"/>
      <w:lang w:eastAsia="en-NZ"/>
    </w:rPr>
  </w:style>
  <w:style w:type="paragraph" w:customStyle="1" w:styleId="xl689">
    <w:name w:val="xl689"/>
    <w:basedOn w:val="Normal"/>
    <w:rsid w:val="00D0773A"/>
    <w:pPr>
      <w:pBdr>
        <w:bottom w:val="single" w:sz="8" w:space="0" w:color="008080"/>
      </w:pBdr>
      <w:shd w:val="clear" w:color="000000" w:fill="92D05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90">
    <w:name w:val="xl690"/>
    <w:basedOn w:val="Normal"/>
    <w:rsid w:val="00D0773A"/>
    <w:pPr>
      <w:shd w:val="clear" w:color="000000" w:fill="FCD5B4"/>
      <w:spacing w:before="100" w:beforeAutospacing="1" w:after="100" w:afterAutospacing="1" w:line="240" w:lineRule="auto"/>
      <w:textAlignment w:val="top"/>
    </w:pPr>
    <w:rPr>
      <w:rFonts w:ascii="Calibri" w:hAnsi="Calibri" w:cs="Calibri"/>
      <w:sz w:val="24"/>
      <w:szCs w:val="24"/>
      <w:lang w:eastAsia="en-NZ"/>
    </w:rPr>
  </w:style>
  <w:style w:type="paragraph" w:customStyle="1" w:styleId="xl691">
    <w:name w:val="xl691"/>
    <w:basedOn w:val="Normal"/>
    <w:rsid w:val="00D0773A"/>
    <w:pPr>
      <w:shd w:val="clear" w:color="000000" w:fill="FCD5B4"/>
      <w:spacing w:before="100" w:beforeAutospacing="1" w:after="100" w:afterAutospacing="1" w:line="240" w:lineRule="auto"/>
      <w:textAlignment w:val="top"/>
    </w:pPr>
    <w:rPr>
      <w:rFonts w:ascii="Calibri" w:hAnsi="Calibri" w:cs="Calibri"/>
      <w:sz w:val="24"/>
      <w:szCs w:val="24"/>
      <w:lang w:eastAsia="en-NZ"/>
    </w:rPr>
  </w:style>
  <w:style w:type="paragraph" w:customStyle="1" w:styleId="xl692">
    <w:name w:val="xl692"/>
    <w:basedOn w:val="Normal"/>
    <w:rsid w:val="00D0773A"/>
    <w:pPr>
      <w:pBdr>
        <w:right w:val="single" w:sz="4" w:space="0" w:color="auto"/>
      </w:pBdr>
      <w:spacing w:before="100" w:beforeAutospacing="1" w:after="100" w:afterAutospacing="1" w:line="240" w:lineRule="auto"/>
      <w:textAlignment w:val="top"/>
    </w:pPr>
    <w:rPr>
      <w:rFonts w:ascii="Calibri" w:hAnsi="Calibri" w:cs="Calibri"/>
      <w:sz w:val="24"/>
      <w:szCs w:val="24"/>
      <w:lang w:eastAsia="en-NZ"/>
    </w:rPr>
  </w:style>
  <w:style w:type="paragraph" w:customStyle="1" w:styleId="xl693">
    <w:name w:val="xl693"/>
    <w:basedOn w:val="Normal"/>
    <w:rsid w:val="00D0773A"/>
    <w:pPr>
      <w:pBdr>
        <w:bottom w:val="single" w:sz="8" w:space="0" w:color="00B0F0"/>
      </w:pBdr>
      <w:shd w:val="clear" w:color="000000" w:fill="FFC00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94">
    <w:name w:val="xl694"/>
    <w:basedOn w:val="Normal"/>
    <w:rsid w:val="00D0773A"/>
    <w:pPr>
      <w:pBdr>
        <w:bottom w:val="single" w:sz="8" w:space="0" w:color="00B0F0"/>
      </w:pBdr>
      <w:shd w:val="clear" w:color="000000" w:fill="FFC000"/>
      <w:spacing w:before="100" w:beforeAutospacing="1" w:after="100" w:afterAutospacing="1" w:line="240" w:lineRule="auto"/>
      <w:jc w:val="right"/>
      <w:textAlignment w:val="top"/>
    </w:pPr>
    <w:rPr>
      <w:rFonts w:ascii="Calibri" w:hAnsi="Calibri" w:cs="Calibri"/>
      <w:color w:val="000000"/>
      <w:sz w:val="24"/>
      <w:szCs w:val="24"/>
      <w:lang w:eastAsia="en-NZ"/>
    </w:rPr>
  </w:style>
  <w:style w:type="paragraph" w:customStyle="1" w:styleId="xl695">
    <w:name w:val="xl695"/>
    <w:basedOn w:val="Normal"/>
    <w:rsid w:val="00D0773A"/>
    <w:pPr>
      <w:pBdr>
        <w:bottom w:val="single" w:sz="8" w:space="0" w:color="00B0F0"/>
      </w:pBdr>
      <w:spacing w:before="100" w:beforeAutospacing="1" w:after="100" w:afterAutospacing="1" w:line="240" w:lineRule="auto"/>
      <w:textAlignment w:val="top"/>
    </w:pPr>
    <w:rPr>
      <w:rFonts w:ascii="Calibri" w:hAnsi="Calibri" w:cs="Calibri"/>
      <w:color w:val="000000"/>
      <w:sz w:val="24"/>
      <w:szCs w:val="24"/>
      <w:lang w:eastAsia="en-NZ"/>
    </w:rPr>
  </w:style>
  <w:style w:type="paragraph" w:customStyle="1" w:styleId="xl696">
    <w:name w:val="xl696"/>
    <w:basedOn w:val="Normal"/>
    <w:rsid w:val="00D0773A"/>
    <w:pPr>
      <w:spacing w:before="100" w:beforeAutospacing="1" w:after="100" w:afterAutospacing="1" w:line="240" w:lineRule="auto"/>
      <w:textAlignment w:val="top"/>
    </w:pPr>
    <w:rPr>
      <w:rFonts w:ascii="Calibri" w:hAnsi="Calibri" w:cs="Calibri"/>
      <w:sz w:val="24"/>
      <w:szCs w:val="24"/>
      <w:lang w:eastAsia="en-NZ"/>
    </w:rPr>
  </w:style>
  <w:style w:type="paragraph" w:customStyle="1" w:styleId="xl697">
    <w:name w:val="xl697"/>
    <w:basedOn w:val="Normal"/>
    <w:rsid w:val="00D0773A"/>
    <w:pPr>
      <w:shd w:val="clear" w:color="000000" w:fill="FCD5B4"/>
      <w:spacing w:before="100" w:beforeAutospacing="1" w:after="100" w:afterAutospacing="1" w:line="240" w:lineRule="auto"/>
      <w:jc w:val="right"/>
      <w:textAlignment w:val="top"/>
    </w:pPr>
    <w:rPr>
      <w:rFonts w:ascii="Calibri" w:hAnsi="Calibri" w:cs="Calibri"/>
      <w:color w:val="FF0000"/>
      <w:sz w:val="24"/>
      <w:szCs w:val="24"/>
      <w:lang w:eastAsia="en-NZ"/>
    </w:rPr>
  </w:style>
  <w:style w:type="paragraph" w:customStyle="1" w:styleId="xl698">
    <w:name w:val="xl698"/>
    <w:basedOn w:val="Normal"/>
    <w:rsid w:val="00D0773A"/>
    <w:pPr>
      <w:pBdr>
        <w:right w:val="single" w:sz="4" w:space="0" w:color="auto"/>
      </w:pBdr>
      <w:spacing w:before="100" w:beforeAutospacing="1" w:after="100" w:afterAutospacing="1" w:line="240" w:lineRule="auto"/>
      <w:textAlignment w:val="top"/>
    </w:pPr>
    <w:rPr>
      <w:rFonts w:ascii="Calibri" w:hAnsi="Calibri" w:cs="Calibri"/>
      <w:i/>
      <w:iCs/>
      <w:sz w:val="24"/>
      <w:szCs w:val="24"/>
      <w:lang w:eastAsia="en-NZ"/>
    </w:rPr>
  </w:style>
  <w:style w:type="paragraph" w:customStyle="1" w:styleId="xl699">
    <w:name w:val="xl699"/>
    <w:basedOn w:val="Normal"/>
    <w:rsid w:val="00D0773A"/>
    <w:pPr>
      <w:pBdr>
        <w:bottom w:val="single" w:sz="8" w:space="0" w:color="00B0F0"/>
      </w:pBdr>
      <w:shd w:val="clear" w:color="000000" w:fill="FCD5B4"/>
      <w:spacing w:before="100" w:beforeAutospacing="1" w:after="100" w:afterAutospacing="1" w:line="240" w:lineRule="auto"/>
      <w:jc w:val="right"/>
      <w:textAlignment w:val="top"/>
    </w:pPr>
    <w:rPr>
      <w:rFonts w:ascii="Calibri" w:hAnsi="Calibri" w:cs="Calibri"/>
      <w:i/>
      <w:iCs/>
      <w:color w:val="000000"/>
      <w:sz w:val="24"/>
      <w:szCs w:val="24"/>
      <w:lang w:eastAsia="en-NZ"/>
    </w:rPr>
  </w:style>
  <w:style w:type="paragraph" w:customStyle="1" w:styleId="xl700">
    <w:name w:val="xl700"/>
    <w:basedOn w:val="Normal"/>
    <w:rsid w:val="00D0773A"/>
    <w:pPr>
      <w:spacing w:before="100" w:beforeAutospacing="1" w:after="100" w:afterAutospacing="1" w:line="240" w:lineRule="auto"/>
      <w:jc w:val="right"/>
      <w:textAlignment w:val="top"/>
    </w:pPr>
    <w:rPr>
      <w:rFonts w:ascii="Calibri" w:hAnsi="Calibri" w:cs="Calibri"/>
      <w:i/>
      <w:iCs/>
      <w:sz w:val="24"/>
      <w:szCs w:val="24"/>
      <w:lang w:eastAsia="en-NZ"/>
    </w:rPr>
  </w:style>
  <w:style w:type="paragraph" w:customStyle="1" w:styleId="xl701">
    <w:name w:val="xl701"/>
    <w:basedOn w:val="Normal"/>
    <w:rsid w:val="00D0773A"/>
    <w:pPr>
      <w:shd w:val="clear" w:color="000000" w:fill="FCD5B4"/>
      <w:spacing w:before="100" w:beforeAutospacing="1" w:after="100" w:afterAutospacing="1" w:line="240" w:lineRule="auto"/>
      <w:jc w:val="right"/>
      <w:textAlignment w:val="top"/>
    </w:pPr>
    <w:rPr>
      <w:rFonts w:ascii="Calibri" w:hAnsi="Calibri" w:cs="Calibri"/>
      <w:sz w:val="24"/>
      <w:szCs w:val="24"/>
      <w:lang w:eastAsia="en-NZ"/>
    </w:rPr>
  </w:style>
  <w:style w:type="paragraph" w:customStyle="1" w:styleId="xl702">
    <w:name w:val="xl702"/>
    <w:basedOn w:val="Normal"/>
    <w:rsid w:val="00D0773A"/>
    <w:pPr>
      <w:shd w:val="clear" w:color="000000" w:fill="CCC0DA"/>
      <w:spacing w:before="100" w:beforeAutospacing="1" w:after="100" w:afterAutospacing="1" w:line="240" w:lineRule="auto"/>
      <w:jc w:val="right"/>
      <w:textAlignment w:val="top"/>
    </w:pPr>
    <w:rPr>
      <w:rFonts w:ascii="Calibri" w:hAnsi="Calibri" w:cs="Calibri"/>
      <w:sz w:val="24"/>
      <w:szCs w:val="24"/>
      <w:lang w:eastAsia="en-NZ"/>
    </w:rPr>
  </w:style>
  <w:style w:type="table" w:styleId="PlainTable4">
    <w:name w:val="Plain Table 4"/>
    <w:basedOn w:val="TableNormal"/>
    <w:uiPriority w:val="44"/>
    <w:rsid w:val="00D0773A"/>
    <w:pPr>
      <w:spacing w:after="0" w:line="240" w:lineRule="auto"/>
    </w:pPr>
    <w:tblPr>
      <w:tblStyleRowBandSize w:val="1"/>
      <w:tblStyleColBandSize w:val="1"/>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paragraph" w:customStyle="1" w:styleId="xmsoquote">
    <w:name w:val="x_msoquote"/>
    <w:basedOn w:val="Normal"/>
    <w:rsid w:val="00803177"/>
    <w:rPr>
      <w:rFonts w:ascii="Calibri" w:hAnsi="Calibri" w:cs="Calibri"/>
      <w:i/>
      <w:iCs/>
      <w:color w:val="000000"/>
      <w:lang w:eastAsia="en-NZ"/>
    </w:rPr>
  </w:style>
  <w:style w:type="paragraph" w:customStyle="1" w:styleId="ANZBodyText">
    <w:name w:val="ANZ Body Text"/>
    <w:basedOn w:val="Normal"/>
    <w:link w:val="ANZBodyTextChar"/>
    <w:qFormat/>
    <w:rsid w:val="008C44A9"/>
    <w:pPr>
      <w:spacing w:after="240" w:line="300" w:lineRule="atLeast"/>
    </w:pPr>
    <w:rPr>
      <w:rFonts w:ascii="Calibri" w:hAnsi="Calibri"/>
      <w:color w:val="000000" w:themeColor="text1"/>
      <w:lang w:eastAsia="en-GB"/>
    </w:rPr>
  </w:style>
  <w:style w:type="character" w:customStyle="1" w:styleId="ANZBodyTextChar">
    <w:name w:val="ANZ Body Text Char"/>
    <w:basedOn w:val="DefaultParagraphFont"/>
    <w:link w:val="ANZBodyText"/>
    <w:locked/>
    <w:rsid w:val="008C44A9"/>
    <w:rPr>
      <w:rFonts w:ascii="Calibri" w:hAnsi="Calibri" w:cs="Times New Roman"/>
      <w:color w:val="000000" w:themeColor="text1"/>
      <w:lang w:val="x-none" w:eastAsia="en-GB"/>
    </w:rPr>
  </w:style>
  <w:style w:type="paragraph" w:customStyle="1" w:styleId="ANZBulletLevel1">
    <w:name w:val="ANZ Bullet Level 1"/>
    <w:basedOn w:val="ANZBodyText"/>
    <w:rsid w:val="008C44A9"/>
    <w:pPr>
      <w:numPr>
        <w:numId w:val="25"/>
      </w:numPr>
      <w:ind w:left="1080" w:hanging="360"/>
    </w:pPr>
  </w:style>
  <w:style w:type="paragraph" w:customStyle="1" w:styleId="ANZBulletLevel2">
    <w:name w:val="ANZ Bullet Level 2"/>
    <w:basedOn w:val="ANZBulletLevel1"/>
    <w:rsid w:val="008C44A9"/>
    <w:pPr>
      <w:numPr>
        <w:ilvl w:val="1"/>
      </w:numPr>
      <w:ind w:left="1800" w:hanging="360"/>
    </w:pPr>
  </w:style>
  <w:style w:type="paragraph" w:customStyle="1" w:styleId="ANZBulletLevel3">
    <w:name w:val="ANZ Bullet Level 3"/>
    <w:basedOn w:val="ANZBulletLevel1"/>
    <w:rsid w:val="008C44A9"/>
    <w:pPr>
      <w:numPr>
        <w:ilvl w:val="2"/>
      </w:numPr>
      <w:tabs>
        <w:tab w:val="clear" w:pos="1701"/>
      </w:tabs>
      <w:ind w:left="2520" w:hanging="360"/>
    </w:pPr>
  </w:style>
  <w:style w:type="paragraph" w:customStyle="1" w:styleId="ANZHeading-L1">
    <w:name w:val="ANZ Heading - L1"/>
    <w:basedOn w:val="Normal"/>
    <w:next w:val="ANZBodyText"/>
    <w:rsid w:val="008C44A9"/>
    <w:pPr>
      <w:keepNext/>
      <w:spacing w:before="360" w:after="240" w:line="300" w:lineRule="atLeast"/>
    </w:pPr>
    <w:rPr>
      <w:rFonts w:ascii="Calibri" w:hAnsi="Calibri"/>
      <w:b/>
      <w:color w:val="000000" w:themeColor="text1"/>
      <w:kern w:val="28"/>
      <w:sz w:val="26"/>
      <w:szCs w:val="20"/>
    </w:rPr>
  </w:style>
  <w:style w:type="paragraph" w:customStyle="1" w:styleId="Pa2">
    <w:name w:val="Pa2"/>
    <w:basedOn w:val="Normal"/>
    <w:next w:val="Normal"/>
    <w:uiPriority w:val="99"/>
    <w:rsid w:val="00C44A57"/>
    <w:pPr>
      <w:autoSpaceDE w:val="0"/>
      <w:autoSpaceDN w:val="0"/>
      <w:adjustRightInd w:val="0"/>
      <w:spacing w:line="181" w:lineRule="atLeast"/>
    </w:pPr>
    <w:rPr>
      <w:rFonts w:ascii="Guardian TextEgyp" w:hAnsi="Guardian TextEgyp" w:cs="Arial"/>
      <w:lang w:val="en-US"/>
    </w:rPr>
  </w:style>
  <w:style w:type="table" w:customStyle="1" w:styleId="TableGrid20">
    <w:name w:val="Table Grid2"/>
    <w:basedOn w:val="TableNormal"/>
    <w:next w:val="TableGrid"/>
    <w:rsid w:val="00C63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1B61B8"/>
  </w:style>
  <w:style w:type="paragraph" w:styleId="BlockText">
    <w:name w:val="Block Text"/>
    <w:basedOn w:val="Normal"/>
    <w:uiPriority w:val="99"/>
    <w:semiHidden/>
    <w:unhideWhenUsed/>
    <w:rsid w:val="001B61B8"/>
    <w:pPr>
      <w:pBdr>
        <w:top w:val="single" w:sz="2" w:space="10" w:color="1CADE4" w:themeColor="accent1"/>
        <w:left w:val="single" w:sz="2" w:space="10" w:color="1CADE4" w:themeColor="accent1"/>
        <w:bottom w:val="single" w:sz="2" w:space="10" w:color="1CADE4" w:themeColor="accent1"/>
        <w:right w:val="single" w:sz="2" w:space="10" w:color="1CADE4" w:themeColor="accent1"/>
      </w:pBdr>
      <w:ind w:left="1152" w:right="1152"/>
    </w:pPr>
    <w:rPr>
      <w:rFonts w:asciiTheme="minorHAnsi" w:hAnsiTheme="minorHAnsi"/>
      <w:i/>
      <w:iCs/>
      <w:color w:val="1CADE4" w:themeColor="accent1"/>
    </w:rPr>
  </w:style>
  <w:style w:type="paragraph" w:styleId="BodyText2">
    <w:name w:val="Body Text 2"/>
    <w:basedOn w:val="Normal"/>
    <w:link w:val="BodyText2Char"/>
    <w:uiPriority w:val="99"/>
    <w:semiHidden/>
    <w:unhideWhenUsed/>
    <w:rsid w:val="001B61B8"/>
    <w:pPr>
      <w:spacing w:after="120" w:line="480" w:lineRule="auto"/>
    </w:pPr>
  </w:style>
  <w:style w:type="character" w:customStyle="1" w:styleId="BodyText2Char">
    <w:name w:val="Body Text 2 Char"/>
    <w:basedOn w:val="DefaultParagraphFont"/>
    <w:link w:val="BodyText2"/>
    <w:uiPriority w:val="99"/>
    <w:semiHidden/>
    <w:locked/>
    <w:rsid w:val="001B61B8"/>
    <w:rPr>
      <w:rFonts w:ascii="Arial" w:hAnsi="Arial" w:cs="Times New Roman"/>
    </w:rPr>
  </w:style>
  <w:style w:type="paragraph" w:styleId="BodyText3">
    <w:name w:val="Body Text 3"/>
    <w:basedOn w:val="Normal"/>
    <w:link w:val="BodyText3Char"/>
    <w:uiPriority w:val="99"/>
    <w:semiHidden/>
    <w:unhideWhenUsed/>
    <w:rsid w:val="001B61B8"/>
    <w:pPr>
      <w:spacing w:after="120"/>
    </w:pPr>
    <w:rPr>
      <w:sz w:val="16"/>
      <w:szCs w:val="16"/>
    </w:rPr>
  </w:style>
  <w:style w:type="character" w:customStyle="1" w:styleId="BodyText3Char">
    <w:name w:val="Body Text 3 Char"/>
    <w:basedOn w:val="DefaultParagraphFont"/>
    <w:link w:val="BodyText3"/>
    <w:uiPriority w:val="99"/>
    <w:semiHidden/>
    <w:locked/>
    <w:rsid w:val="001B61B8"/>
    <w:rPr>
      <w:rFonts w:ascii="Arial" w:hAnsi="Arial" w:cs="Times New Roman"/>
      <w:sz w:val="16"/>
      <w:szCs w:val="16"/>
    </w:rPr>
  </w:style>
  <w:style w:type="paragraph" w:styleId="BodyTextFirstIndent">
    <w:name w:val="Body Text First Indent"/>
    <w:basedOn w:val="BodyText"/>
    <w:link w:val="BodyTextFirstIndentChar"/>
    <w:uiPriority w:val="99"/>
    <w:semiHidden/>
    <w:unhideWhenUsed/>
    <w:rsid w:val="001B61B8"/>
    <w:pPr>
      <w:widowControl/>
      <w:spacing w:after="200" w:line="276" w:lineRule="auto"/>
      <w:ind w:left="0" w:firstLine="360"/>
    </w:pPr>
    <w:rPr>
      <w:sz w:val="22"/>
      <w:lang w:val="en-NZ"/>
    </w:rPr>
  </w:style>
  <w:style w:type="character" w:customStyle="1" w:styleId="BodyTextFirstIndentChar">
    <w:name w:val="Body Text First Indent Char"/>
    <w:basedOn w:val="BodyTextChar"/>
    <w:link w:val="BodyTextFirstIndent"/>
    <w:uiPriority w:val="99"/>
    <w:semiHidden/>
    <w:locked/>
    <w:rsid w:val="001B61B8"/>
    <w:rPr>
      <w:rFonts w:ascii="Arial" w:hAnsi="Arial" w:cs="Times New Roman"/>
      <w:sz w:val="20"/>
      <w:lang w:val="en-US" w:eastAsia="x-none"/>
    </w:rPr>
  </w:style>
  <w:style w:type="paragraph" w:styleId="BodyTextIndent">
    <w:name w:val="Body Text Indent"/>
    <w:basedOn w:val="Normal"/>
    <w:link w:val="BodyTextIndentChar"/>
    <w:uiPriority w:val="99"/>
    <w:semiHidden/>
    <w:unhideWhenUsed/>
    <w:rsid w:val="001B61B8"/>
    <w:pPr>
      <w:spacing w:after="120"/>
      <w:ind w:left="283"/>
    </w:pPr>
  </w:style>
  <w:style w:type="character" w:customStyle="1" w:styleId="BodyTextIndentChar">
    <w:name w:val="Body Text Indent Char"/>
    <w:basedOn w:val="DefaultParagraphFont"/>
    <w:link w:val="BodyTextIndent"/>
    <w:uiPriority w:val="99"/>
    <w:semiHidden/>
    <w:locked/>
    <w:rsid w:val="001B61B8"/>
    <w:rPr>
      <w:rFonts w:ascii="Arial" w:hAnsi="Arial" w:cs="Times New Roman"/>
    </w:rPr>
  </w:style>
  <w:style w:type="paragraph" w:styleId="BodyTextFirstIndent2">
    <w:name w:val="Body Text First Indent 2"/>
    <w:basedOn w:val="BodyTextIndent"/>
    <w:link w:val="BodyTextFirstIndent2Char"/>
    <w:uiPriority w:val="99"/>
    <w:semiHidden/>
    <w:unhideWhenUsed/>
    <w:rsid w:val="001B61B8"/>
    <w:pPr>
      <w:spacing w:after="200"/>
      <w:ind w:left="360" w:firstLine="360"/>
    </w:pPr>
  </w:style>
  <w:style w:type="character" w:customStyle="1" w:styleId="BodyTextFirstIndent2Char">
    <w:name w:val="Body Text First Indent 2 Char"/>
    <w:basedOn w:val="BodyTextIndentChar"/>
    <w:link w:val="BodyTextFirstIndent2"/>
    <w:uiPriority w:val="99"/>
    <w:semiHidden/>
    <w:locked/>
    <w:rsid w:val="001B61B8"/>
    <w:rPr>
      <w:rFonts w:ascii="Arial" w:hAnsi="Arial" w:cs="Times New Roman"/>
    </w:rPr>
  </w:style>
  <w:style w:type="paragraph" w:styleId="BodyTextIndent2">
    <w:name w:val="Body Text Indent 2"/>
    <w:basedOn w:val="Normal"/>
    <w:link w:val="BodyTextIndent2Char"/>
    <w:uiPriority w:val="99"/>
    <w:semiHidden/>
    <w:unhideWhenUsed/>
    <w:rsid w:val="001B61B8"/>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1B61B8"/>
    <w:rPr>
      <w:rFonts w:ascii="Arial" w:hAnsi="Arial" w:cs="Times New Roman"/>
    </w:rPr>
  </w:style>
  <w:style w:type="paragraph" w:styleId="BodyTextIndent3">
    <w:name w:val="Body Text Indent 3"/>
    <w:basedOn w:val="Normal"/>
    <w:link w:val="BodyTextIndent3Char"/>
    <w:uiPriority w:val="99"/>
    <w:semiHidden/>
    <w:unhideWhenUsed/>
    <w:rsid w:val="001B61B8"/>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1B61B8"/>
    <w:rPr>
      <w:rFonts w:ascii="Arial" w:hAnsi="Arial" w:cs="Times New Roman"/>
      <w:sz w:val="16"/>
      <w:szCs w:val="16"/>
    </w:rPr>
  </w:style>
  <w:style w:type="paragraph" w:styleId="Closing">
    <w:name w:val="Closing"/>
    <w:basedOn w:val="Normal"/>
    <w:link w:val="ClosingChar"/>
    <w:uiPriority w:val="99"/>
    <w:semiHidden/>
    <w:unhideWhenUsed/>
    <w:rsid w:val="001B61B8"/>
    <w:pPr>
      <w:spacing w:after="0" w:line="240" w:lineRule="auto"/>
      <w:ind w:left="4252"/>
    </w:pPr>
  </w:style>
  <w:style w:type="character" w:customStyle="1" w:styleId="ClosingChar">
    <w:name w:val="Closing Char"/>
    <w:basedOn w:val="DefaultParagraphFont"/>
    <w:link w:val="Closing"/>
    <w:uiPriority w:val="99"/>
    <w:semiHidden/>
    <w:locked/>
    <w:rsid w:val="001B61B8"/>
    <w:rPr>
      <w:rFonts w:ascii="Arial" w:hAnsi="Arial" w:cs="Times New Roman"/>
    </w:rPr>
  </w:style>
  <w:style w:type="paragraph" w:styleId="Date">
    <w:name w:val="Date"/>
    <w:basedOn w:val="Normal"/>
    <w:next w:val="Normal"/>
    <w:link w:val="DateChar"/>
    <w:uiPriority w:val="99"/>
    <w:semiHidden/>
    <w:unhideWhenUsed/>
    <w:rsid w:val="001B61B8"/>
  </w:style>
  <w:style w:type="character" w:customStyle="1" w:styleId="DateChar">
    <w:name w:val="Date Char"/>
    <w:basedOn w:val="DefaultParagraphFont"/>
    <w:link w:val="Date"/>
    <w:uiPriority w:val="99"/>
    <w:semiHidden/>
    <w:locked/>
    <w:rsid w:val="001B61B8"/>
    <w:rPr>
      <w:rFonts w:ascii="Arial" w:hAnsi="Arial" w:cs="Times New Roman"/>
    </w:rPr>
  </w:style>
  <w:style w:type="paragraph" w:styleId="DocumentMap">
    <w:name w:val="Document Map"/>
    <w:basedOn w:val="Normal"/>
    <w:link w:val="DocumentMapChar"/>
    <w:uiPriority w:val="99"/>
    <w:semiHidden/>
    <w:unhideWhenUsed/>
    <w:rsid w:val="001B61B8"/>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locked/>
    <w:rsid w:val="001B61B8"/>
    <w:rPr>
      <w:rFonts w:ascii="Segoe UI" w:hAnsi="Segoe UI" w:cs="Segoe UI"/>
      <w:sz w:val="16"/>
      <w:szCs w:val="16"/>
    </w:rPr>
  </w:style>
  <w:style w:type="paragraph" w:styleId="E-mailSignature">
    <w:name w:val="E-mail Signature"/>
    <w:basedOn w:val="Normal"/>
    <w:link w:val="E-mailSignatureChar"/>
    <w:uiPriority w:val="99"/>
    <w:semiHidden/>
    <w:unhideWhenUsed/>
    <w:rsid w:val="001B61B8"/>
    <w:pPr>
      <w:spacing w:after="0" w:line="240" w:lineRule="auto"/>
    </w:pPr>
  </w:style>
  <w:style w:type="character" w:customStyle="1" w:styleId="E-mailSignatureChar">
    <w:name w:val="E-mail Signature Char"/>
    <w:basedOn w:val="DefaultParagraphFont"/>
    <w:link w:val="E-mailSignature"/>
    <w:uiPriority w:val="99"/>
    <w:semiHidden/>
    <w:locked/>
    <w:rsid w:val="001B61B8"/>
    <w:rPr>
      <w:rFonts w:ascii="Arial" w:hAnsi="Arial" w:cs="Times New Roman"/>
    </w:rPr>
  </w:style>
  <w:style w:type="paragraph" w:styleId="EndnoteText">
    <w:name w:val="endnote text"/>
    <w:basedOn w:val="Normal"/>
    <w:link w:val="EndnoteTextChar"/>
    <w:uiPriority w:val="99"/>
    <w:semiHidden/>
    <w:unhideWhenUsed/>
    <w:rsid w:val="001B61B8"/>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B61B8"/>
    <w:rPr>
      <w:rFonts w:ascii="Arial" w:hAnsi="Arial" w:cs="Times New Roman"/>
      <w:sz w:val="20"/>
      <w:szCs w:val="20"/>
    </w:rPr>
  </w:style>
  <w:style w:type="paragraph" w:styleId="EnvelopeAddress">
    <w:name w:val="envelope address"/>
    <w:basedOn w:val="Normal"/>
    <w:uiPriority w:val="99"/>
    <w:semiHidden/>
    <w:unhideWhenUsed/>
    <w:rsid w:val="001B61B8"/>
    <w:pPr>
      <w:framePr w:w="7920" w:h="1980" w:hRule="exact" w:hSpace="180" w:wrap="auto" w:hAnchor="page" w:xAlign="center" w:yAlign="bottom"/>
      <w:spacing w:after="0" w:line="240" w:lineRule="auto"/>
      <w:ind w:left="2880"/>
    </w:pPr>
    <w:rPr>
      <w:rFonts w:asciiTheme="majorHAnsi" w:eastAsiaTheme="majorEastAsia" w:hAnsiTheme="majorHAnsi"/>
      <w:sz w:val="24"/>
      <w:szCs w:val="24"/>
    </w:rPr>
  </w:style>
  <w:style w:type="paragraph" w:styleId="EnvelopeReturn">
    <w:name w:val="envelope return"/>
    <w:basedOn w:val="Normal"/>
    <w:uiPriority w:val="99"/>
    <w:semiHidden/>
    <w:unhideWhenUsed/>
    <w:rsid w:val="001B61B8"/>
    <w:pPr>
      <w:spacing w:after="0" w:line="240" w:lineRule="auto"/>
    </w:pPr>
    <w:rPr>
      <w:rFonts w:asciiTheme="majorHAnsi" w:eastAsiaTheme="majorEastAsia" w:hAnsiTheme="majorHAnsi"/>
      <w:sz w:val="20"/>
      <w:szCs w:val="20"/>
    </w:rPr>
  </w:style>
  <w:style w:type="paragraph" w:styleId="HTMLAddress">
    <w:name w:val="HTML Address"/>
    <w:basedOn w:val="Normal"/>
    <w:link w:val="HTMLAddressChar"/>
    <w:uiPriority w:val="99"/>
    <w:semiHidden/>
    <w:unhideWhenUsed/>
    <w:rsid w:val="001B61B8"/>
    <w:pPr>
      <w:spacing w:after="0" w:line="240" w:lineRule="auto"/>
    </w:pPr>
    <w:rPr>
      <w:i/>
      <w:iCs/>
    </w:rPr>
  </w:style>
  <w:style w:type="character" w:customStyle="1" w:styleId="HTMLAddressChar">
    <w:name w:val="HTML Address Char"/>
    <w:basedOn w:val="DefaultParagraphFont"/>
    <w:link w:val="HTMLAddress"/>
    <w:uiPriority w:val="99"/>
    <w:semiHidden/>
    <w:locked/>
    <w:rsid w:val="001B61B8"/>
    <w:rPr>
      <w:rFonts w:ascii="Arial" w:hAnsi="Arial" w:cs="Times New Roman"/>
      <w:i/>
      <w:iCs/>
    </w:rPr>
  </w:style>
  <w:style w:type="paragraph" w:styleId="List">
    <w:name w:val="List"/>
    <w:basedOn w:val="Normal"/>
    <w:uiPriority w:val="99"/>
    <w:semiHidden/>
    <w:unhideWhenUsed/>
    <w:rsid w:val="001B61B8"/>
    <w:pPr>
      <w:ind w:left="283" w:hanging="283"/>
      <w:contextualSpacing/>
    </w:pPr>
  </w:style>
  <w:style w:type="paragraph" w:styleId="List2">
    <w:name w:val="List 2"/>
    <w:basedOn w:val="Normal"/>
    <w:uiPriority w:val="99"/>
    <w:semiHidden/>
    <w:unhideWhenUsed/>
    <w:rsid w:val="001B61B8"/>
    <w:pPr>
      <w:ind w:left="566" w:hanging="283"/>
      <w:contextualSpacing/>
    </w:pPr>
  </w:style>
  <w:style w:type="paragraph" w:styleId="List3">
    <w:name w:val="List 3"/>
    <w:basedOn w:val="Normal"/>
    <w:uiPriority w:val="99"/>
    <w:semiHidden/>
    <w:unhideWhenUsed/>
    <w:rsid w:val="001B61B8"/>
    <w:pPr>
      <w:ind w:left="849" w:hanging="283"/>
      <w:contextualSpacing/>
    </w:pPr>
  </w:style>
  <w:style w:type="paragraph" w:styleId="List4">
    <w:name w:val="List 4"/>
    <w:basedOn w:val="Normal"/>
    <w:uiPriority w:val="99"/>
    <w:semiHidden/>
    <w:unhideWhenUsed/>
    <w:rsid w:val="001B61B8"/>
    <w:pPr>
      <w:ind w:left="1132" w:hanging="283"/>
      <w:contextualSpacing/>
    </w:pPr>
  </w:style>
  <w:style w:type="paragraph" w:styleId="List5">
    <w:name w:val="List 5"/>
    <w:basedOn w:val="Normal"/>
    <w:uiPriority w:val="99"/>
    <w:semiHidden/>
    <w:unhideWhenUsed/>
    <w:rsid w:val="001B61B8"/>
    <w:pPr>
      <w:ind w:left="1415" w:hanging="283"/>
      <w:contextualSpacing/>
    </w:pPr>
  </w:style>
  <w:style w:type="paragraph" w:styleId="ListBullet">
    <w:name w:val="List Bullet"/>
    <w:basedOn w:val="Normal"/>
    <w:uiPriority w:val="99"/>
    <w:semiHidden/>
    <w:unhideWhenUsed/>
    <w:rsid w:val="001B61B8"/>
    <w:pPr>
      <w:numPr>
        <w:numId w:val="27"/>
      </w:numPr>
      <w:ind w:left="360"/>
      <w:contextualSpacing/>
    </w:pPr>
  </w:style>
  <w:style w:type="paragraph" w:styleId="ListBullet2">
    <w:name w:val="List Bullet 2"/>
    <w:basedOn w:val="Normal"/>
    <w:uiPriority w:val="99"/>
    <w:semiHidden/>
    <w:unhideWhenUsed/>
    <w:rsid w:val="001B61B8"/>
    <w:pPr>
      <w:numPr>
        <w:numId w:val="28"/>
      </w:numPr>
      <w:tabs>
        <w:tab w:val="num" w:pos="643"/>
      </w:tabs>
      <w:ind w:left="643"/>
      <w:contextualSpacing/>
    </w:pPr>
  </w:style>
  <w:style w:type="paragraph" w:styleId="ListBullet3">
    <w:name w:val="List Bullet 3"/>
    <w:basedOn w:val="Normal"/>
    <w:uiPriority w:val="99"/>
    <w:semiHidden/>
    <w:unhideWhenUsed/>
    <w:rsid w:val="001B61B8"/>
    <w:pPr>
      <w:numPr>
        <w:numId w:val="29"/>
      </w:numPr>
      <w:tabs>
        <w:tab w:val="num" w:pos="926"/>
      </w:tabs>
      <w:ind w:left="926"/>
      <w:contextualSpacing/>
    </w:pPr>
  </w:style>
  <w:style w:type="paragraph" w:styleId="ListBullet4">
    <w:name w:val="List Bullet 4"/>
    <w:basedOn w:val="Normal"/>
    <w:uiPriority w:val="99"/>
    <w:semiHidden/>
    <w:unhideWhenUsed/>
    <w:rsid w:val="001B61B8"/>
    <w:pPr>
      <w:numPr>
        <w:numId w:val="30"/>
      </w:numPr>
      <w:tabs>
        <w:tab w:val="num" w:pos="1209"/>
      </w:tabs>
      <w:ind w:left="1209"/>
      <w:contextualSpacing/>
    </w:pPr>
  </w:style>
  <w:style w:type="paragraph" w:styleId="ListBullet5">
    <w:name w:val="List Bullet 5"/>
    <w:basedOn w:val="Normal"/>
    <w:uiPriority w:val="99"/>
    <w:semiHidden/>
    <w:unhideWhenUsed/>
    <w:rsid w:val="001B61B8"/>
    <w:pPr>
      <w:numPr>
        <w:numId w:val="31"/>
      </w:numPr>
      <w:tabs>
        <w:tab w:val="num" w:pos="1492"/>
      </w:tabs>
      <w:ind w:left="1492"/>
      <w:contextualSpacing/>
    </w:pPr>
  </w:style>
  <w:style w:type="paragraph" w:styleId="ListContinue">
    <w:name w:val="List Continue"/>
    <w:basedOn w:val="Normal"/>
    <w:uiPriority w:val="99"/>
    <w:semiHidden/>
    <w:unhideWhenUsed/>
    <w:rsid w:val="001B61B8"/>
    <w:pPr>
      <w:spacing w:after="120"/>
      <w:ind w:left="283"/>
      <w:contextualSpacing/>
    </w:pPr>
  </w:style>
  <w:style w:type="paragraph" w:styleId="ListContinue2">
    <w:name w:val="List Continue 2"/>
    <w:basedOn w:val="Normal"/>
    <w:uiPriority w:val="99"/>
    <w:semiHidden/>
    <w:unhideWhenUsed/>
    <w:rsid w:val="001B61B8"/>
    <w:pPr>
      <w:spacing w:after="120"/>
      <w:ind w:left="566"/>
      <w:contextualSpacing/>
    </w:pPr>
  </w:style>
  <w:style w:type="paragraph" w:styleId="ListContinue3">
    <w:name w:val="List Continue 3"/>
    <w:basedOn w:val="Normal"/>
    <w:uiPriority w:val="99"/>
    <w:semiHidden/>
    <w:unhideWhenUsed/>
    <w:rsid w:val="001B61B8"/>
    <w:pPr>
      <w:spacing w:after="120"/>
      <w:ind w:left="849"/>
      <w:contextualSpacing/>
    </w:pPr>
  </w:style>
  <w:style w:type="paragraph" w:styleId="ListContinue4">
    <w:name w:val="List Continue 4"/>
    <w:basedOn w:val="Normal"/>
    <w:uiPriority w:val="99"/>
    <w:semiHidden/>
    <w:unhideWhenUsed/>
    <w:rsid w:val="001B61B8"/>
    <w:pPr>
      <w:spacing w:after="120"/>
      <w:ind w:left="1132"/>
      <w:contextualSpacing/>
    </w:pPr>
  </w:style>
  <w:style w:type="paragraph" w:styleId="ListContinue5">
    <w:name w:val="List Continue 5"/>
    <w:basedOn w:val="Normal"/>
    <w:uiPriority w:val="99"/>
    <w:semiHidden/>
    <w:unhideWhenUsed/>
    <w:rsid w:val="001B61B8"/>
    <w:pPr>
      <w:spacing w:after="120"/>
      <w:ind w:left="1415"/>
      <w:contextualSpacing/>
    </w:pPr>
  </w:style>
  <w:style w:type="paragraph" w:styleId="ListNumber2">
    <w:name w:val="List Number 2"/>
    <w:basedOn w:val="Normal"/>
    <w:uiPriority w:val="99"/>
    <w:semiHidden/>
    <w:unhideWhenUsed/>
    <w:rsid w:val="001B61B8"/>
    <w:pPr>
      <w:numPr>
        <w:numId w:val="32"/>
      </w:numPr>
      <w:tabs>
        <w:tab w:val="num" w:pos="643"/>
      </w:tabs>
      <w:ind w:left="643"/>
      <w:contextualSpacing/>
    </w:pPr>
  </w:style>
  <w:style w:type="paragraph" w:styleId="ListNumber3">
    <w:name w:val="List Number 3"/>
    <w:basedOn w:val="Normal"/>
    <w:uiPriority w:val="99"/>
    <w:semiHidden/>
    <w:unhideWhenUsed/>
    <w:rsid w:val="001B61B8"/>
    <w:pPr>
      <w:numPr>
        <w:numId w:val="33"/>
      </w:numPr>
      <w:tabs>
        <w:tab w:val="num" w:pos="926"/>
      </w:tabs>
      <w:ind w:left="926"/>
      <w:contextualSpacing/>
    </w:pPr>
  </w:style>
  <w:style w:type="paragraph" w:styleId="ListNumber4">
    <w:name w:val="List Number 4"/>
    <w:basedOn w:val="Normal"/>
    <w:uiPriority w:val="99"/>
    <w:semiHidden/>
    <w:unhideWhenUsed/>
    <w:rsid w:val="001B61B8"/>
    <w:pPr>
      <w:numPr>
        <w:numId w:val="34"/>
      </w:numPr>
      <w:tabs>
        <w:tab w:val="num" w:pos="1209"/>
      </w:tabs>
      <w:ind w:left="1209"/>
      <w:contextualSpacing/>
    </w:pPr>
  </w:style>
  <w:style w:type="paragraph" w:styleId="ListNumber5">
    <w:name w:val="List Number 5"/>
    <w:basedOn w:val="Normal"/>
    <w:uiPriority w:val="99"/>
    <w:semiHidden/>
    <w:unhideWhenUsed/>
    <w:rsid w:val="001B61B8"/>
    <w:pPr>
      <w:numPr>
        <w:numId w:val="35"/>
      </w:numPr>
      <w:tabs>
        <w:tab w:val="num" w:pos="1492"/>
      </w:tabs>
      <w:ind w:left="1492"/>
      <w:contextualSpacing/>
    </w:pPr>
  </w:style>
  <w:style w:type="paragraph" w:styleId="MacroText">
    <w:name w:val="macro"/>
    <w:link w:val="MacroTextChar"/>
    <w:uiPriority w:val="99"/>
    <w:semiHidden/>
    <w:unhideWhenUsed/>
    <w:rsid w:val="001B61B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locked/>
    <w:rsid w:val="001B61B8"/>
    <w:rPr>
      <w:rFonts w:ascii="Consolas" w:hAnsi="Consolas" w:cs="Times New Roman"/>
      <w:sz w:val="20"/>
      <w:szCs w:val="20"/>
    </w:rPr>
  </w:style>
  <w:style w:type="paragraph" w:styleId="MessageHeader">
    <w:name w:val="Message Header"/>
    <w:basedOn w:val="Normal"/>
    <w:link w:val="MessageHeaderChar"/>
    <w:uiPriority w:val="99"/>
    <w:semiHidden/>
    <w:unhideWhenUsed/>
    <w:rsid w:val="001B61B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sz w:val="24"/>
      <w:szCs w:val="24"/>
    </w:rPr>
  </w:style>
  <w:style w:type="character" w:customStyle="1" w:styleId="MessageHeaderChar">
    <w:name w:val="Message Header Char"/>
    <w:basedOn w:val="DefaultParagraphFont"/>
    <w:link w:val="MessageHeader"/>
    <w:uiPriority w:val="99"/>
    <w:semiHidden/>
    <w:locked/>
    <w:rsid w:val="001B61B8"/>
    <w:rPr>
      <w:rFonts w:asciiTheme="majorHAnsi" w:eastAsiaTheme="majorEastAsia" w:hAnsiTheme="majorHAnsi" w:cs="Times New Roman"/>
      <w:sz w:val="24"/>
      <w:szCs w:val="24"/>
      <w:shd w:val="pct20" w:color="auto" w:fill="auto"/>
    </w:rPr>
  </w:style>
  <w:style w:type="paragraph" w:styleId="NormalIndent">
    <w:name w:val="Normal Indent"/>
    <w:basedOn w:val="Normal"/>
    <w:uiPriority w:val="99"/>
    <w:semiHidden/>
    <w:unhideWhenUsed/>
    <w:rsid w:val="001B61B8"/>
    <w:pPr>
      <w:ind w:left="720"/>
    </w:pPr>
  </w:style>
  <w:style w:type="paragraph" w:styleId="NoteHeading">
    <w:name w:val="Note Heading"/>
    <w:basedOn w:val="Normal"/>
    <w:next w:val="Normal"/>
    <w:link w:val="NoteHeadingChar"/>
    <w:uiPriority w:val="99"/>
    <w:semiHidden/>
    <w:unhideWhenUsed/>
    <w:rsid w:val="001B61B8"/>
    <w:pPr>
      <w:spacing w:after="0" w:line="240" w:lineRule="auto"/>
    </w:pPr>
  </w:style>
  <w:style w:type="character" w:customStyle="1" w:styleId="NoteHeadingChar">
    <w:name w:val="Note Heading Char"/>
    <w:basedOn w:val="DefaultParagraphFont"/>
    <w:link w:val="NoteHeading"/>
    <w:uiPriority w:val="99"/>
    <w:semiHidden/>
    <w:locked/>
    <w:rsid w:val="001B61B8"/>
    <w:rPr>
      <w:rFonts w:ascii="Arial" w:hAnsi="Arial" w:cs="Times New Roman"/>
    </w:rPr>
  </w:style>
  <w:style w:type="paragraph" w:styleId="PlainText">
    <w:name w:val="Plain Text"/>
    <w:basedOn w:val="Normal"/>
    <w:link w:val="PlainTextChar"/>
    <w:uiPriority w:val="99"/>
    <w:semiHidden/>
    <w:unhideWhenUsed/>
    <w:rsid w:val="001B61B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locked/>
    <w:rsid w:val="001B61B8"/>
    <w:rPr>
      <w:rFonts w:ascii="Consolas" w:hAnsi="Consolas" w:cs="Times New Roman"/>
      <w:sz w:val="21"/>
      <w:szCs w:val="21"/>
    </w:rPr>
  </w:style>
  <w:style w:type="paragraph" w:styleId="Salutation">
    <w:name w:val="Salutation"/>
    <w:basedOn w:val="Normal"/>
    <w:next w:val="Normal"/>
    <w:link w:val="SalutationChar"/>
    <w:uiPriority w:val="99"/>
    <w:semiHidden/>
    <w:unhideWhenUsed/>
    <w:rsid w:val="001B61B8"/>
  </w:style>
  <w:style w:type="character" w:customStyle="1" w:styleId="SalutationChar">
    <w:name w:val="Salutation Char"/>
    <w:basedOn w:val="DefaultParagraphFont"/>
    <w:link w:val="Salutation"/>
    <w:uiPriority w:val="99"/>
    <w:semiHidden/>
    <w:locked/>
    <w:rsid w:val="001B61B8"/>
    <w:rPr>
      <w:rFonts w:ascii="Arial" w:hAnsi="Arial" w:cs="Times New Roman"/>
    </w:rPr>
  </w:style>
  <w:style w:type="paragraph" w:styleId="Signature">
    <w:name w:val="Signature"/>
    <w:basedOn w:val="Normal"/>
    <w:link w:val="SignatureChar"/>
    <w:uiPriority w:val="99"/>
    <w:semiHidden/>
    <w:unhideWhenUsed/>
    <w:rsid w:val="001B61B8"/>
    <w:pPr>
      <w:spacing w:after="0" w:line="240" w:lineRule="auto"/>
      <w:ind w:left="4252"/>
    </w:pPr>
  </w:style>
  <w:style w:type="character" w:customStyle="1" w:styleId="SignatureChar">
    <w:name w:val="Signature Char"/>
    <w:basedOn w:val="DefaultParagraphFont"/>
    <w:link w:val="Signature"/>
    <w:uiPriority w:val="99"/>
    <w:semiHidden/>
    <w:locked/>
    <w:rsid w:val="001B61B8"/>
    <w:rPr>
      <w:rFonts w:ascii="Arial" w:hAnsi="Arial" w:cs="Times New Roman"/>
    </w:rPr>
  </w:style>
  <w:style w:type="paragraph" w:styleId="TableofAuthorities">
    <w:name w:val="table of authorities"/>
    <w:basedOn w:val="Normal"/>
    <w:next w:val="Normal"/>
    <w:uiPriority w:val="99"/>
    <w:semiHidden/>
    <w:unhideWhenUsed/>
    <w:rsid w:val="001B61B8"/>
    <w:pPr>
      <w:spacing w:after="0"/>
      <w:ind w:left="220" w:hanging="220"/>
    </w:pPr>
  </w:style>
  <w:style w:type="paragraph" w:styleId="TableofFigures">
    <w:name w:val="table of figures"/>
    <w:basedOn w:val="Normal"/>
    <w:next w:val="Normal"/>
    <w:uiPriority w:val="99"/>
    <w:semiHidden/>
    <w:unhideWhenUsed/>
    <w:rsid w:val="001B61B8"/>
    <w:pPr>
      <w:spacing w:after="0"/>
    </w:pPr>
  </w:style>
  <w:style w:type="paragraph" w:styleId="TOAHeading">
    <w:name w:val="toa heading"/>
    <w:basedOn w:val="Normal"/>
    <w:next w:val="Normal"/>
    <w:uiPriority w:val="99"/>
    <w:semiHidden/>
    <w:unhideWhenUsed/>
    <w:rsid w:val="001B61B8"/>
    <w:pPr>
      <w:spacing w:before="120"/>
    </w:pPr>
    <w:rPr>
      <w:rFonts w:asciiTheme="majorHAnsi" w:eastAsiaTheme="majorEastAsia" w:hAnsiTheme="majorHAnsi"/>
      <w:b/>
      <w:bCs/>
      <w:sz w:val="24"/>
      <w:szCs w:val="24"/>
    </w:rPr>
  </w:style>
  <w:style w:type="character" w:customStyle="1" w:styleId="ui-provider">
    <w:name w:val="ui-provider"/>
    <w:basedOn w:val="DefaultParagraphFont"/>
    <w:rsid w:val="00FB5270"/>
  </w:style>
  <w:style w:type="paragraph" w:customStyle="1" w:styleId="SectionTitles">
    <w:name w:val="Section Titles"/>
    <w:qFormat/>
    <w:rsid w:val="00D6259F"/>
    <w:pPr>
      <w:spacing w:before="120" w:after="720" w:line="1000" w:lineRule="exact"/>
    </w:pPr>
    <w:rPr>
      <w:rFonts w:ascii="Guardian Egyp Bold" w:eastAsiaTheme="minorHAnsi" w:hAnsi="Guardian Egyp Bold" w:cstheme="minorBidi"/>
      <w:b/>
      <w:sz w:val="100"/>
      <w:szCs w:val="24"/>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7237">
      <w:bodyDiv w:val="1"/>
      <w:marLeft w:val="0"/>
      <w:marRight w:val="0"/>
      <w:marTop w:val="0"/>
      <w:marBottom w:val="0"/>
      <w:divBdr>
        <w:top w:val="none" w:sz="0" w:space="0" w:color="auto"/>
        <w:left w:val="none" w:sz="0" w:space="0" w:color="auto"/>
        <w:bottom w:val="none" w:sz="0" w:space="0" w:color="auto"/>
        <w:right w:val="none" w:sz="0" w:space="0" w:color="auto"/>
      </w:divBdr>
    </w:div>
    <w:div w:id="115174653">
      <w:bodyDiv w:val="1"/>
      <w:marLeft w:val="0"/>
      <w:marRight w:val="0"/>
      <w:marTop w:val="0"/>
      <w:marBottom w:val="0"/>
      <w:divBdr>
        <w:top w:val="none" w:sz="0" w:space="0" w:color="auto"/>
        <w:left w:val="none" w:sz="0" w:space="0" w:color="auto"/>
        <w:bottom w:val="none" w:sz="0" w:space="0" w:color="auto"/>
        <w:right w:val="none" w:sz="0" w:space="0" w:color="auto"/>
      </w:divBdr>
    </w:div>
    <w:div w:id="121383883">
      <w:bodyDiv w:val="1"/>
      <w:marLeft w:val="0"/>
      <w:marRight w:val="0"/>
      <w:marTop w:val="0"/>
      <w:marBottom w:val="0"/>
      <w:divBdr>
        <w:top w:val="none" w:sz="0" w:space="0" w:color="auto"/>
        <w:left w:val="none" w:sz="0" w:space="0" w:color="auto"/>
        <w:bottom w:val="none" w:sz="0" w:space="0" w:color="auto"/>
        <w:right w:val="none" w:sz="0" w:space="0" w:color="auto"/>
      </w:divBdr>
    </w:div>
    <w:div w:id="232160654">
      <w:bodyDiv w:val="1"/>
      <w:marLeft w:val="0"/>
      <w:marRight w:val="0"/>
      <w:marTop w:val="0"/>
      <w:marBottom w:val="0"/>
      <w:divBdr>
        <w:top w:val="none" w:sz="0" w:space="0" w:color="auto"/>
        <w:left w:val="none" w:sz="0" w:space="0" w:color="auto"/>
        <w:bottom w:val="none" w:sz="0" w:space="0" w:color="auto"/>
        <w:right w:val="none" w:sz="0" w:space="0" w:color="auto"/>
      </w:divBdr>
    </w:div>
    <w:div w:id="253515857">
      <w:bodyDiv w:val="1"/>
      <w:marLeft w:val="0"/>
      <w:marRight w:val="0"/>
      <w:marTop w:val="0"/>
      <w:marBottom w:val="0"/>
      <w:divBdr>
        <w:top w:val="none" w:sz="0" w:space="0" w:color="auto"/>
        <w:left w:val="none" w:sz="0" w:space="0" w:color="auto"/>
        <w:bottom w:val="none" w:sz="0" w:space="0" w:color="auto"/>
        <w:right w:val="none" w:sz="0" w:space="0" w:color="auto"/>
      </w:divBdr>
    </w:div>
    <w:div w:id="272711331">
      <w:bodyDiv w:val="1"/>
      <w:marLeft w:val="0"/>
      <w:marRight w:val="0"/>
      <w:marTop w:val="0"/>
      <w:marBottom w:val="0"/>
      <w:divBdr>
        <w:top w:val="none" w:sz="0" w:space="0" w:color="auto"/>
        <w:left w:val="none" w:sz="0" w:space="0" w:color="auto"/>
        <w:bottom w:val="none" w:sz="0" w:space="0" w:color="auto"/>
        <w:right w:val="none" w:sz="0" w:space="0" w:color="auto"/>
      </w:divBdr>
      <w:divsChild>
        <w:div w:id="2053339173">
          <w:marLeft w:val="0"/>
          <w:marRight w:val="0"/>
          <w:marTop w:val="0"/>
          <w:marBottom w:val="0"/>
          <w:divBdr>
            <w:top w:val="none" w:sz="0" w:space="0" w:color="auto"/>
            <w:left w:val="none" w:sz="0" w:space="0" w:color="auto"/>
            <w:bottom w:val="none" w:sz="0" w:space="0" w:color="auto"/>
            <w:right w:val="none" w:sz="0" w:space="0" w:color="auto"/>
          </w:divBdr>
        </w:div>
        <w:div w:id="1651251312">
          <w:marLeft w:val="0"/>
          <w:marRight w:val="0"/>
          <w:marTop w:val="0"/>
          <w:marBottom w:val="0"/>
          <w:divBdr>
            <w:top w:val="none" w:sz="0" w:space="0" w:color="auto"/>
            <w:left w:val="none" w:sz="0" w:space="0" w:color="auto"/>
            <w:bottom w:val="none" w:sz="0" w:space="0" w:color="auto"/>
            <w:right w:val="none" w:sz="0" w:space="0" w:color="auto"/>
          </w:divBdr>
        </w:div>
        <w:div w:id="505171894">
          <w:marLeft w:val="0"/>
          <w:marRight w:val="0"/>
          <w:marTop w:val="0"/>
          <w:marBottom w:val="0"/>
          <w:divBdr>
            <w:top w:val="none" w:sz="0" w:space="0" w:color="auto"/>
            <w:left w:val="none" w:sz="0" w:space="0" w:color="auto"/>
            <w:bottom w:val="none" w:sz="0" w:space="0" w:color="auto"/>
            <w:right w:val="none" w:sz="0" w:space="0" w:color="auto"/>
          </w:divBdr>
        </w:div>
        <w:div w:id="516584578">
          <w:marLeft w:val="0"/>
          <w:marRight w:val="0"/>
          <w:marTop w:val="0"/>
          <w:marBottom w:val="0"/>
          <w:divBdr>
            <w:top w:val="none" w:sz="0" w:space="0" w:color="auto"/>
            <w:left w:val="none" w:sz="0" w:space="0" w:color="auto"/>
            <w:bottom w:val="none" w:sz="0" w:space="0" w:color="auto"/>
            <w:right w:val="none" w:sz="0" w:space="0" w:color="auto"/>
          </w:divBdr>
        </w:div>
        <w:div w:id="935020202">
          <w:marLeft w:val="0"/>
          <w:marRight w:val="0"/>
          <w:marTop w:val="0"/>
          <w:marBottom w:val="0"/>
          <w:divBdr>
            <w:top w:val="none" w:sz="0" w:space="0" w:color="auto"/>
            <w:left w:val="none" w:sz="0" w:space="0" w:color="auto"/>
            <w:bottom w:val="none" w:sz="0" w:space="0" w:color="auto"/>
            <w:right w:val="none" w:sz="0" w:space="0" w:color="auto"/>
          </w:divBdr>
        </w:div>
        <w:div w:id="154758803">
          <w:marLeft w:val="0"/>
          <w:marRight w:val="0"/>
          <w:marTop w:val="0"/>
          <w:marBottom w:val="0"/>
          <w:divBdr>
            <w:top w:val="none" w:sz="0" w:space="0" w:color="auto"/>
            <w:left w:val="none" w:sz="0" w:space="0" w:color="auto"/>
            <w:bottom w:val="none" w:sz="0" w:space="0" w:color="auto"/>
            <w:right w:val="none" w:sz="0" w:space="0" w:color="auto"/>
          </w:divBdr>
        </w:div>
        <w:div w:id="398527549">
          <w:marLeft w:val="0"/>
          <w:marRight w:val="0"/>
          <w:marTop w:val="0"/>
          <w:marBottom w:val="0"/>
          <w:divBdr>
            <w:top w:val="none" w:sz="0" w:space="0" w:color="auto"/>
            <w:left w:val="none" w:sz="0" w:space="0" w:color="auto"/>
            <w:bottom w:val="none" w:sz="0" w:space="0" w:color="auto"/>
            <w:right w:val="none" w:sz="0" w:space="0" w:color="auto"/>
          </w:divBdr>
        </w:div>
        <w:div w:id="487475702">
          <w:marLeft w:val="0"/>
          <w:marRight w:val="0"/>
          <w:marTop w:val="0"/>
          <w:marBottom w:val="0"/>
          <w:divBdr>
            <w:top w:val="none" w:sz="0" w:space="0" w:color="auto"/>
            <w:left w:val="none" w:sz="0" w:space="0" w:color="auto"/>
            <w:bottom w:val="none" w:sz="0" w:space="0" w:color="auto"/>
            <w:right w:val="none" w:sz="0" w:space="0" w:color="auto"/>
          </w:divBdr>
        </w:div>
      </w:divsChild>
    </w:div>
    <w:div w:id="275872779">
      <w:bodyDiv w:val="1"/>
      <w:marLeft w:val="0"/>
      <w:marRight w:val="0"/>
      <w:marTop w:val="0"/>
      <w:marBottom w:val="0"/>
      <w:divBdr>
        <w:top w:val="none" w:sz="0" w:space="0" w:color="auto"/>
        <w:left w:val="none" w:sz="0" w:space="0" w:color="auto"/>
        <w:bottom w:val="none" w:sz="0" w:space="0" w:color="auto"/>
        <w:right w:val="none" w:sz="0" w:space="0" w:color="auto"/>
      </w:divBdr>
    </w:div>
    <w:div w:id="298540556">
      <w:bodyDiv w:val="1"/>
      <w:marLeft w:val="0"/>
      <w:marRight w:val="0"/>
      <w:marTop w:val="0"/>
      <w:marBottom w:val="0"/>
      <w:divBdr>
        <w:top w:val="none" w:sz="0" w:space="0" w:color="auto"/>
        <w:left w:val="none" w:sz="0" w:space="0" w:color="auto"/>
        <w:bottom w:val="none" w:sz="0" w:space="0" w:color="auto"/>
        <w:right w:val="none" w:sz="0" w:space="0" w:color="auto"/>
      </w:divBdr>
    </w:div>
    <w:div w:id="377126304">
      <w:bodyDiv w:val="1"/>
      <w:marLeft w:val="0"/>
      <w:marRight w:val="0"/>
      <w:marTop w:val="0"/>
      <w:marBottom w:val="0"/>
      <w:divBdr>
        <w:top w:val="none" w:sz="0" w:space="0" w:color="auto"/>
        <w:left w:val="none" w:sz="0" w:space="0" w:color="auto"/>
        <w:bottom w:val="none" w:sz="0" w:space="0" w:color="auto"/>
        <w:right w:val="none" w:sz="0" w:space="0" w:color="auto"/>
      </w:divBdr>
    </w:div>
    <w:div w:id="486551601">
      <w:bodyDiv w:val="1"/>
      <w:marLeft w:val="0"/>
      <w:marRight w:val="0"/>
      <w:marTop w:val="0"/>
      <w:marBottom w:val="0"/>
      <w:divBdr>
        <w:top w:val="none" w:sz="0" w:space="0" w:color="auto"/>
        <w:left w:val="none" w:sz="0" w:space="0" w:color="auto"/>
        <w:bottom w:val="none" w:sz="0" w:space="0" w:color="auto"/>
        <w:right w:val="none" w:sz="0" w:space="0" w:color="auto"/>
      </w:divBdr>
    </w:div>
    <w:div w:id="526211326">
      <w:bodyDiv w:val="1"/>
      <w:marLeft w:val="0"/>
      <w:marRight w:val="0"/>
      <w:marTop w:val="0"/>
      <w:marBottom w:val="0"/>
      <w:divBdr>
        <w:top w:val="none" w:sz="0" w:space="0" w:color="auto"/>
        <w:left w:val="none" w:sz="0" w:space="0" w:color="auto"/>
        <w:bottom w:val="none" w:sz="0" w:space="0" w:color="auto"/>
        <w:right w:val="none" w:sz="0" w:space="0" w:color="auto"/>
      </w:divBdr>
    </w:div>
    <w:div w:id="545944970">
      <w:bodyDiv w:val="1"/>
      <w:marLeft w:val="0"/>
      <w:marRight w:val="0"/>
      <w:marTop w:val="0"/>
      <w:marBottom w:val="0"/>
      <w:divBdr>
        <w:top w:val="none" w:sz="0" w:space="0" w:color="auto"/>
        <w:left w:val="none" w:sz="0" w:space="0" w:color="auto"/>
        <w:bottom w:val="none" w:sz="0" w:space="0" w:color="auto"/>
        <w:right w:val="none" w:sz="0" w:space="0" w:color="auto"/>
      </w:divBdr>
    </w:div>
    <w:div w:id="582836306">
      <w:bodyDiv w:val="1"/>
      <w:marLeft w:val="0"/>
      <w:marRight w:val="0"/>
      <w:marTop w:val="0"/>
      <w:marBottom w:val="0"/>
      <w:divBdr>
        <w:top w:val="none" w:sz="0" w:space="0" w:color="auto"/>
        <w:left w:val="none" w:sz="0" w:space="0" w:color="auto"/>
        <w:bottom w:val="none" w:sz="0" w:space="0" w:color="auto"/>
        <w:right w:val="none" w:sz="0" w:space="0" w:color="auto"/>
      </w:divBdr>
    </w:div>
    <w:div w:id="744035690">
      <w:marLeft w:val="0"/>
      <w:marRight w:val="0"/>
      <w:marTop w:val="0"/>
      <w:marBottom w:val="0"/>
      <w:divBdr>
        <w:top w:val="none" w:sz="0" w:space="0" w:color="auto"/>
        <w:left w:val="none" w:sz="0" w:space="0" w:color="auto"/>
        <w:bottom w:val="none" w:sz="0" w:space="0" w:color="auto"/>
        <w:right w:val="none" w:sz="0" w:space="0" w:color="auto"/>
      </w:divBdr>
    </w:div>
    <w:div w:id="744035691">
      <w:marLeft w:val="0"/>
      <w:marRight w:val="0"/>
      <w:marTop w:val="0"/>
      <w:marBottom w:val="0"/>
      <w:divBdr>
        <w:top w:val="none" w:sz="0" w:space="0" w:color="auto"/>
        <w:left w:val="none" w:sz="0" w:space="0" w:color="auto"/>
        <w:bottom w:val="none" w:sz="0" w:space="0" w:color="auto"/>
        <w:right w:val="none" w:sz="0" w:space="0" w:color="auto"/>
      </w:divBdr>
    </w:div>
    <w:div w:id="744035693">
      <w:marLeft w:val="0"/>
      <w:marRight w:val="0"/>
      <w:marTop w:val="0"/>
      <w:marBottom w:val="0"/>
      <w:divBdr>
        <w:top w:val="none" w:sz="0" w:space="0" w:color="auto"/>
        <w:left w:val="none" w:sz="0" w:space="0" w:color="auto"/>
        <w:bottom w:val="none" w:sz="0" w:space="0" w:color="auto"/>
        <w:right w:val="none" w:sz="0" w:space="0" w:color="auto"/>
      </w:divBdr>
    </w:div>
    <w:div w:id="744035695">
      <w:marLeft w:val="0"/>
      <w:marRight w:val="0"/>
      <w:marTop w:val="0"/>
      <w:marBottom w:val="0"/>
      <w:divBdr>
        <w:top w:val="none" w:sz="0" w:space="0" w:color="auto"/>
        <w:left w:val="none" w:sz="0" w:space="0" w:color="auto"/>
        <w:bottom w:val="none" w:sz="0" w:space="0" w:color="auto"/>
        <w:right w:val="none" w:sz="0" w:space="0" w:color="auto"/>
      </w:divBdr>
    </w:div>
    <w:div w:id="744035696">
      <w:marLeft w:val="0"/>
      <w:marRight w:val="0"/>
      <w:marTop w:val="0"/>
      <w:marBottom w:val="0"/>
      <w:divBdr>
        <w:top w:val="none" w:sz="0" w:space="0" w:color="auto"/>
        <w:left w:val="none" w:sz="0" w:space="0" w:color="auto"/>
        <w:bottom w:val="none" w:sz="0" w:space="0" w:color="auto"/>
        <w:right w:val="none" w:sz="0" w:space="0" w:color="auto"/>
      </w:divBdr>
    </w:div>
    <w:div w:id="744035698">
      <w:marLeft w:val="0"/>
      <w:marRight w:val="0"/>
      <w:marTop w:val="0"/>
      <w:marBottom w:val="0"/>
      <w:divBdr>
        <w:top w:val="none" w:sz="0" w:space="0" w:color="auto"/>
        <w:left w:val="none" w:sz="0" w:space="0" w:color="auto"/>
        <w:bottom w:val="none" w:sz="0" w:space="0" w:color="auto"/>
        <w:right w:val="none" w:sz="0" w:space="0" w:color="auto"/>
      </w:divBdr>
    </w:div>
    <w:div w:id="744035699">
      <w:marLeft w:val="0"/>
      <w:marRight w:val="0"/>
      <w:marTop w:val="0"/>
      <w:marBottom w:val="0"/>
      <w:divBdr>
        <w:top w:val="none" w:sz="0" w:space="0" w:color="auto"/>
        <w:left w:val="none" w:sz="0" w:space="0" w:color="auto"/>
        <w:bottom w:val="none" w:sz="0" w:space="0" w:color="auto"/>
        <w:right w:val="none" w:sz="0" w:space="0" w:color="auto"/>
      </w:divBdr>
    </w:div>
    <w:div w:id="744035700">
      <w:marLeft w:val="0"/>
      <w:marRight w:val="0"/>
      <w:marTop w:val="0"/>
      <w:marBottom w:val="0"/>
      <w:divBdr>
        <w:top w:val="none" w:sz="0" w:space="0" w:color="auto"/>
        <w:left w:val="none" w:sz="0" w:space="0" w:color="auto"/>
        <w:bottom w:val="none" w:sz="0" w:space="0" w:color="auto"/>
        <w:right w:val="none" w:sz="0" w:space="0" w:color="auto"/>
      </w:divBdr>
      <w:divsChild>
        <w:div w:id="744035809">
          <w:marLeft w:val="0"/>
          <w:marRight w:val="0"/>
          <w:marTop w:val="0"/>
          <w:marBottom w:val="0"/>
          <w:divBdr>
            <w:top w:val="none" w:sz="0" w:space="0" w:color="auto"/>
            <w:left w:val="none" w:sz="0" w:space="0" w:color="auto"/>
            <w:bottom w:val="none" w:sz="0" w:space="0" w:color="auto"/>
            <w:right w:val="none" w:sz="0" w:space="0" w:color="auto"/>
          </w:divBdr>
        </w:div>
        <w:div w:id="744036138">
          <w:marLeft w:val="0"/>
          <w:marRight w:val="0"/>
          <w:marTop w:val="0"/>
          <w:marBottom w:val="0"/>
          <w:divBdr>
            <w:top w:val="none" w:sz="0" w:space="0" w:color="auto"/>
            <w:left w:val="none" w:sz="0" w:space="0" w:color="auto"/>
            <w:bottom w:val="none" w:sz="0" w:space="0" w:color="auto"/>
            <w:right w:val="none" w:sz="0" w:space="0" w:color="auto"/>
          </w:divBdr>
        </w:div>
      </w:divsChild>
    </w:div>
    <w:div w:id="744035702">
      <w:marLeft w:val="0"/>
      <w:marRight w:val="0"/>
      <w:marTop w:val="0"/>
      <w:marBottom w:val="0"/>
      <w:divBdr>
        <w:top w:val="none" w:sz="0" w:space="0" w:color="auto"/>
        <w:left w:val="none" w:sz="0" w:space="0" w:color="auto"/>
        <w:bottom w:val="none" w:sz="0" w:space="0" w:color="auto"/>
        <w:right w:val="none" w:sz="0" w:space="0" w:color="auto"/>
      </w:divBdr>
    </w:div>
    <w:div w:id="744035703">
      <w:marLeft w:val="0"/>
      <w:marRight w:val="0"/>
      <w:marTop w:val="0"/>
      <w:marBottom w:val="0"/>
      <w:divBdr>
        <w:top w:val="none" w:sz="0" w:space="0" w:color="auto"/>
        <w:left w:val="none" w:sz="0" w:space="0" w:color="auto"/>
        <w:bottom w:val="none" w:sz="0" w:space="0" w:color="auto"/>
        <w:right w:val="none" w:sz="0" w:space="0" w:color="auto"/>
      </w:divBdr>
    </w:div>
    <w:div w:id="744035705">
      <w:marLeft w:val="0"/>
      <w:marRight w:val="0"/>
      <w:marTop w:val="0"/>
      <w:marBottom w:val="0"/>
      <w:divBdr>
        <w:top w:val="none" w:sz="0" w:space="0" w:color="auto"/>
        <w:left w:val="none" w:sz="0" w:space="0" w:color="auto"/>
        <w:bottom w:val="none" w:sz="0" w:space="0" w:color="auto"/>
        <w:right w:val="none" w:sz="0" w:space="0" w:color="auto"/>
      </w:divBdr>
    </w:div>
    <w:div w:id="744035706">
      <w:marLeft w:val="0"/>
      <w:marRight w:val="0"/>
      <w:marTop w:val="0"/>
      <w:marBottom w:val="0"/>
      <w:divBdr>
        <w:top w:val="none" w:sz="0" w:space="0" w:color="auto"/>
        <w:left w:val="none" w:sz="0" w:space="0" w:color="auto"/>
        <w:bottom w:val="none" w:sz="0" w:space="0" w:color="auto"/>
        <w:right w:val="none" w:sz="0" w:space="0" w:color="auto"/>
      </w:divBdr>
    </w:div>
    <w:div w:id="744035709">
      <w:marLeft w:val="0"/>
      <w:marRight w:val="0"/>
      <w:marTop w:val="0"/>
      <w:marBottom w:val="0"/>
      <w:divBdr>
        <w:top w:val="none" w:sz="0" w:space="0" w:color="auto"/>
        <w:left w:val="none" w:sz="0" w:space="0" w:color="auto"/>
        <w:bottom w:val="none" w:sz="0" w:space="0" w:color="auto"/>
        <w:right w:val="none" w:sz="0" w:space="0" w:color="auto"/>
      </w:divBdr>
    </w:div>
    <w:div w:id="744035710">
      <w:marLeft w:val="0"/>
      <w:marRight w:val="0"/>
      <w:marTop w:val="0"/>
      <w:marBottom w:val="0"/>
      <w:divBdr>
        <w:top w:val="none" w:sz="0" w:space="0" w:color="auto"/>
        <w:left w:val="none" w:sz="0" w:space="0" w:color="auto"/>
        <w:bottom w:val="none" w:sz="0" w:space="0" w:color="auto"/>
        <w:right w:val="none" w:sz="0" w:space="0" w:color="auto"/>
      </w:divBdr>
    </w:div>
    <w:div w:id="744035714">
      <w:marLeft w:val="0"/>
      <w:marRight w:val="0"/>
      <w:marTop w:val="0"/>
      <w:marBottom w:val="0"/>
      <w:divBdr>
        <w:top w:val="none" w:sz="0" w:space="0" w:color="auto"/>
        <w:left w:val="none" w:sz="0" w:space="0" w:color="auto"/>
        <w:bottom w:val="none" w:sz="0" w:space="0" w:color="auto"/>
        <w:right w:val="none" w:sz="0" w:space="0" w:color="auto"/>
      </w:divBdr>
    </w:div>
    <w:div w:id="744035720">
      <w:marLeft w:val="0"/>
      <w:marRight w:val="0"/>
      <w:marTop w:val="0"/>
      <w:marBottom w:val="0"/>
      <w:divBdr>
        <w:top w:val="none" w:sz="0" w:space="0" w:color="auto"/>
        <w:left w:val="none" w:sz="0" w:space="0" w:color="auto"/>
        <w:bottom w:val="none" w:sz="0" w:space="0" w:color="auto"/>
        <w:right w:val="none" w:sz="0" w:space="0" w:color="auto"/>
      </w:divBdr>
    </w:div>
    <w:div w:id="744035722">
      <w:marLeft w:val="0"/>
      <w:marRight w:val="0"/>
      <w:marTop w:val="0"/>
      <w:marBottom w:val="0"/>
      <w:divBdr>
        <w:top w:val="none" w:sz="0" w:space="0" w:color="auto"/>
        <w:left w:val="none" w:sz="0" w:space="0" w:color="auto"/>
        <w:bottom w:val="none" w:sz="0" w:space="0" w:color="auto"/>
        <w:right w:val="none" w:sz="0" w:space="0" w:color="auto"/>
      </w:divBdr>
    </w:div>
    <w:div w:id="744035724">
      <w:marLeft w:val="0"/>
      <w:marRight w:val="0"/>
      <w:marTop w:val="0"/>
      <w:marBottom w:val="0"/>
      <w:divBdr>
        <w:top w:val="none" w:sz="0" w:space="0" w:color="auto"/>
        <w:left w:val="none" w:sz="0" w:space="0" w:color="auto"/>
        <w:bottom w:val="none" w:sz="0" w:space="0" w:color="auto"/>
        <w:right w:val="none" w:sz="0" w:space="0" w:color="auto"/>
      </w:divBdr>
    </w:div>
    <w:div w:id="744035725">
      <w:marLeft w:val="0"/>
      <w:marRight w:val="0"/>
      <w:marTop w:val="0"/>
      <w:marBottom w:val="0"/>
      <w:divBdr>
        <w:top w:val="none" w:sz="0" w:space="0" w:color="auto"/>
        <w:left w:val="none" w:sz="0" w:space="0" w:color="auto"/>
        <w:bottom w:val="none" w:sz="0" w:space="0" w:color="auto"/>
        <w:right w:val="none" w:sz="0" w:space="0" w:color="auto"/>
      </w:divBdr>
    </w:div>
    <w:div w:id="744035726">
      <w:marLeft w:val="0"/>
      <w:marRight w:val="0"/>
      <w:marTop w:val="0"/>
      <w:marBottom w:val="0"/>
      <w:divBdr>
        <w:top w:val="none" w:sz="0" w:space="0" w:color="auto"/>
        <w:left w:val="none" w:sz="0" w:space="0" w:color="auto"/>
        <w:bottom w:val="none" w:sz="0" w:space="0" w:color="auto"/>
        <w:right w:val="none" w:sz="0" w:space="0" w:color="auto"/>
      </w:divBdr>
    </w:div>
    <w:div w:id="744035730">
      <w:marLeft w:val="0"/>
      <w:marRight w:val="0"/>
      <w:marTop w:val="0"/>
      <w:marBottom w:val="0"/>
      <w:divBdr>
        <w:top w:val="none" w:sz="0" w:space="0" w:color="auto"/>
        <w:left w:val="none" w:sz="0" w:space="0" w:color="auto"/>
        <w:bottom w:val="none" w:sz="0" w:space="0" w:color="auto"/>
        <w:right w:val="none" w:sz="0" w:space="0" w:color="auto"/>
      </w:divBdr>
    </w:div>
    <w:div w:id="744035732">
      <w:marLeft w:val="0"/>
      <w:marRight w:val="0"/>
      <w:marTop w:val="0"/>
      <w:marBottom w:val="0"/>
      <w:divBdr>
        <w:top w:val="none" w:sz="0" w:space="0" w:color="auto"/>
        <w:left w:val="none" w:sz="0" w:space="0" w:color="auto"/>
        <w:bottom w:val="none" w:sz="0" w:space="0" w:color="auto"/>
        <w:right w:val="none" w:sz="0" w:space="0" w:color="auto"/>
      </w:divBdr>
    </w:div>
    <w:div w:id="744035734">
      <w:marLeft w:val="0"/>
      <w:marRight w:val="0"/>
      <w:marTop w:val="0"/>
      <w:marBottom w:val="0"/>
      <w:divBdr>
        <w:top w:val="none" w:sz="0" w:space="0" w:color="auto"/>
        <w:left w:val="none" w:sz="0" w:space="0" w:color="auto"/>
        <w:bottom w:val="none" w:sz="0" w:space="0" w:color="auto"/>
        <w:right w:val="none" w:sz="0" w:space="0" w:color="auto"/>
      </w:divBdr>
    </w:div>
    <w:div w:id="744035738">
      <w:marLeft w:val="0"/>
      <w:marRight w:val="0"/>
      <w:marTop w:val="0"/>
      <w:marBottom w:val="0"/>
      <w:divBdr>
        <w:top w:val="none" w:sz="0" w:space="0" w:color="auto"/>
        <w:left w:val="none" w:sz="0" w:space="0" w:color="auto"/>
        <w:bottom w:val="none" w:sz="0" w:space="0" w:color="auto"/>
        <w:right w:val="none" w:sz="0" w:space="0" w:color="auto"/>
      </w:divBdr>
    </w:div>
    <w:div w:id="744035739">
      <w:marLeft w:val="0"/>
      <w:marRight w:val="0"/>
      <w:marTop w:val="0"/>
      <w:marBottom w:val="0"/>
      <w:divBdr>
        <w:top w:val="none" w:sz="0" w:space="0" w:color="auto"/>
        <w:left w:val="none" w:sz="0" w:space="0" w:color="auto"/>
        <w:bottom w:val="none" w:sz="0" w:space="0" w:color="auto"/>
        <w:right w:val="none" w:sz="0" w:space="0" w:color="auto"/>
      </w:divBdr>
      <w:divsChild>
        <w:div w:id="744035713">
          <w:marLeft w:val="0"/>
          <w:marRight w:val="0"/>
          <w:marTop w:val="0"/>
          <w:marBottom w:val="0"/>
          <w:divBdr>
            <w:top w:val="none" w:sz="0" w:space="0" w:color="auto"/>
            <w:left w:val="none" w:sz="0" w:space="0" w:color="auto"/>
            <w:bottom w:val="none" w:sz="0" w:space="0" w:color="auto"/>
            <w:right w:val="none" w:sz="0" w:space="0" w:color="auto"/>
          </w:divBdr>
        </w:div>
      </w:divsChild>
    </w:div>
    <w:div w:id="744035741">
      <w:marLeft w:val="0"/>
      <w:marRight w:val="0"/>
      <w:marTop w:val="0"/>
      <w:marBottom w:val="0"/>
      <w:divBdr>
        <w:top w:val="none" w:sz="0" w:space="0" w:color="auto"/>
        <w:left w:val="none" w:sz="0" w:space="0" w:color="auto"/>
        <w:bottom w:val="none" w:sz="0" w:space="0" w:color="auto"/>
        <w:right w:val="none" w:sz="0" w:space="0" w:color="auto"/>
      </w:divBdr>
    </w:div>
    <w:div w:id="744035744">
      <w:marLeft w:val="0"/>
      <w:marRight w:val="0"/>
      <w:marTop w:val="0"/>
      <w:marBottom w:val="0"/>
      <w:divBdr>
        <w:top w:val="none" w:sz="0" w:space="0" w:color="auto"/>
        <w:left w:val="none" w:sz="0" w:space="0" w:color="auto"/>
        <w:bottom w:val="none" w:sz="0" w:space="0" w:color="auto"/>
        <w:right w:val="none" w:sz="0" w:space="0" w:color="auto"/>
      </w:divBdr>
    </w:div>
    <w:div w:id="744035745">
      <w:marLeft w:val="0"/>
      <w:marRight w:val="0"/>
      <w:marTop w:val="0"/>
      <w:marBottom w:val="0"/>
      <w:divBdr>
        <w:top w:val="none" w:sz="0" w:space="0" w:color="auto"/>
        <w:left w:val="none" w:sz="0" w:space="0" w:color="auto"/>
        <w:bottom w:val="none" w:sz="0" w:space="0" w:color="auto"/>
        <w:right w:val="none" w:sz="0" w:space="0" w:color="auto"/>
      </w:divBdr>
    </w:div>
    <w:div w:id="744035746">
      <w:marLeft w:val="0"/>
      <w:marRight w:val="0"/>
      <w:marTop w:val="0"/>
      <w:marBottom w:val="0"/>
      <w:divBdr>
        <w:top w:val="none" w:sz="0" w:space="0" w:color="auto"/>
        <w:left w:val="none" w:sz="0" w:space="0" w:color="auto"/>
        <w:bottom w:val="none" w:sz="0" w:space="0" w:color="auto"/>
        <w:right w:val="none" w:sz="0" w:space="0" w:color="auto"/>
      </w:divBdr>
      <w:divsChild>
        <w:div w:id="744035824">
          <w:marLeft w:val="0"/>
          <w:marRight w:val="0"/>
          <w:marTop w:val="0"/>
          <w:marBottom w:val="0"/>
          <w:divBdr>
            <w:top w:val="none" w:sz="0" w:space="0" w:color="auto"/>
            <w:left w:val="none" w:sz="0" w:space="0" w:color="auto"/>
            <w:bottom w:val="none" w:sz="0" w:space="0" w:color="auto"/>
            <w:right w:val="none" w:sz="0" w:space="0" w:color="auto"/>
          </w:divBdr>
          <w:divsChild>
            <w:div w:id="74403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035748">
      <w:marLeft w:val="0"/>
      <w:marRight w:val="0"/>
      <w:marTop w:val="0"/>
      <w:marBottom w:val="0"/>
      <w:divBdr>
        <w:top w:val="none" w:sz="0" w:space="0" w:color="auto"/>
        <w:left w:val="none" w:sz="0" w:space="0" w:color="auto"/>
        <w:bottom w:val="none" w:sz="0" w:space="0" w:color="auto"/>
        <w:right w:val="none" w:sz="0" w:space="0" w:color="auto"/>
      </w:divBdr>
    </w:div>
    <w:div w:id="744035751">
      <w:marLeft w:val="0"/>
      <w:marRight w:val="0"/>
      <w:marTop w:val="0"/>
      <w:marBottom w:val="0"/>
      <w:divBdr>
        <w:top w:val="none" w:sz="0" w:space="0" w:color="auto"/>
        <w:left w:val="none" w:sz="0" w:space="0" w:color="auto"/>
        <w:bottom w:val="none" w:sz="0" w:space="0" w:color="auto"/>
        <w:right w:val="none" w:sz="0" w:space="0" w:color="auto"/>
      </w:divBdr>
    </w:div>
    <w:div w:id="744035754">
      <w:marLeft w:val="0"/>
      <w:marRight w:val="0"/>
      <w:marTop w:val="0"/>
      <w:marBottom w:val="0"/>
      <w:divBdr>
        <w:top w:val="none" w:sz="0" w:space="0" w:color="auto"/>
        <w:left w:val="none" w:sz="0" w:space="0" w:color="auto"/>
        <w:bottom w:val="none" w:sz="0" w:space="0" w:color="auto"/>
        <w:right w:val="none" w:sz="0" w:space="0" w:color="auto"/>
      </w:divBdr>
    </w:div>
    <w:div w:id="744035755">
      <w:marLeft w:val="0"/>
      <w:marRight w:val="0"/>
      <w:marTop w:val="0"/>
      <w:marBottom w:val="0"/>
      <w:divBdr>
        <w:top w:val="none" w:sz="0" w:space="0" w:color="auto"/>
        <w:left w:val="none" w:sz="0" w:space="0" w:color="auto"/>
        <w:bottom w:val="none" w:sz="0" w:space="0" w:color="auto"/>
        <w:right w:val="none" w:sz="0" w:space="0" w:color="auto"/>
      </w:divBdr>
    </w:div>
    <w:div w:id="744035756">
      <w:marLeft w:val="0"/>
      <w:marRight w:val="0"/>
      <w:marTop w:val="0"/>
      <w:marBottom w:val="0"/>
      <w:divBdr>
        <w:top w:val="none" w:sz="0" w:space="0" w:color="auto"/>
        <w:left w:val="none" w:sz="0" w:space="0" w:color="auto"/>
        <w:bottom w:val="none" w:sz="0" w:space="0" w:color="auto"/>
        <w:right w:val="none" w:sz="0" w:space="0" w:color="auto"/>
      </w:divBdr>
    </w:div>
    <w:div w:id="744035757">
      <w:marLeft w:val="0"/>
      <w:marRight w:val="0"/>
      <w:marTop w:val="0"/>
      <w:marBottom w:val="0"/>
      <w:divBdr>
        <w:top w:val="none" w:sz="0" w:space="0" w:color="auto"/>
        <w:left w:val="none" w:sz="0" w:space="0" w:color="auto"/>
        <w:bottom w:val="none" w:sz="0" w:space="0" w:color="auto"/>
        <w:right w:val="none" w:sz="0" w:space="0" w:color="auto"/>
      </w:divBdr>
    </w:div>
    <w:div w:id="744035758">
      <w:marLeft w:val="0"/>
      <w:marRight w:val="0"/>
      <w:marTop w:val="0"/>
      <w:marBottom w:val="0"/>
      <w:divBdr>
        <w:top w:val="none" w:sz="0" w:space="0" w:color="auto"/>
        <w:left w:val="none" w:sz="0" w:space="0" w:color="auto"/>
        <w:bottom w:val="none" w:sz="0" w:space="0" w:color="auto"/>
        <w:right w:val="none" w:sz="0" w:space="0" w:color="auto"/>
      </w:divBdr>
    </w:div>
    <w:div w:id="744035760">
      <w:marLeft w:val="0"/>
      <w:marRight w:val="0"/>
      <w:marTop w:val="0"/>
      <w:marBottom w:val="0"/>
      <w:divBdr>
        <w:top w:val="none" w:sz="0" w:space="0" w:color="auto"/>
        <w:left w:val="none" w:sz="0" w:space="0" w:color="auto"/>
        <w:bottom w:val="none" w:sz="0" w:space="0" w:color="auto"/>
        <w:right w:val="none" w:sz="0" w:space="0" w:color="auto"/>
      </w:divBdr>
    </w:div>
    <w:div w:id="744035761">
      <w:marLeft w:val="0"/>
      <w:marRight w:val="0"/>
      <w:marTop w:val="0"/>
      <w:marBottom w:val="0"/>
      <w:divBdr>
        <w:top w:val="none" w:sz="0" w:space="0" w:color="auto"/>
        <w:left w:val="none" w:sz="0" w:space="0" w:color="auto"/>
        <w:bottom w:val="none" w:sz="0" w:space="0" w:color="auto"/>
        <w:right w:val="none" w:sz="0" w:space="0" w:color="auto"/>
      </w:divBdr>
    </w:div>
    <w:div w:id="744035763">
      <w:marLeft w:val="0"/>
      <w:marRight w:val="0"/>
      <w:marTop w:val="0"/>
      <w:marBottom w:val="0"/>
      <w:divBdr>
        <w:top w:val="none" w:sz="0" w:space="0" w:color="auto"/>
        <w:left w:val="none" w:sz="0" w:space="0" w:color="auto"/>
        <w:bottom w:val="none" w:sz="0" w:space="0" w:color="auto"/>
        <w:right w:val="none" w:sz="0" w:space="0" w:color="auto"/>
      </w:divBdr>
    </w:div>
    <w:div w:id="744035766">
      <w:marLeft w:val="0"/>
      <w:marRight w:val="0"/>
      <w:marTop w:val="0"/>
      <w:marBottom w:val="0"/>
      <w:divBdr>
        <w:top w:val="none" w:sz="0" w:space="0" w:color="auto"/>
        <w:left w:val="none" w:sz="0" w:space="0" w:color="auto"/>
        <w:bottom w:val="none" w:sz="0" w:space="0" w:color="auto"/>
        <w:right w:val="none" w:sz="0" w:space="0" w:color="auto"/>
      </w:divBdr>
    </w:div>
    <w:div w:id="744035767">
      <w:marLeft w:val="0"/>
      <w:marRight w:val="0"/>
      <w:marTop w:val="0"/>
      <w:marBottom w:val="0"/>
      <w:divBdr>
        <w:top w:val="none" w:sz="0" w:space="0" w:color="auto"/>
        <w:left w:val="none" w:sz="0" w:space="0" w:color="auto"/>
        <w:bottom w:val="none" w:sz="0" w:space="0" w:color="auto"/>
        <w:right w:val="none" w:sz="0" w:space="0" w:color="auto"/>
      </w:divBdr>
    </w:div>
    <w:div w:id="744035768">
      <w:marLeft w:val="0"/>
      <w:marRight w:val="0"/>
      <w:marTop w:val="0"/>
      <w:marBottom w:val="0"/>
      <w:divBdr>
        <w:top w:val="none" w:sz="0" w:space="0" w:color="auto"/>
        <w:left w:val="none" w:sz="0" w:space="0" w:color="auto"/>
        <w:bottom w:val="none" w:sz="0" w:space="0" w:color="auto"/>
        <w:right w:val="none" w:sz="0" w:space="0" w:color="auto"/>
      </w:divBdr>
    </w:div>
    <w:div w:id="744035772">
      <w:marLeft w:val="0"/>
      <w:marRight w:val="0"/>
      <w:marTop w:val="0"/>
      <w:marBottom w:val="0"/>
      <w:divBdr>
        <w:top w:val="none" w:sz="0" w:space="0" w:color="auto"/>
        <w:left w:val="none" w:sz="0" w:space="0" w:color="auto"/>
        <w:bottom w:val="none" w:sz="0" w:space="0" w:color="auto"/>
        <w:right w:val="none" w:sz="0" w:space="0" w:color="auto"/>
      </w:divBdr>
    </w:div>
    <w:div w:id="744035773">
      <w:marLeft w:val="0"/>
      <w:marRight w:val="0"/>
      <w:marTop w:val="0"/>
      <w:marBottom w:val="0"/>
      <w:divBdr>
        <w:top w:val="none" w:sz="0" w:space="0" w:color="auto"/>
        <w:left w:val="none" w:sz="0" w:space="0" w:color="auto"/>
        <w:bottom w:val="none" w:sz="0" w:space="0" w:color="auto"/>
        <w:right w:val="none" w:sz="0" w:space="0" w:color="auto"/>
      </w:divBdr>
    </w:div>
    <w:div w:id="744035775">
      <w:marLeft w:val="0"/>
      <w:marRight w:val="0"/>
      <w:marTop w:val="0"/>
      <w:marBottom w:val="0"/>
      <w:divBdr>
        <w:top w:val="none" w:sz="0" w:space="0" w:color="auto"/>
        <w:left w:val="none" w:sz="0" w:space="0" w:color="auto"/>
        <w:bottom w:val="none" w:sz="0" w:space="0" w:color="auto"/>
        <w:right w:val="none" w:sz="0" w:space="0" w:color="auto"/>
      </w:divBdr>
    </w:div>
    <w:div w:id="744035778">
      <w:marLeft w:val="0"/>
      <w:marRight w:val="0"/>
      <w:marTop w:val="0"/>
      <w:marBottom w:val="0"/>
      <w:divBdr>
        <w:top w:val="none" w:sz="0" w:space="0" w:color="auto"/>
        <w:left w:val="none" w:sz="0" w:space="0" w:color="auto"/>
        <w:bottom w:val="none" w:sz="0" w:space="0" w:color="auto"/>
        <w:right w:val="none" w:sz="0" w:space="0" w:color="auto"/>
      </w:divBdr>
    </w:div>
    <w:div w:id="744035779">
      <w:marLeft w:val="0"/>
      <w:marRight w:val="0"/>
      <w:marTop w:val="0"/>
      <w:marBottom w:val="0"/>
      <w:divBdr>
        <w:top w:val="none" w:sz="0" w:space="0" w:color="auto"/>
        <w:left w:val="none" w:sz="0" w:space="0" w:color="auto"/>
        <w:bottom w:val="none" w:sz="0" w:space="0" w:color="auto"/>
        <w:right w:val="none" w:sz="0" w:space="0" w:color="auto"/>
      </w:divBdr>
    </w:div>
    <w:div w:id="744035780">
      <w:marLeft w:val="0"/>
      <w:marRight w:val="0"/>
      <w:marTop w:val="0"/>
      <w:marBottom w:val="0"/>
      <w:divBdr>
        <w:top w:val="none" w:sz="0" w:space="0" w:color="auto"/>
        <w:left w:val="none" w:sz="0" w:space="0" w:color="auto"/>
        <w:bottom w:val="none" w:sz="0" w:space="0" w:color="auto"/>
        <w:right w:val="none" w:sz="0" w:space="0" w:color="auto"/>
      </w:divBdr>
    </w:div>
    <w:div w:id="744035786">
      <w:marLeft w:val="0"/>
      <w:marRight w:val="0"/>
      <w:marTop w:val="0"/>
      <w:marBottom w:val="0"/>
      <w:divBdr>
        <w:top w:val="none" w:sz="0" w:space="0" w:color="auto"/>
        <w:left w:val="none" w:sz="0" w:space="0" w:color="auto"/>
        <w:bottom w:val="none" w:sz="0" w:space="0" w:color="auto"/>
        <w:right w:val="none" w:sz="0" w:space="0" w:color="auto"/>
      </w:divBdr>
      <w:divsChild>
        <w:div w:id="744035858">
          <w:marLeft w:val="0"/>
          <w:marRight w:val="0"/>
          <w:marTop w:val="0"/>
          <w:marBottom w:val="0"/>
          <w:divBdr>
            <w:top w:val="none" w:sz="0" w:space="0" w:color="auto"/>
            <w:left w:val="none" w:sz="0" w:space="0" w:color="auto"/>
            <w:bottom w:val="none" w:sz="0" w:space="0" w:color="auto"/>
            <w:right w:val="none" w:sz="0" w:space="0" w:color="auto"/>
          </w:divBdr>
          <w:divsChild>
            <w:div w:id="744036059">
              <w:marLeft w:val="0"/>
              <w:marRight w:val="0"/>
              <w:marTop w:val="0"/>
              <w:marBottom w:val="0"/>
              <w:divBdr>
                <w:top w:val="none" w:sz="0" w:space="0" w:color="auto"/>
                <w:left w:val="none" w:sz="0" w:space="0" w:color="auto"/>
                <w:bottom w:val="none" w:sz="0" w:space="0" w:color="auto"/>
                <w:right w:val="none" w:sz="0" w:space="0" w:color="auto"/>
              </w:divBdr>
              <w:divsChild>
                <w:div w:id="744035880">
                  <w:marLeft w:val="0"/>
                  <w:marRight w:val="0"/>
                  <w:marTop w:val="0"/>
                  <w:marBottom w:val="0"/>
                  <w:divBdr>
                    <w:top w:val="none" w:sz="0" w:space="0" w:color="auto"/>
                    <w:left w:val="none" w:sz="0" w:space="0" w:color="auto"/>
                    <w:bottom w:val="none" w:sz="0" w:space="0" w:color="auto"/>
                    <w:right w:val="none" w:sz="0" w:space="0" w:color="auto"/>
                  </w:divBdr>
                  <w:divsChild>
                    <w:div w:id="744036156">
                      <w:marLeft w:val="0"/>
                      <w:marRight w:val="0"/>
                      <w:marTop w:val="0"/>
                      <w:marBottom w:val="0"/>
                      <w:divBdr>
                        <w:top w:val="none" w:sz="0" w:space="0" w:color="auto"/>
                        <w:left w:val="none" w:sz="0" w:space="0" w:color="auto"/>
                        <w:bottom w:val="none" w:sz="0" w:space="0" w:color="auto"/>
                        <w:right w:val="none" w:sz="0" w:space="0" w:color="auto"/>
                      </w:divBdr>
                      <w:divsChild>
                        <w:div w:id="744035836">
                          <w:marLeft w:val="0"/>
                          <w:marRight w:val="0"/>
                          <w:marTop w:val="0"/>
                          <w:marBottom w:val="0"/>
                          <w:divBdr>
                            <w:top w:val="none" w:sz="0" w:space="0" w:color="auto"/>
                            <w:left w:val="none" w:sz="0" w:space="0" w:color="auto"/>
                            <w:bottom w:val="none" w:sz="0" w:space="0" w:color="auto"/>
                            <w:right w:val="none" w:sz="0" w:space="0" w:color="auto"/>
                          </w:divBdr>
                        </w:div>
                        <w:div w:id="74403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035878">
          <w:marLeft w:val="0"/>
          <w:marRight w:val="0"/>
          <w:marTop w:val="0"/>
          <w:marBottom w:val="0"/>
          <w:divBdr>
            <w:top w:val="none" w:sz="0" w:space="0" w:color="auto"/>
            <w:left w:val="none" w:sz="0" w:space="0" w:color="auto"/>
            <w:bottom w:val="none" w:sz="0" w:space="0" w:color="auto"/>
            <w:right w:val="none" w:sz="0" w:space="0" w:color="auto"/>
          </w:divBdr>
          <w:divsChild>
            <w:div w:id="744036130">
              <w:marLeft w:val="0"/>
              <w:marRight w:val="0"/>
              <w:marTop w:val="0"/>
              <w:marBottom w:val="0"/>
              <w:divBdr>
                <w:top w:val="none" w:sz="0" w:space="0" w:color="auto"/>
                <w:left w:val="none" w:sz="0" w:space="0" w:color="auto"/>
                <w:bottom w:val="none" w:sz="0" w:space="0" w:color="auto"/>
                <w:right w:val="none" w:sz="0" w:space="0" w:color="auto"/>
              </w:divBdr>
              <w:divsChild>
                <w:div w:id="744035736">
                  <w:marLeft w:val="0"/>
                  <w:marRight w:val="0"/>
                  <w:marTop w:val="0"/>
                  <w:marBottom w:val="0"/>
                  <w:divBdr>
                    <w:top w:val="none" w:sz="0" w:space="0" w:color="auto"/>
                    <w:left w:val="none" w:sz="0" w:space="0" w:color="auto"/>
                    <w:bottom w:val="none" w:sz="0" w:space="0" w:color="auto"/>
                    <w:right w:val="none" w:sz="0" w:space="0" w:color="auto"/>
                  </w:divBdr>
                  <w:divsChild>
                    <w:div w:id="744035866">
                      <w:marLeft w:val="0"/>
                      <w:marRight w:val="0"/>
                      <w:marTop w:val="0"/>
                      <w:marBottom w:val="0"/>
                      <w:divBdr>
                        <w:top w:val="none" w:sz="0" w:space="0" w:color="auto"/>
                        <w:left w:val="none" w:sz="0" w:space="0" w:color="auto"/>
                        <w:bottom w:val="none" w:sz="0" w:space="0" w:color="auto"/>
                        <w:right w:val="none" w:sz="0" w:space="0" w:color="auto"/>
                      </w:divBdr>
                      <w:divsChild>
                        <w:div w:id="744035692">
                          <w:marLeft w:val="0"/>
                          <w:marRight w:val="0"/>
                          <w:marTop w:val="0"/>
                          <w:marBottom w:val="0"/>
                          <w:divBdr>
                            <w:top w:val="none" w:sz="0" w:space="0" w:color="auto"/>
                            <w:left w:val="none" w:sz="0" w:space="0" w:color="auto"/>
                            <w:bottom w:val="none" w:sz="0" w:space="0" w:color="auto"/>
                            <w:right w:val="none" w:sz="0" w:space="0" w:color="auto"/>
                          </w:divBdr>
                        </w:div>
                        <w:div w:id="744035711">
                          <w:marLeft w:val="0"/>
                          <w:marRight w:val="0"/>
                          <w:marTop w:val="0"/>
                          <w:marBottom w:val="0"/>
                          <w:divBdr>
                            <w:top w:val="none" w:sz="0" w:space="0" w:color="auto"/>
                            <w:left w:val="none" w:sz="0" w:space="0" w:color="auto"/>
                            <w:bottom w:val="none" w:sz="0" w:space="0" w:color="auto"/>
                            <w:right w:val="none" w:sz="0" w:space="0" w:color="auto"/>
                          </w:divBdr>
                        </w:div>
                        <w:div w:id="744035774">
                          <w:marLeft w:val="0"/>
                          <w:marRight w:val="0"/>
                          <w:marTop w:val="0"/>
                          <w:marBottom w:val="0"/>
                          <w:divBdr>
                            <w:top w:val="none" w:sz="0" w:space="0" w:color="auto"/>
                            <w:left w:val="none" w:sz="0" w:space="0" w:color="auto"/>
                            <w:bottom w:val="none" w:sz="0" w:space="0" w:color="auto"/>
                            <w:right w:val="none" w:sz="0" w:space="0" w:color="auto"/>
                          </w:divBdr>
                        </w:div>
                        <w:div w:id="744035783">
                          <w:marLeft w:val="0"/>
                          <w:marRight w:val="0"/>
                          <w:marTop w:val="0"/>
                          <w:marBottom w:val="0"/>
                          <w:divBdr>
                            <w:top w:val="none" w:sz="0" w:space="0" w:color="auto"/>
                            <w:left w:val="none" w:sz="0" w:space="0" w:color="auto"/>
                            <w:bottom w:val="none" w:sz="0" w:space="0" w:color="auto"/>
                            <w:right w:val="none" w:sz="0" w:space="0" w:color="auto"/>
                          </w:divBdr>
                        </w:div>
                        <w:div w:id="744035785">
                          <w:marLeft w:val="0"/>
                          <w:marRight w:val="0"/>
                          <w:marTop w:val="0"/>
                          <w:marBottom w:val="0"/>
                          <w:divBdr>
                            <w:top w:val="none" w:sz="0" w:space="0" w:color="auto"/>
                            <w:left w:val="none" w:sz="0" w:space="0" w:color="auto"/>
                            <w:bottom w:val="none" w:sz="0" w:space="0" w:color="auto"/>
                            <w:right w:val="none" w:sz="0" w:space="0" w:color="auto"/>
                          </w:divBdr>
                        </w:div>
                        <w:div w:id="744035797">
                          <w:marLeft w:val="0"/>
                          <w:marRight w:val="0"/>
                          <w:marTop w:val="0"/>
                          <w:marBottom w:val="0"/>
                          <w:divBdr>
                            <w:top w:val="none" w:sz="0" w:space="0" w:color="auto"/>
                            <w:left w:val="none" w:sz="0" w:space="0" w:color="auto"/>
                            <w:bottom w:val="none" w:sz="0" w:space="0" w:color="auto"/>
                            <w:right w:val="none" w:sz="0" w:space="0" w:color="auto"/>
                          </w:divBdr>
                        </w:div>
                        <w:div w:id="744035807">
                          <w:marLeft w:val="0"/>
                          <w:marRight w:val="0"/>
                          <w:marTop w:val="0"/>
                          <w:marBottom w:val="0"/>
                          <w:divBdr>
                            <w:top w:val="none" w:sz="0" w:space="0" w:color="auto"/>
                            <w:left w:val="none" w:sz="0" w:space="0" w:color="auto"/>
                            <w:bottom w:val="none" w:sz="0" w:space="0" w:color="auto"/>
                            <w:right w:val="none" w:sz="0" w:space="0" w:color="auto"/>
                          </w:divBdr>
                        </w:div>
                        <w:div w:id="744035819">
                          <w:marLeft w:val="0"/>
                          <w:marRight w:val="0"/>
                          <w:marTop w:val="0"/>
                          <w:marBottom w:val="0"/>
                          <w:divBdr>
                            <w:top w:val="none" w:sz="0" w:space="0" w:color="auto"/>
                            <w:left w:val="none" w:sz="0" w:space="0" w:color="auto"/>
                            <w:bottom w:val="none" w:sz="0" w:space="0" w:color="auto"/>
                            <w:right w:val="none" w:sz="0" w:space="0" w:color="auto"/>
                          </w:divBdr>
                        </w:div>
                        <w:div w:id="744035829">
                          <w:marLeft w:val="0"/>
                          <w:marRight w:val="0"/>
                          <w:marTop w:val="0"/>
                          <w:marBottom w:val="0"/>
                          <w:divBdr>
                            <w:top w:val="none" w:sz="0" w:space="0" w:color="auto"/>
                            <w:left w:val="none" w:sz="0" w:space="0" w:color="auto"/>
                            <w:bottom w:val="none" w:sz="0" w:space="0" w:color="auto"/>
                            <w:right w:val="none" w:sz="0" w:space="0" w:color="auto"/>
                          </w:divBdr>
                        </w:div>
                        <w:div w:id="744035835">
                          <w:marLeft w:val="0"/>
                          <w:marRight w:val="0"/>
                          <w:marTop w:val="0"/>
                          <w:marBottom w:val="0"/>
                          <w:divBdr>
                            <w:top w:val="none" w:sz="0" w:space="0" w:color="auto"/>
                            <w:left w:val="none" w:sz="0" w:space="0" w:color="auto"/>
                            <w:bottom w:val="none" w:sz="0" w:space="0" w:color="auto"/>
                            <w:right w:val="none" w:sz="0" w:space="0" w:color="auto"/>
                          </w:divBdr>
                        </w:div>
                        <w:div w:id="744035855">
                          <w:marLeft w:val="0"/>
                          <w:marRight w:val="0"/>
                          <w:marTop w:val="0"/>
                          <w:marBottom w:val="0"/>
                          <w:divBdr>
                            <w:top w:val="none" w:sz="0" w:space="0" w:color="auto"/>
                            <w:left w:val="none" w:sz="0" w:space="0" w:color="auto"/>
                            <w:bottom w:val="none" w:sz="0" w:space="0" w:color="auto"/>
                            <w:right w:val="none" w:sz="0" w:space="0" w:color="auto"/>
                          </w:divBdr>
                        </w:div>
                        <w:div w:id="744035861">
                          <w:marLeft w:val="0"/>
                          <w:marRight w:val="0"/>
                          <w:marTop w:val="0"/>
                          <w:marBottom w:val="0"/>
                          <w:divBdr>
                            <w:top w:val="none" w:sz="0" w:space="0" w:color="auto"/>
                            <w:left w:val="none" w:sz="0" w:space="0" w:color="auto"/>
                            <w:bottom w:val="none" w:sz="0" w:space="0" w:color="auto"/>
                            <w:right w:val="none" w:sz="0" w:space="0" w:color="auto"/>
                          </w:divBdr>
                        </w:div>
                        <w:div w:id="744035907">
                          <w:marLeft w:val="0"/>
                          <w:marRight w:val="0"/>
                          <w:marTop w:val="0"/>
                          <w:marBottom w:val="0"/>
                          <w:divBdr>
                            <w:top w:val="none" w:sz="0" w:space="0" w:color="auto"/>
                            <w:left w:val="none" w:sz="0" w:space="0" w:color="auto"/>
                            <w:bottom w:val="none" w:sz="0" w:space="0" w:color="auto"/>
                            <w:right w:val="none" w:sz="0" w:space="0" w:color="auto"/>
                          </w:divBdr>
                        </w:div>
                        <w:div w:id="744035931">
                          <w:marLeft w:val="0"/>
                          <w:marRight w:val="0"/>
                          <w:marTop w:val="0"/>
                          <w:marBottom w:val="0"/>
                          <w:divBdr>
                            <w:top w:val="none" w:sz="0" w:space="0" w:color="auto"/>
                            <w:left w:val="none" w:sz="0" w:space="0" w:color="auto"/>
                            <w:bottom w:val="none" w:sz="0" w:space="0" w:color="auto"/>
                            <w:right w:val="none" w:sz="0" w:space="0" w:color="auto"/>
                          </w:divBdr>
                        </w:div>
                        <w:div w:id="744035948">
                          <w:marLeft w:val="0"/>
                          <w:marRight w:val="0"/>
                          <w:marTop w:val="0"/>
                          <w:marBottom w:val="0"/>
                          <w:divBdr>
                            <w:top w:val="none" w:sz="0" w:space="0" w:color="auto"/>
                            <w:left w:val="none" w:sz="0" w:space="0" w:color="auto"/>
                            <w:bottom w:val="none" w:sz="0" w:space="0" w:color="auto"/>
                            <w:right w:val="none" w:sz="0" w:space="0" w:color="auto"/>
                          </w:divBdr>
                        </w:div>
                        <w:div w:id="744035970">
                          <w:marLeft w:val="0"/>
                          <w:marRight w:val="0"/>
                          <w:marTop w:val="0"/>
                          <w:marBottom w:val="0"/>
                          <w:divBdr>
                            <w:top w:val="none" w:sz="0" w:space="0" w:color="auto"/>
                            <w:left w:val="none" w:sz="0" w:space="0" w:color="auto"/>
                            <w:bottom w:val="none" w:sz="0" w:space="0" w:color="auto"/>
                            <w:right w:val="none" w:sz="0" w:space="0" w:color="auto"/>
                          </w:divBdr>
                        </w:div>
                        <w:div w:id="744035982">
                          <w:marLeft w:val="0"/>
                          <w:marRight w:val="0"/>
                          <w:marTop w:val="0"/>
                          <w:marBottom w:val="0"/>
                          <w:divBdr>
                            <w:top w:val="none" w:sz="0" w:space="0" w:color="auto"/>
                            <w:left w:val="none" w:sz="0" w:space="0" w:color="auto"/>
                            <w:bottom w:val="none" w:sz="0" w:space="0" w:color="auto"/>
                            <w:right w:val="none" w:sz="0" w:space="0" w:color="auto"/>
                          </w:divBdr>
                        </w:div>
                        <w:div w:id="744035991">
                          <w:marLeft w:val="0"/>
                          <w:marRight w:val="0"/>
                          <w:marTop w:val="0"/>
                          <w:marBottom w:val="0"/>
                          <w:divBdr>
                            <w:top w:val="none" w:sz="0" w:space="0" w:color="auto"/>
                            <w:left w:val="none" w:sz="0" w:space="0" w:color="auto"/>
                            <w:bottom w:val="none" w:sz="0" w:space="0" w:color="auto"/>
                            <w:right w:val="none" w:sz="0" w:space="0" w:color="auto"/>
                          </w:divBdr>
                        </w:div>
                        <w:div w:id="744035995">
                          <w:marLeft w:val="0"/>
                          <w:marRight w:val="0"/>
                          <w:marTop w:val="0"/>
                          <w:marBottom w:val="0"/>
                          <w:divBdr>
                            <w:top w:val="none" w:sz="0" w:space="0" w:color="auto"/>
                            <w:left w:val="none" w:sz="0" w:space="0" w:color="auto"/>
                            <w:bottom w:val="none" w:sz="0" w:space="0" w:color="auto"/>
                            <w:right w:val="none" w:sz="0" w:space="0" w:color="auto"/>
                          </w:divBdr>
                        </w:div>
                        <w:div w:id="744036012">
                          <w:marLeft w:val="0"/>
                          <w:marRight w:val="0"/>
                          <w:marTop w:val="0"/>
                          <w:marBottom w:val="0"/>
                          <w:divBdr>
                            <w:top w:val="none" w:sz="0" w:space="0" w:color="auto"/>
                            <w:left w:val="none" w:sz="0" w:space="0" w:color="auto"/>
                            <w:bottom w:val="none" w:sz="0" w:space="0" w:color="auto"/>
                            <w:right w:val="none" w:sz="0" w:space="0" w:color="auto"/>
                          </w:divBdr>
                        </w:div>
                        <w:div w:id="744036038">
                          <w:marLeft w:val="0"/>
                          <w:marRight w:val="0"/>
                          <w:marTop w:val="0"/>
                          <w:marBottom w:val="0"/>
                          <w:divBdr>
                            <w:top w:val="none" w:sz="0" w:space="0" w:color="auto"/>
                            <w:left w:val="none" w:sz="0" w:space="0" w:color="auto"/>
                            <w:bottom w:val="none" w:sz="0" w:space="0" w:color="auto"/>
                            <w:right w:val="none" w:sz="0" w:space="0" w:color="auto"/>
                          </w:divBdr>
                        </w:div>
                        <w:div w:id="744036041">
                          <w:marLeft w:val="0"/>
                          <w:marRight w:val="0"/>
                          <w:marTop w:val="0"/>
                          <w:marBottom w:val="0"/>
                          <w:divBdr>
                            <w:top w:val="none" w:sz="0" w:space="0" w:color="auto"/>
                            <w:left w:val="none" w:sz="0" w:space="0" w:color="auto"/>
                            <w:bottom w:val="none" w:sz="0" w:space="0" w:color="auto"/>
                            <w:right w:val="none" w:sz="0" w:space="0" w:color="auto"/>
                          </w:divBdr>
                        </w:div>
                        <w:div w:id="744036104">
                          <w:marLeft w:val="0"/>
                          <w:marRight w:val="0"/>
                          <w:marTop w:val="0"/>
                          <w:marBottom w:val="0"/>
                          <w:divBdr>
                            <w:top w:val="none" w:sz="0" w:space="0" w:color="auto"/>
                            <w:left w:val="none" w:sz="0" w:space="0" w:color="auto"/>
                            <w:bottom w:val="none" w:sz="0" w:space="0" w:color="auto"/>
                            <w:right w:val="none" w:sz="0" w:space="0" w:color="auto"/>
                          </w:divBdr>
                        </w:div>
                        <w:div w:id="744036125">
                          <w:marLeft w:val="0"/>
                          <w:marRight w:val="0"/>
                          <w:marTop w:val="0"/>
                          <w:marBottom w:val="0"/>
                          <w:divBdr>
                            <w:top w:val="none" w:sz="0" w:space="0" w:color="auto"/>
                            <w:left w:val="none" w:sz="0" w:space="0" w:color="auto"/>
                            <w:bottom w:val="none" w:sz="0" w:space="0" w:color="auto"/>
                            <w:right w:val="none" w:sz="0" w:space="0" w:color="auto"/>
                          </w:divBdr>
                        </w:div>
                        <w:div w:id="744036200">
                          <w:marLeft w:val="0"/>
                          <w:marRight w:val="0"/>
                          <w:marTop w:val="0"/>
                          <w:marBottom w:val="0"/>
                          <w:divBdr>
                            <w:top w:val="none" w:sz="0" w:space="0" w:color="auto"/>
                            <w:left w:val="none" w:sz="0" w:space="0" w:color="auto"/>
                            <w:bottom w:val="none" w:sz="0" w:space="0" w:color="auto"/>
                            <w:right w:val="none" w:sz="0" w:space="0" w:color="auto"/>
                          </w:divBdr>
                        </w:div>
                        <w:div w:id="744036202">
                          <w:marLeft w:val="0"/>
                          <w:marRight w:val="0"/>
                          <w:marTop w:val="0"/>
                          <w:marBottom w:val="0"/>
                          <w:divBdr>
                            <w:top w:val="none" w:sz="0" w:space="0" w:color="auto"/>
                            <w:left w:val="none" w:sz="0" w:space="0" w:color="auto"/>
                            <w:bottom w:val="none" w:sz="0" w:space="0" w:color="auto"/>
                            <w:right w:val="none" w:sz="0" w:space="0" w:color="auto"/>
                          </w:divBdr>
                        </w:div>
                        <w:div w:id="744036226">
                          <w:marLeft w:val="0"/>
                          <w:marRight w:val="0"/>
                          <w:marTop w:val="0"/>
                          <w:marBottom w:val="0"/>
                          <w:divBdr>
                            <w:top w:val="none" w:sz="0" w:space="0" w:color="auto"/>
                            <w:left w:val="none" w:sz="0" w:space="0" w:color="auto"/>
                            <w:bottom w:val="none" w:sz="0" w:space="0" w:color="auto"/>
                            <w:right w:val="none" w:sz="0" w:space="0" w:color="auto"/>
                          </w:divBdr>
                        </w:div>
                        <w:div w:id="744036234">
                          <w:marLeft w:val="0"/>
                          <w:marRight w:val="0"/>
                          <w:marTop w:val="0"/>
                          <w:marBottom w:val="0"/>
                          <w:divBdr>
                            <w:top w:val="none" w:sz="0" w:space="0" w:color="auto"/>
                            <w:left w:val="none" w:sz="0" w:space="0" w:color="auto"/>
                            <w:bottom w:val="none" w:sz="0" w:space="0" w:color="auto"/>
                            <w:right w:val="none" w:sz="0" w:space="0" w:color="auto"/>
                          </w:divBdr>
                        </w:div>
                        <w:div w:id="744036238">
                          <w:marLeft w:val="0"/>
                          <w:marRight w:val="0"/>
                          <w:marTop w:val="0"/>
                          <w:marBottom w:val="0"/>
                          <w:divBdr>
                            <w:top w:val="none" w:sz="0" w:space="0" w:color="auto"/>
                            <w:left w:val="none" w:sz="0" w:space="0" w:color="auto"/>
                            <w:bottom w:val="none" w:sz="0" w:space="0" w:color="auto"/>
                            <w:right w:val="none" w:sz="0" w:space="0" w:color="auto"/>
                          </w:divBdr>
                        </w:div>
                        <w:div w:id="744036244">
                          <w:marLeft w:val="0"/>
                          <w:marRight w:val="0"/>
                          <w:marTop w:val="0"/>
                          <w:marBottom w:val="0"/>
                          <w:divBdr>
                            <w:top w:val="none" w:sz="0" w:space="0" w:color="auto"/>
                            <w:left w:val="none" w:sz="0" w:space="0" w:color="auto"/>
                            <w:bottom w:val="none" w:sz="0" w:space="0" w:color="auto"/>
                            <w:right w:val="none" w:sz="0" w:space="0" w:color="auto"/>
                          </w:divBdr>
                        </w:div>
                        <w:div w:id="744036253">
                          <w:marLeft w:val="0"/>
                          <w:marRight w:val="0"/>
                          <w:marTop w:val="0"/>
                          <w:marBottom w:val="0"/>
                          <w:divBdr>
                            <w:top w:val="none" w:sz="0" w:space="0" w:color="auto"/>
                            <w:left w:val="none" w:sz="0" w:space="0" w:color="auto"/>
                            <w:bottom w:val="none" w:sz="0" w:space="0" w:color="auto"/>
                            <w:right w:val="none" w:sz="0" w:space="0" w:color="auto"/>
                          </w:divBdr>
                        </w:div>
                        <w:div w:id="744036271">
                          <w:marLeft w:val="0"/>
                          <w:marRight w:val="0"/>
                          <w:marTop w:val="0"/>
                          <w:marBottom w:val="0"/>
                          <w:divBdr>
                            <w:top w:val="none" w:sz="0" w:space="0" w:color="auto"/>
                            <w:left w:val="none" w:sz="0" w:space="0" w:color="auto"/>
                            <w:bottom w:val="none" w:sz="0" w:space="0" w:color="auto"/>
                            <w:right w:val="none" w:sz="0" w:space="0" w:color="auto"/>
                          </w:divBdr>
                        </w:div>
                        <w:div w:id="744036278">
                          <w:marLeft w:val="0"/>
                          <w:marRight w:val="0"/>
                          <w:marTop w:val="0"/>
                          <w:marBottom w:val="0"/>
                          <w:divBdr>
                            <w:top w:val="none" w:sz="0" w:space="0" w:color="auto"/>
                            <w:left w:val="none" w:sz="0" w:space="0" w:color="auto"/>
                            <w:bottom w:val="none" w:sz="0" w:space="0" w:color="auto"/>
                            <w:right w:val="none" w:sz="0" w:space="0" w:color="auto"/>
                          </w:divBdr>
                        </w:div>
                        <w:div w:id="744036284">
                          <w:marLeft w:val="0"/>
                          <w:marRight w:val="0"/>
                          <w:marTop w:val="0"/>
                          <w:marBottom w:val="0"/>
                          <w:divBdr>
                            <w:top w:val="none" w:sz="0" w:space="0" w:color="auto"/>
                            <w:left w:val="none" w:sz="0" w:space="0" w:color="auto"/>
                            <w:bottom w:val="none" w:sz="0" w:space="0" w:color="auto"/>
                            <w:right w:val="none" w:sz="0" w:space="0" w:color="auto"/>
                          </w:divBdr>
                        </w:div>
                        <w:div w:id="744036291">
                          <w:marLeft w:val="0"/>
                          <w:marRight w:val="0"/>
                          <w:marTop w:val="0"/>
                          <w:marBottom w:val="0"/>
                          <w:divBdr>
                            <w:top w:val="none" w:sz="0" w:space="0" w:color="auto"/>
                            <w:left w:val="none" w:sz="0" w:space="0" w:color="auto"/>
                            <w:bottom w:val="none" w:sz="0" w:space="0" w:color="auto"/>
                            <w:right w:val="none" w:sz="0" w:space="0" w:color="auto"/>
                          </w:divBdr>
                        </w:div>
                        <w:div w:id="744036300">
                          <w:marLeft w:val="0"/>
                          <w:marRight w:val="0"/>
                          <w:marTop w:val="0"/>
                          <w:marBottom w:val="0"/>
                          <w:divBdr>
                            <w:top w:val="none" w:sz="0" w:space="0" w:color="auto"/>
                            <w:left w:val="none" w:sz="0" w:space="0" w:color="auto"/>
                            <w:bottom w:val="none" w:sz="0" w:space="0" w:color="auto"/>
                            <w:right w:val="none" w:sz="0" w:space="0" w:color="auto"/>
                          </w:divBdr>
                        </w:div>
                        <w:div w:id="744036302">
                          <w:marLeft w:val="0"/>
                          <w:marRight w:val="0"/>
                          <w:marTop w:val="0"/>
                          <w:marBottom w:val="0"/>
                          <w:divBdr>
                            <w:top w:val="none" w:sz="0" w:space="0" w:color="auto"/>
                            <w:left w:val="none" w:sz="0" w:space="0" w:color="auto"/>
                            <w:bottom w:val="none" w:sz="0" w:space="0" w:color="auto"/>
                            <w:right w:val="none" w:sz="0" w:space="0" w:color="auto"/>
                          </w:divBdr>
                        </w:div>
                        <w:div w:id="744036306">
                          <w:marLeft w:val="0"/>
                          <w:marRight w:val="0"/>
                          <w:marTop w:val="0"/>
                          <w:marBottom w:val="0"/>
                          <w:divBdr>
                            <w:top w:val="none" w:sz="0" w:space="0" w:color="auto"/>
                            <w:left w:val="none" w:sz="0" w:space="0" w:color="auto"/>
                            <w:bottom w:val="none" w:sz="0" w:space="0" w:color="auto"/>
                            <w:right w:val="none" w:sz="0" w:space="0" w:color="auto"/>
                          </w:divBdr>
                        </w:div>
                        <w:div w:id="744036321">
                          <w:marLeft w:val="0"/>
                          <w:marRight w:val="0"/>
                          <w:marTop w:val="0"/>
                          <w:marBottom w:val="0"/>
                          <w:divBdr>
                            <w:top w:val="none" w:sz="0" w:space="0" w:color="auto"/>
                            <w:left w:val="none" w:sz="0" w:space="0" w:color="auto"/>
                            <w:bottom w:val="none" w:sz="0" w:space="0" w:color="auto"/>
                            <w:right w:val="none" w:sz="0" w:space="0" w:color="auto"/>
                          </w:divBdr>
                        </w:div>
                        <w:div w:id="7440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035790">
      <w:marLeft w:val="0"/>
      <w:marRight w:val="0"/>
      <w:marTop w:val="0"/>
      <w:marBottom w:val="0"/>
      <w:divBdr>
        <w:top w:val="none" w:sz="0" w:space="0" w:color="auto"/>
        <w:left w:val="none" w:sz="0" w:space="0" w:color="auto"/>
        <w:bottom w:val="none" w:sz="0" w:space="0" w:color="auto"/>
        <w:right w:val="none" w:sz="0" w:space="0" w:color="auto"/>
      </w:divBdr>
    </w:div>
    <w:div w:id="744035792">
      <w:marLeft w:val="0"/>
      <w:marRight w:val="0"/>
      <w:marTop w:val="0"/>
      <w:marBottom w:val="0"/>
      <w:divBdr>
        <w:top w:val="none" w:sz="0" w:space="0" w:color="auto"/>
        <w:left w:val="none" w:sz="0" w:space="0" w:color="auto"/>
        <w:bottom w:val="none" w:sz="0" w:space="0" w:color="auto"/>
        <w:right w:val="none" w:sz="0" w:space="0" w:color="auto"/>
      </w:divBdr>
    </w:div>
    <w:div w:id="744035798">
      <w:marLeft w:val="0"/>
      <w:marRight w:val="0"/>
      <w:marTop w:val="0"/>
      <w:marBottom w:val="0"/>
      <w:divBdr>
        <w:top w:val="none" w:sz="0" w:space="0" w:color="auto"/>
        <w:left w:val="none" w:sz="0" w:space="0" w:color="auto"/>
        <w:bottom w:val="none" w:sz="0" w:space="0" w:color="auto"/>
        <w:right w:val="none" w:sz="0" w:space="0" w:color="auto"/>
      </w:divBdr>
    </w:div>
    <w:div w:id="744035800">
      <w:marLeft w:val="0"/>
      <w:marRight w:val="0"/>
      <w:marTop w:val="0"/>
      <w:marBottom w:val="0"/>
      <w:divBdr>
        <w:top w:val="none" w:sz="0" w:space="0" w:color="auto"/>
        <w:left w:val="none" w:sz="0" w:space="0" w:color="auto"/>
        <w:bottom w:val="none" w:sz="0" w:space="0" w:color="auto"/>
        <w:right w:val="none" w:sz="0" w:space="0" w:color="auto"/>
      </w:divBdr>
    </w:div>
    <w:div w:id="744035802">
      <w:marLeft w:val="0"/>
      <w:marRight w:val="0"/>
      <w:marTop w:val="0"/>
      <w:marBottom w:val="0"/>
      <w:divBdr>
        <w:top w:val="none" w:sz="0" w:space="0" w:color="auto"/>
        <w:left w:val="none" w:sz="0" w:space="0" w:color="auto"/>
        <w:bottom w:val="none" w:sz="0" w:space="0" w:color="auto"/>
        <w:right w:val="none" w:sz="0" w:space="0" w:color="auto"/>
      </w:divBdr>
    </w:div>
    <w:div w:id="744035803">
      <w:marLeft w:val="0"/>
      <w:marRight w:val="0"/>
      <w:marTop w:val="0"/>
      <w:marBottom w:val="0"/>
      <w:divBdr>
        <w:top w:val="none" w:sz="0" w:space="0" w:color="auto"/>
        <w:left w:val="none" w:sz="0" w:space="0" w:color="auto"/>
        <w:bottom w:val="none" w:sz="0" w:space="0" w:color="auto"/>
        <w:right w:val="none" w:sz="0" w:space="0" w:color="auto"/>
      </w:divBdr>
    </w:div>
    <w:div w:id="744035804">
      <w:marLeft w:val="0"/>
      <w:marRight w:val="0"/>
      <w:marTop w:val="0"/>
      <w:marBottom w:val="0"/>
      <w:divBdr>
        <w:top w:val="none" w:sz="0" w:space="0" w:color="auto"/>
        <w:left w:val="none" w:sz="0" w:space="0" w:color="auto"/>
        <w:bottom w:val="none" w:sz="0" w:space="0" w:color="auto"/>
        <w:right w:val="none" w:sz="0" w:space="0" w:color="auto"/>
      </w:divBdr>
    </w:div>
    <w:div w:id="744035806">
      <w:marLeft w:val="0"/>
      <w:marRight w:val="0"/>
      <w:marTop w:val="0"/>
      <w:marBottom w:val="0"/>
      <w:divBdr>
        <w:top w:val="none" w:sz="0" w:space="0" w:color="auto"/>
        <w:left w:val="none" w:sz="0" w:space="0" w:color="auto"/>
        <w:bottom w:val="none" w:sz="0" w:space="0" w:color="auto"/>
        <w:right w:val="none" w:sz="0" w:space="0" w:color="auto"/>
      </w:divBdr>
    </w:div>
    <w:div w:id="744035810">
      <w:marLeft w:val="0"/>
      <w:marRight w:val="0"/>
      <w:marTop w:val="0"/>
      <w:marBottom w:val="0"/>
      <w:divBdr>
        <w:top w:val="none" w:sz="0" w:space="0" w:color="auto"/>
        <w:left w:val="none" w:sz="0" w:space="0" w:color="auto"/>
        <w:bottom w:val="none" w:sz="0" w:space="0" w:color="auto"/>
        <w:right w:val="none" w:sz="0" w:space="0" w:color="auto"/>
      </w:divBdr>
    </w:div>
    <w:div w:id="744035812">
      <w:marLeft w:val="0"/>
      <w:marRight w:val="0"/>
      <w:marTop w:val="0"/>
      <w:marBottom w:val="0"/>
      <w:divBdr>
        <w:top w:val="none" w:sz="0" w:space="0" w:color="auto"/>
        <w:left w:val="none" w:sz="0" w:space="0" w:color="auto"/>
        <w:bottom w:val="none" w:sz="0" w:space="0" w:color="auto"/>
        <w:right w:val="none" w:sz="0" w:space="0" w:color="auto"/>
      </w:divBdr>
    </w:div>
    <w:div w:id="744035813">
      <w:marLeft w:val="0"/>
      <w:marRight w:val="0"/>
      <w:marTop w:val="0"/>
      <w:marBottom w:val="0"/>
      <w:divBdr>
        <w:top w:val="none" w:sz="0" w:space="0" w:color="auto"/>
        <w:left w:val="none" w:sz="0" w:space="0" w:color="auto"/>
        <w:bottom w:val="none" w:sz="0" w:space="0" w:color="auto"/>
        <w:right w:val="none" w:sz="0" w:space="0" w:color="auto"/>
      </w:divBdr>
    </w:div>
    <w:div w:id="744035816">
      <w:marLeft w:val="0"/>
      <w:marRight w:val="0"/>
      <w:marTop w:val="0"/>
      <w:marBottom w:val="0"/>
      <w:divBdr>
        <w:top w:val="none" w:sz="0" w:space="0" w:color="auto"/>
        <w:left w:val="none" w:sz="0" w:space="0" w:color="auto"/>
        <w:bottom w:val="none" w:sz="0" w:space="0" w:color="auto"/>
        <w:right w:val="none" w:sz="0" w:space="0" w:color="auto"/>
      </w:divBdr>
    </w:div>
    <w:div w:id="744035817">
      <w:marLeft w:val="0"/>
      <w:marRight w:val="0"/>
      <w:marTop w:val="0"/>
      <w:marBottom w:val="0"/>
      <w:divBdr>
        <w:top w:val="none" w:sz="0" w:space="0" w:color="auto"/>
        <w:left w:val="none" w:sz="0" w:space="0" w:color="auto"/>
        <w:bottom w:val="none" w:sz="0" w:space="0" w:color="auto"/>
        <w:right w:val="none" w:sz="0" w:space="0" w:color="auto"/>
      </w:divBdr>
    </w:div>
    <w:div w:id="744035818">
      <w:marLeft w:val="0"/>
      <w:marRight w:val="0"/>
      <w:marTop w:val="0"/>
      <w:marBottom w:val="0"/>
      <w:divBdr>
        <w:top w:val="none" w:sz="0" w:space="0" w:color="auto"/>
        <w:left w:val="none" w:sz="0" w:space="0" w:color="auto"/>
        <w:bottom w:val="none" w:sz="0" w:space="0" w:color="auto"/>
        <w:right w:val="none" w:sz="0" w:space="0" w:color="auto"/>
      </w:divBdr>
    </w:div>
    <w:div w:id="744035820">
      <w:marLeft w:val="0"/>
      <w:marRight w:val="0"/>
      <w:marTop w:val="0"/>
      <w:marBottom w:val="0"/>
      <w:divBdr>
        <w:top w:val="none" w:sz="0" w:space="0" w:color="auto"/>
        <w:left w:val="none" w:sz="0" w:space="0" w:color="auto"/>
        <w:bottom w:val="none" w:sz="0" w:space="0" w:color="auto"/>
        <w:right w:val="none" w:sz="0" w:space="0" w:color="auto"/>
      </w:divBdr>
    </w:div>
    <w:div w:id="744035823">
      <w:marLeft w:val="0"/>
      <w:marRight w:val="0"/>
      <w:marTop w:val="0"/>
      <w:marBottom w:val="0"/>
      <w:divBdr>
        <w:top w:val="none" w:sz="0" w:space="0" w:color="auto"/>
        <w:left w:val="none" w:sz="0" w:space="0" w:color="auto"/>
        <w:bottom w:val="none" w:sz="0" w:space="0" w:color="auto"/>
        <w:right w:val="none" w:sz="0" w:space="0" w:color="auto"/>
      </w:divBdr>
    </w:div>
    <w:div w:id="744035826">
      <w:marLeft w:val="0"/>
      <w:marRight w:val="0"/>
      <w:marTop w:val="0"/>
      <w:marBottom w:val="0"/>
      <w:divBdr>
        <w:top w:val="none" w:sz="0" w:space="0" w:color="auto"/>
        <w:left w:val="none" w:sz="0" w:space="0" w:color="auto"/>
        <w:bottom w:val="none" w:sz="0" w:space="0" w:color="auto"/>
        <w:right w:val="none" w:sz="0" w:space="0" w:color="auto"/>
      </w:divBdr>
    </w:div>
    <w:div w:id="744035827">
      <w:marLeft w:val="0"/>
      <w:marRight w:val="0"/>
      <w:marTop w:val="0"/>
      <w:marBottom w:val="0"/>
      <w:divBdr>
        <w:top w:val="none" w:sz="0" w:space="0" w:color="auto"/>
        <w:left w:val="none" w:sz="0" w:space="0" w:color="auto"/>
        <w:bottom w:val="none" w:sz="0" w:space="0" w:color="auto"/>
        <w:right w:val="none" w:sz="0" w:space="0" w:color="auto"/>
      </w:divBdr>
    </w:div>
    <w:div w:id="744035828">
      <w:marLeft w:val="0"/>
      <w:marRight w:val="0"/>
      <w:marTop w:val="0"/>
      <w:marBottom w:val="0"/>
      <w:divBdr>
        <w:top w:val="none" w:sz="0" w:space="0" w:color="auto"/>
        <w:left w:val="none" w:sz="0" w:space="0" w:color="auto"/>
        <w:bottom w:val="none" w:sz="0" w:space="0" w:color="auto"/>
        <w:right w:val="none" w:sz="0" w:space="0" w:color="auto"/>
      </w:divBdr>
    </w:div>
    <w:div w:id="744035830">
      <w:marLeft w:val="0"/>
      <w:marRight w:val="0"/>
      <w:marTop w:val="0"/>
      <w:marBottom w:val="0"/>
      <w:divBdr>
        <w:top w:val="none" w:sz="0" w:space="0" w:color="auto"/>
        <w:left w:val="none" w:sz="0" w:space="0" w:color="auto"/>
        <w:bottom w:val="none" w:sz="0" w:space="0" w:color="auto"/>
        <w:right w:val="none" w:sz="0" w:space="0" w:color="auto"/>
      </w:divBdr>
    </w:div>
    <w:div w:id="744035832">
      <w:marLeft w:val="0"/>
      <w:marRight w:val="0"/>
      <w:marTop w:val="0"/>
      <w:marBottom w:val="0"/>
      <w:divBdr>
        <w:top w:val="none" w:sz="0" w:space="0" w:color="auto"/>
        <w:left w:val="none" w:sz="0" w:space="0" w:color="auto"/>
        <w:bottom w:val="none" w:sz="0" w:space="0" w:color="auto"/>
        <w:right w:val="none" w:sz="0" w:space="0" w:color="auto"/>
      </w:divBdr>
    </w:div>
    <w:div w:id="744035837">
      <w:marLeft w:val="0"/>
      <w:marRight w:val="0"/>
      <w:marTop w:val="0"/>
      <w:marBottom w:val="0"/>
      <w:divBdr>
        <w:top w:val="none" w:sz="0" w:space="0" w:color="auto"/>
        <w:left w:val="none" w:sz="0" w:space="0" w:color="auto"/>
        <w:bottom w:val="none" w:sz="0" w:space="0" w:color="auto"/>
        <w:right w:val="none" w:sz="0" w:space="0" w:color="auto"/>
      </w:divBdr>
    </w:div>
    <w:div w:id="744035838">
      <w:marLeft w:val="0"/>
      <w:marRight w:val="0"/>
      <w:marTop w:val="0"/>
      <w:marBottom w:val="0"/>
      <w:divBdr>
        <w:top w:val="none" w:sz="0" w:space="0" w:color="auto"/>
        <w:left w:val="none" w:sz="0" w:space="0" w:color="auto"/>
        <w:bottom w:val="none" w:sz="0" w:space="0" w:color="auto"/>
        <w:right w:val="none" w:sz="0" w:space="0" w:color="auto"/>
      </w:divBdr>
    </w:div>
    <w:div w:id="744035839">
      <w:marLeft w:val="0"/>
      <w:marRight w:val="0"/>
      <w:marTop w:val="0"/>
      <w:marBottom w:val="0"/>
      <w:divBdr>
        <w:top w:val="none" w:sz="0" w:space="0" w:color="auto"/>
        <w:left w:val="none" w:sz="0" w:space="0" w:color="auto"/>
        <w:bottom w:val="none" w:sz="0" w:space="0" w:color="auto"/>
        <w:right w:val="none" w:sz="0" w:space="0" w:color="auto"/>
      </w:divBdr>
    </w:div>
    <w:div w:id="744035841">
      <w:marLeft w:val="0"/>
      <w:marRight w:val="0"/>
      <w:marTop w:val="0"/>
      <w:marBottom w:val="0"/>
      <w:divBdr>
        <w:top w:val="none" w:sz="0" w:space="0" w:color="auto"/>
        <w:left w:val="none" w:sz="0" w:space="0" w:color="auto"/>
        <w:bottom w:val="none" w:sz="0" w:space="0" w:color="auto"/>
        <w:right w:val="none" w:sz="0" w:space="0" w:color="auto"/>
      </w:divBdr>
    </w:div>
    <w:div w:id="744035842">
      <w:marLeft w:val="0"/>
      <w:marRight w:val="0"/>
      <w:marTop w:val="0"/>
      <w:marBottom w:val="0"/>
      <w:divBdr>
        <w:top w:val="none" w:sz="0" w:space="0" w:color="auto"/>
        <w:left w:val="none" w:sz="0" w:space="0" w:color="auto"/>
        <w:bottom w:val="none" w:sz="0" w:space="0" w:color="auto"/>
        <w:right w:val="none" w:sz="0" w:space="0" w:color="auto"/>
      </w:divBdr>
    </w:div>
    <w:div w:id="744035843">
      <w:marLeft w:val="0"/>
      <w:marRight w:val="0"/>
      <w:marTop w:val="0"/>
      <w:marBottom w:val="0"/>
      <w:divBdr>
        <w:top w:val="none" w:sz="0" w:space="0" w:color="auto"/>
        <w:left w:val="none" w:sz="0" w:space="0" w:color="auto"/>
        <w:bottom w:val="none" w:sz="0" w:space="0" w:color="auto"/>
        <w:right w:val="none" w:sz="0" w:space="0" w:color="auto"/>
      </w:divBdr>
    </w:div>
    <w:div w:id="744035844">
      <w:marLeft w:val="0"/>
      <w:marRight w:val="0"/>
      <w:marTop w:val="0"/>
      <w:marBottom w:val="0"/>
      <w:divBdr>
        <w:top w:val="none" w:sz="0" w:space="0" w:color="auto"/>
        <w:left w:val="none" w:sz="0" w:space="0" w:color="auto"/>
        <w:bottom w:val="none" w:sz="0" w:space="0" w:color="auto"/>
        <w:right w:val="none" w:sz="0" w:space="0" w:color="auto"/>
      </w:divBdr>
    </w:div>
    <w:div w:id="744035845">
      <w:marLeft w:val="0"/>
      <w:marRight w:val="0"/>
      <w:marTop w:val="0"/>
      <w:marBottom w:val="0"/>
      <w:divBdr>
        <w:top w:val="none" w:sz="0" w:space="0" w:color="auto"/>
        <w:left w:val="none" w:sz="0" w:space="0" w:color="auto"/>
        <w:bottom w:val="none" w:sz="0" w:space="0" w:color="auto"/>
        <w:right w:val="none" w:sz="0" w:space="0" w:color="auto"/>
      </w:divBdr>
    </w:div>
    <w:div w:id="744035846">
      <w:marLeft w:val="0"/>
      <w:marRight w:val="0"/>
      <w:marTop w:val="0"/>
      <w:marBottom w:val="0"/>
      <w:divBdr>
        <w:top w:val="none" w:sz="0" w:space="0" w:color="auto"/>
        <w:left w:val="none" w:sz="0" w:space="0" w:color="auto"/>
        <w:bottom w:val="none" w:sz="0" w:space="0" w:color="auto"/>
        <w:right w:val="none" w:sz="0" w:space="0" w:color="auto"/>
      </w:divBdr>
    </w:div>
    <w:div w:id="744035848">
      <w:marLeft w:val="0"/>
      <w:marRight w:val="0"/>
      <w:marTop w:val="0"/>
      <w:marBottom w:val="0"/>
      <w:divBdr>
        <w:top w:val="none" w:sz="0" w:space="0" w:color="auto"/>
        <w:left w:val="none" w:sz="0" w:space="0" w:color="auto"/>
        <w:bottom w:val="none" w:sz="0" w:space="0" w:color="auto"/>
        <w:right w:val="none" w:sz="0" w:space="0" w:color="auto"/>
      </w:divBdr>
    </w:div>
    <w:div w:id="744035849">
      <w:marLeft w:val="0"/>
      <w:marRight w:val="0"/>
      <w:marTop w:val="0"/>
      <w:marBottom w:val="0"/>
      <w:divBdr>
        <w:top w:val="none" w:sz="0" w:space="0" w:color="auto"/>
        <w:left w:val="none" w:sz="0" w:space="0" w:color="auto"/>
        <w:bottom w:val="none" w:sz="0" w:space="0" w:color="auto"/>
        <w:right w:val="none" w:sz="0" w:space="0" w:color="auto"/>
      </w:divBdr>
      <w:divsChild>
        <w:div w:id="744035811">
          <w:marLeft w:val="0"/>
          <w:marRight w:val="0"/>
          <w:marTop w:val="0"/>
          <w:marBottom w:val="0"/>
          <w:divBdr>
            <w:top w:val="none" w:sz="0" w:space="0" w:color="auto"/>
            <w:left w:val="none" w:sz="0" w:space="0" w:color="auto"/>
            <w:bottom w:val="none" w:sz="0" w:space="0" w:color="auto"/>
            <w:right w:val="none" w:sz="0" w:space="0" w:color="auto"/>
          </w:divBdr>
        </w:div>
      </w:divsChild>
    </w:div>
    <w:div w:id="744035851">
      <w:marLeft w:val="0"/>
      <w:marRight w:val="0"/>
      <w:marTop w:val="0"/>
      <w:marBottom w:val="0"/>
      <w:divBdr>
        <w:top w:val="none" w:sz="0" w:space="0" w:color="auto"/>
        <w:left w:val="none" w:sz="0" w:space="0" w:color="auto"/>
        <w:bottom w:val="none" w:sz="0" w:space="0" w:color="auto"/>
        <w:right w:val="none" w:sz="0" w:space="0" w:color="auto"/>
      </w:divBdr>
    </w:div>
    <w:div w:id="744035853">
      <w:marLeft w:val="0"/>
      <w:marRight w:val="0"/>
      <w:marTop w:val="0"/>
      <w:marBottom w:val="0"/>
      <w:divBdr>
        <w:top w:val="none" w:sz="0" w:space="0" w:color="auto"/>
        <w:left w:val="none" w:sz="0" w:space="0" w:color="auto"/>
        <w:bottom w:val="none" w:sz="0" w:space="0" w:color="auto"/>
        <w:right w:val="none" w:sz="0" w:space="0" w:color="auto"/>
      </w:divBdr>
    </w:div>
    <w:div w:id="744035856">
      <w:marLeft w:val="0"/>
      <w:marRight w:val="0"/>
      <w:marTop w:val="0"/>
      <w:marBottom w:val="0"/>
      <w:divBdr>
        <w:top w:val="none" w:sz="0" w:space="0" w:color="auto"/>
        <w:left w:val="none" w:sz="0" w:space="0" w:color="auto"/>
        <w:bottom w:val="none" w:sz="0" w:space="0" w:color="auto"/>
        <w:right w:val="none" w:sz="0" w:space="0" w:color="auto"/>
      </w:divBdr>
    </w:div>
    <w:div w:id="744035862">
      <w:marLeft w:val="0"/>
      <w:marRight w:val="0"/>
      <w:marTop w:val="0"/>
      <w:marBottom w:val="0"/>
      <w:divBdr>
        <w:top w:val="none" w:sz="0" w:space="0" w:color="auto"/>
        <w:left w:val="none" w:sz="0" w:space="0" w:color="auto"/>
        <w:bottom w:val="none" w:sz="0" w:space="0" w:color="auto"/>
        <w:right w:val="none" w:sz="0" w:space="0" w:color="auto"/>
      </w:divBdr>
    </w:div>
    <w:div w:id="744035863">
      <w:marLeft w:val="0"/>
      <w:marRight w:val="0"/>
      <w:marTop w:val="0"/>
      <w:marBottom w:val="0"/>
      <w:divBdr>
        <w:top w:val="none" w:sz="0" w:space="0" w:color="auto"/>
        <w:left w:val="none" w:sz="0" w:space="0" w:color="auto"/>
        <w:bottom w:val="none" w:sz="0" w:space="0" w:color="auto"/>
        <w:right w:val="none" w:sz="0" w:space="0" w:color="auto"/>
      </w:divBdr>
    </w:div>
    <w:div w:id="744035864">
      <w:marLeft w:val="0"/>
      <w:marRight w:val="0"/>
      <w:marTop w:val="0"/>
      <w:marBottom w:val="0"/>
      <w:divBdr>
        <w:top w:val="none" w:sz="0" w:space="0" w:color="auto"/>
        <w:left w:val="none" w:sz="0" w:space="0" w:color="auto"/>
        <w:bottom w:val="none" w:sz="0" w:space="0" w:color="auto"/>
        <w:right w:val="none" w:sz="0" w:space="0" w:color="auto"/>
      </w:divBdr>
    </w:div>
    <w:div w:id="744035865">
      <w:marLeft w:val="0"/>
      <w:marRight w:val="0"/>
      <w:marTop w:val="0"/>
      <w:marBottom w:val="0"/>
      <w:divBdr>
        <w:top w:val="none" w:sz="0" w:space="0" w:color="auto"/>
        <w:left w:val="none" w:sz="0" w:space="0" w:color="auto"/>
        <w:bottom w:val="none" w:sz="0" w:space="0" w:color="auto"/>
        <w:right w:val="none" w:sz="0" w:space="0" w:color="auto"/>
      </w:divBdr>
    </w:div>
    <w:div w:id="744035867">
      <w:marLeft w:val="0"/>
      <w:marRight w:val="0"/>
      <w:marTop w:val="0"/>
      <w:marBottom w:val="0"/>
      <w:divBdr>
        <w:top w:val="none" w:sz="0" w:space="0" w:color="auto"/>
        <w:left w:val="none" w:sz="0" w:space="0" w:color="auto"/>
        <w:bottom w:val="none" w:sz="0" w:space="0" w:color="auto"/>
        <w:right w:val="none" w:sz="0" w:space="0" w:color="auto"/>
      </w:divBdr>
    </w:div>
    <w:div w:id="744035870">
      <w:marLeft w:val="0"/>
      <w:marRight w:val="0"/>
      <w:marTop w:val="0"/>
      <w:marBottom w:val="0"/>
      <w:divBdr>
        <w:top w:val="none" w:sz="0" w:space="0" w:color="auto"/>
        <w:left w:val="none" w:sz="0" w:space="0" w:color="auto"/>
        <w:bottom w:val="none" w:sz="0" w:space="0" w:color="auto"/>
        <w:right w:val="none" w:sz="0" w:space="0" w:color="auto"/>
      </w:divBdr>
    </w:div>
    <w:div w:id="744035871">
      <w:marLeft w:val="0"/>
      <w:marRight w:val="0"/>
      <w:marTop w:val="0"/>
      <w:marBottom w:val="0"/>
      <w:divBdr>
        <w:top w:val="none" w:sz="0" w:space="0" w:color="auto"/>
        <w:left w:val="none" w:sz="0" w:space="0" w:color="auto"/>
        <w:bottom w:val="none" w:sz="0" w:space="0" w:color="auto"/>
        <w:right w:val="none" w:sz="0" w:space="0" w:color="auto"/>
      </w:divBdr>
    </w:div>
    <w:div w:id="744035873">
      <w:marLeft w:val="0"/>
      <w:marRight w:val="0"/>
      <w:marTop w:val="0"/>
      <w:marBottom w:val="0"/>
      <w:divBdr>
        <w:top w:val="none" w:sz="0" w:space="0" w:color="auto"/>
        <w:left w:val="none" w:sz="0" w:space="0" w:color="auto"/>
        <w:bottom w:val="none" w:sz="0" w:space="0" w:color="auto"/>
        <w:right w:val="none" w:sz="0" w:space="0" w:color="auto"/>
      </w:divBdr>
    </w:div>
    <w:div w:id="744035874">
      <w:marLeft w:val="0"/>
      <w:marRight w:val="0"/>
      <w:marTop w:val="0"/>
      <w:marBottom w:val="0"/>
      <w:divBdr>
        <w:top w:val="none" w:sz="0" w:space="0" w:color="auto"/>
        <w:left w:val="none" w:sz="0" w:space="0" w:color="auto"/>
        <w:bottom w:val="none" w:sz="0" w:space="0" w:color="auto"/>
        <w:right w:val="none" w:sz="0" w:space="0" w:color="auto"/>
      </w:divBdr>
    </w:div>
    <w:div w:id="744035875">
      <w:marLeft w:val="0"/>
      <w:marRight w:val="0"/>
      <w:marTop w:val="0"/>
      <w:marBottom w:val="0"/>
      <w:divBdr>
        <w:top w:val="none" w:sz="0" w:space="0" w:color="auto"/>
        <w:left w:val="none" w:sz="0" w:space="0" w:color="auto"/>
        <w:bottom w:val="none" w:sz="0" w:space="0" w:color="auto"/>
        <w:right w:val="none" w:sz="0" w:space="0" w:color="auto"/>
      </w:divBdr>
    </w:div>
    <w:div w:id="744035876">
      <w:marLeft w:val="0"/>
      <w:marRight w:val="0"/>
      <w:marTop w:val="0"/>
      <w:marBottom w:val="0"/>
      <w:divBdr>
        <w:top w:val="none" w:sz="0" w:space="0" w:color="auto"/>
        <w:left w:val="none" w:sz="0" w:space="0" w:color="auto"/>
        <w:bottom w:val="none" w:sz="0" w:space="0" w:color="auto"/>
        <w:right w:val="none" w:sz="0" w:space="0" w:color="auto"/>
      </w:divBdr>
      <w:divsChild>
        <w:div w:id="744035707">
          <w:marLeft w:val="0"/>
          <w:marRight w:val="0"/>
          <w:marTop w:val="0"/>
          <w:marBottom w:val="0"/>
          <w:divBdr>
            <w:top w:val="none" w:sz="0" w:space="0" w:color="auto"/>
            <w:left w:val="none" w:sz="0" w:space="0" w:color="auto"/>
            <w:bottom w:val="none" w:sz="0" w:space="0" w:color="auto"/>
            <w:right w:val="none" w:sz="0" w:space="0" w:color="auto"/>
          </w:divBdr>
        </w:div>
        <w:div w:id="744035759">
          <w:marLeft w:val="0"/>
          <w:marRight w:val="0"/>
          <w:marTop w:val="0"/>
          <w:marBottom w:val="0"/>
          <w:divBdr>
            <w:top w:val="none" w:sz="0" w:space="0" w:color="auto"/>
            <w:left w:val="none" w:sz="0" w:space="0" w:color="auto"/>
            <w:bottom w:val="none" w:sz="0" w:space="0" w:color="auto"/>
            <w:right w:val="none" w:sz="0" w:space="0" w:color="auto"/>
          </w:divBdr>
        </w:div>
        <w:div w:id="744035771">
          <w:marLeft w:val="0"/>
          <w:marRight w:val="0"/>
          <w:marTop w:val="0"/>
          <w:marBottom w:val="0"/>
          <w:divBdr>
            <w:top w:val="none" w:sz="0" w:space="0" w:color="auto"/>
            <w:left w:val="none" w:sz="0" w:space="0" w:color="auto"/>
            <w:bottom w:val="none" w:sz="0" w:space="0" w:color="auto"/>
            <w:right w:val="none" w:sz="0" w:space="0" w:color="auto"/>
          </w:divBdr>
        </w:div>
        <w:div w:id="744035796">
          <w:marLeft w:val="0"/>
          <w:marRight w:val="0"/>
          <w:marTop w:val="0"/>
          <w:marBottom w:val="0"/>
          <w:divBdr>
            <w:top w:val="none" w:sz="0" w:space="0" w:color="auto"/>
            <w:left w:val="none" w:sz="0" w:space="0" w:color="auto"/>
            <w:bottom w:val="none" w:sz="0" w:space="0" w:color="auto"/>
            <w:right w:val="none" w:sz="0" w:space="0" w:color="auto"/>
          </w:divBdr>
        </w:div>
        <w:div w:id="744035935">
          <w:marLeft w:val="0"/>
          <w:marRight w:val="0"/>
          <w:marTop w:val="0"/>
          <w:marBottom w:val="0"/>
          <w:divBdr>
            <w:top w:val="none" w:sz="0" w:space="0" w:color="auto"/>
            <w:left w:val="none" w:sz="0" w:space="0" w:color="auto"/>
            <w:bottom w:val="none" w:sz="0" w:space="0" w:color="auto"/>
            <w:right w:val="none" w:sz="0" w:space="0" w:color="auto"/>
          </w:divBdr>
        </w:div>
        <w:div w:id="744036003">
          <w:marLeft w:val="0"/>
          <w:marRight w:val="0"/>
          <w:marTop w:val="0"/>
          <w:marBottom w:val="0"/>
          <w:divBdr>
            <w:top w:val="none" w:sz="0" w:space="0" w:color="auto"/>
            <w:left w:val="none" w:sz="0" w:space="0" w:color="auto"/>
            <w:bottom w:val="none" w:sz="0" w:space="0" w:color="auto"/>
            <w:right w:val="none" w:sz="0" w:space="0" w:color="auto"/>
          </w:divBdr>
        </w:div>
        <w:div w:id="744036016">
          <w:marLeft w:val="0"/>
          <w:marRight w:val="0"/>
          <w:marTop w:val="0"/>
          <w:marBottom w:val="0"/>
          <w:divBdr>
            <w:top w:val="none" w:sz="0" w:space="0" w:color="auto"/>
            <w:left w:val="none" w:sz="0" w:space="0" w:color="auto"/>
            <w:bottom w:val="none" w:sz="0" w:space="0" w:color="auto"/>
            <w:right w:val="none" w:sz="0" w:space="0" w:color="auto"/>
          </w:divBdr>
        </w:div>
        <w:div w:id="744036035">
          <w:marLeft w:val="0"/>
          <w:marRight w:val="0"/>
          <w:marTop w:val="0"/>
          <w:marBottom w:val="0"/>
          <w:divBdr>
            <w:top w:val="none" w:sz="0" w:space="0" w:color="auto"/>
            <w:left w:val="none" w:sz="0" w:space="0" w:color="auto"/>
            <w:bottom w:val="none" w:sz="0" w:space="0" w:color="auto"/>
            <w:right w:val="none" w:sz="0" w:space="0" w:color="auto"/>
          </w:divBdr>
        </w:div>
        <w:div w:id="744036051">
          <w:marLeft w:val="0"/>
          <w:marRight w:val="0"/>
          <w:marTop w:val="0"/>
          <w:marBottom w:val="0"/>
          <w:divBdr>
            <w:top w:val="none" w:sz="0" w:space="0" w:color="auto"/>
            <w:left w:val="none" w:sz="0" w:space="0" w:color="auto"/>
            <w:bottom w:val="none" w:sz="0" w:space="0" w:color="auto"/>
            <w:right w:val="none" w:sz="0" w:space="0" w:color="auto"/>
          </w:divBdr>
        </w:div>
        <w:div w:id="744036089">
          <w:marLeft w:val="0"/>
          <w:marRight w:val="0"/>
          <w:marTop w:val="0"/>
          <w:marBottom w:val="0"/>
          <w:divBdr>
            <w:top w:val="none" w:sz="0" w:space="0" w:color="auto"/>
            <w:left w:val="none" w:sz="0" w:space="0" w:color="auto"/>
            <w:bottom w:val="none" w:sz="0" w:space="0" w:color="auto"/>
            <w:right w:val="none" w:sz="0" w:space="0" w:color="auto"/>
          </w:divBdr>
        </w:div>
        <w:div w:id="744036100">
          <w:marLeft w:val="0"/>
          <w:marRight w:val="0"/>
          <w:marTop w:val="0"/>
          <w:marBottom w:val="0"/>
          <w:divBdr>
            <w:top w:val="none" w:sz="0" w:space="0" w:color="auto"/>
            <w:left w:val="none" w:sz="0" w:space="0" w:color="auto"/>
            <w:bottom w:val="none" w:sz="0" w:space="0" w:color="auto"/>
            <w:right w:val="none" w:sz="0" w:space="0" w:color="auto"/>
          </w:divBdr>
        </w:div>
        <w:div w:id="744036101">
          <w:marLeft w:val="0"/>
          <w:marRight w:val="0"/>
          <w:marTop w:val="0"/>
          <w:marBottom w:val="0"/>
          <w:divBdr>
            <w:top w:val="none" w:sz="0" w:space="0" w:color="auto"/>
            <w:left w:val="none" w:sz="0" w:space="0" w:color="auto"/>
            <w:bottom w:val="none" w:sz="0" w:space="0" w:color="auto"/>
            <w:right w:val="none" w:sz="0" w:space="0" w:color="auto"/>
          </w:divBdr>
        </w:div>
        <w:div w:id="744036107">
          <w:marLeft w:val="0"/>
          <w:marRight w:val="0"/>
          <w:marTop w:val="0"/>
          <w:marBottom w:val="0"/>
          <w:divBdr>
            <w:top w:val="none" w:sz="0" w:space="0" w:color="auto"/>
            <w:left w:val="none" w:sz="0" w:space="0" w:color="auto"/>
            <w:bottom w:val="none" w:sz="0" w:space="0" w:color="auto"/>
            <w:right w:val="none" w:sz="0" w:space="0" w:color="auto"/>
          </w:divBdr>
        </w:div>
        <w:div w:id="744036173">
          <w:marLeft w:val="0"/>
          <w:marRight w:val="0"/>
          <w:marTop w:val="0"/>
          <w:marBottom w:val="0"/>
          <w:divBdr>
            <w:top w:val="none" w:sz="0" w:space="0" w:color="auto"/>
            <w:left w:val="none" w:sz="0" w:space="0" w:color="auto"/>
            <w:bottom w:val="none" w:sz="0" w:space="0" w:color="auto"/>
            <w:right w:val="none" w:sz="0" w:space="0" w:color="auto"/>
          </w:divBdr>
        </w:div>
        <w:div w:id="744036204">
          <w:marLeft w:val="0"/>
          <w:marRight w:val="0"/>
          <w:marTop w:val="0"/>
          <w:marBottom w:val="0"/>
          <w:divBdr>
            <w:top w:val="none" w:sz="0" w:space="0" w:color="auto"/>
            <w:left w:val="none" w:sz="0" w:space="0" w:color="auto"/>
            <w:bottom w:val="none" w:sz="0" w:space="0" w:color="auto"/>
            <w:right w:val="none" w:sz="0" w:space="0" w:color="auto"/>
          </w:divBdr>
        </w:div>
        <w:div w:id="744036255">
          <w:marLeft w:val="0"/>
          <w:marRight w:val="0"/>
          <w:marTop w:val="0"/>
          <w:marBottom w:val="0"/>
          <w:divBdr>
            <w:top w:val="none" w:sz="0" w:space="0" w:color="auto"/>
            <w:left w:val="none" w:sz="0" w:space="0" w:color="auto"/>
            <w:bottom w:val="none" w:sz="0" w:space="0" w:color="auto"/>
            <w:right w:val="none" w:sz="0" w:space="0" w:color="auto"/>
          </w:divBdr>
        </w:div>
        <w:div w:id="744036260">
          <w:marLeft w:val="0"/>
          <w:marRight w:val="0"/>
          <w:marTop w:val="0"/>
          <w:marBottom w:val="0"/>
          <w:divBdr>
            <w:top w:val="none" w:sz="0" w:space="0" w:color="auto"/>
            <w:left w:val="none" w:sz="0" w:space="0" w:color="auto"/>
            <w:bottom w:val="none" w:sz="0" w:space="0" w:color="auto"/>
            <w:right w:val="none" w:sz="0" w:space="0" w:color="auto"/>
          </w:divBdr>
        </w:div>
        <w:div w:id="744036308">
          <w:marLeft w:val="0"/>
          <w:marRight w:val="0"/>
          <w:marTop w:val="0"/>
          <w:marBottom w:val="0"/>
          <w:divBdr>
            <w:top w:val="none" w:sz="0" w:space="0" w:color="auto"/>
            <w:left w:val="none" w:sz="0" w:space="0" w:color="auto"/>
            <w:bottom w:val="none" w:sz="0" w:space="0" w:color="auto"/>
            <w:right w:val="none" w:sz="0" w:space="0" w:color="auto"/>
          </w:divBdr>
        </w:div>
        <w:div w:id="744036320">
          <w:marLeft w:val="0"/>
          <w:marRight w:val="0"/>
          <w:marTop w:val="0"/>
          <w:marBottom w:val="0"/>
          <w:divBdr>
            <w:top w:val="none" w:sz="0" w:space="0" w:color="auto"/>
            <w:left w:val="none" w:sz="0" w:space="0" w:color="auto"/>
            <w:bottom w:val="none" w:sz="0" w:space="0" w:color="auto"/>
            <w:right w:val="none" w:sz="0" w:space="0" w:color="auto"/>
          </w:divBdr>
        </w:div>
      </w:divsChild>
    </w:div>
    <w:div w:id="744035877">
      <w:marLeft w:val="0"/>
      <w:marRight w:val="0"/>
      <w:marTop w:val="0"/>
      <w:marBottom w:val="0"/>
      <w:divBdr>
        <w:top w:val="none" w:sz="0" w:space="0" w:color="auto"/>
        <w:left w:val="none" w:sz="0" w:space="0" w:color="auto"/>
        <w:bottom w:val="none" w:sz="0" w:space="0" w:color="auto"/>
        <w:right w:val="none" w:sz="0" w:space="0" w:color="auto"/>
      </w:divBdr>
    </w:div>
    <w:div w:id="744035883">
      <w:marLeft w:val="0"/>
      <w:marRight w:val="0"/>
      <w:marTop w:val="0"/>
      <w:marBottom w:val="0"/>
      <w:divBdr>
        <w:top w:val="none" w:sz="0" w:space="0" w:color="auto"/>
        <w:left w:val="none" w:sz="0" w:space="0" w:color="auto"/>
        <w:bottom w:val="none" w:sz="0" w:space="0" w:color="auto"/>
        <w:right w:val="none" w:sz="0" w:space="0" w:color="auto"/>
      </w:divBdr>
    </w:div>
    <w:div w:id="744035884">
      <w:marLeft w:val="0"/>
      <w:marRight w:val="0"/>
      <w:marTop w:val="0"/>
      <w:marBottom w:val="0"/>
      <w:divBdr>
        <w:top w:val="none" w:sz="0" w:space="0" w:color="auto"/>
        <w:left w:val="none" w:sz="0" w:space="0" w:color="auto"/>
        <w:bottom w:val="none" w:sz="0" w:space="0" w:color="auto"/>
        <w:right w:val="none" w:sz="0" w:space="0" w:color="auto"/>
      </w:divBdr>
    </w:div>
    <w:div w:id="744035887">
      <w:marLeft w:val="0"/>
      <w:marRight w:val="0"/>
      <w:marTop w:val="0"/>
      <w:marBottom w:val="0"/>
      <w:divBdr>
        <w:top w:val="none" w:sz="0" w:space="0" w:color="auto"/>
        <w:left w:val="none" w:sz="0" w:space="0" w:color="auto"/>
        <w:bottom w:val="none" w:sz="0" w:space="0" w:color="auto"/>
        <w:right w:val="none" w:sz="0" w:space="0" w:color="auto"/>
      </w:divBdr>
    </w:div>
    <w:div w:id="744035888">
      <w:marLeft w:val="0"/>
      <w:marRight w:val="0"/>
      <w:marTop w:val="0"/>
      <w:marBottom w:val="0"/>
      <w:divBdr>
        <w:top w:val="none" w:sz="0" w:space="0" w:color="auto"/>
        <w:left w:val="none" w:sz="0" w:space="0" w:color="auto"/>
        <w:bottom w:val="none" w:sz="0" w:space="0" w:color="auto"/>
        <w:right w:val="none" w:sz="0" w:space="0" w:color="auto"/>
      </w:divBdr>
    </w:div>
    <w:div w:id="744035889">
      <w:marLeft w:val="0"/>
      <w:marRight w:val="0"/>
      <w:marTop w:val="0"/>
      <w:marBottom w:val="0"/>
      <w:divBdr>
        <w:top w:val="none" w:sz="0" w:space="0" w:color="auto"/>
        <w:left w:val="none" w:sz="0" w:space="0" w:color="auto"/>
        <w:bottom w:val="none" w:sz="0" w:space="0" w:color="auto"/>
        <w:right w:val="none" w:sz="0" w:space="0" w:color="auto"/>
      </w:divBdr>
    </w:div>
    <w:div w:id="744035890">
      <w:marLeft w:val="0"/>
      <w:marRight w:val="0"/>
      <w:marTop w:val="0"/>
      <w:marBottom w:val="0"/>
      <w:divBdr>
        <w:top w:val="none" w:sz="0" w:space="0" w:color="auto"/>
        <w:left w:val="none" w:sz="0" w:space="0" w:color="auto"/>
        <w:bottom w:val="none" w:sz="0" w:space="0" w:color="auto"/>
        <w:right w:val="none" w:sz="0" w:space="0" w:color="auto"/>
      </w:divBdr>
    </w:div>
    <w:div w:id="744035892">
      <w:marLeft w:val="0"/>
      <w:marRight w:val="0"/>
      <w:marTop w:val="0"/>
      <w:marBottom w:val="0"/>
      <w:divBdr>
        <w:top w:val="none" w:sz="0" w:space="0" w:color="auto"/>
        <w:left w:val="none" w:sz="0" w:space="0" w:color="auto"/>
        <w:bottom w:val="none" w:sz="0" w:space="0" w:color="auto"/>
        <w:right w:val="none" w:sz="0" w:space="0" w:color="auto"/>
      </w:divBdr>
      <w:divsChild>
        <w:div w:id="744036322">
          <w:marLeft w:val="0"/>
          <w:marRight w:val="0"/>
          <w:marTop w:val="0"/>
          <w:marBottom w:val="960"/>
          <w:divBdr>
            <w:top w:val="none" w:sz="0" w:space="0" w:color="auto"/>
            <w:left w:val="none" w:sz="0" w:space="0" w:color="auto"/>
            <w:bottom w:val="none" w:sz="0" w:space="0" w:color="auto"/>
            <w:right w:val="none" w:sz="0" w:space="0" w:color="auto"/>
          </w:divBdr>
          <w:divsChild>
            <w:div w:id="744036175">
              <w:marLeft w:val="0"/>
              <w:marRight w:val="0"/>
              <w:marTop w:val="0"/>
              <w:marBottom w:val="0"/>
              <w:divBdr>
                <w:top w:val="none" w:sz="0" w:space="0" w:color="auto"/>
                <w:left w:val="none" w:sz="0" w:space="0" w:color="auto"/>
                <w:bottom w:val="none" w:sz="0" w:space="0" w:color="auto"/>
                <w:right w:val="none" w:sz="0" w:space="0" w:color="auto"/>
              </w:divBdr>
              <w:divsChild>
                <w:div w:id="744036205">
                  <w:marLeft w:val="0"/>
                  <w:marRight w:val="0"/>
                  <w:marTop w:val="0"/>
                  <w:marBottom w:val="0"/>
                  <w:divBdr>
                    <w:top w:val="none" w:sz="0" w:space="0" w:color="auto"/>
                    <w:left w:val="none" w:sz="0" w:space="0" w:color="auto"/>
                    <w:bottom w:val="none" w:sz="0" w:space="0" w:color="auto"/>
                    <w:right w:val="none" w:sz="0" w:space="0" w:color="auto"/>
                  </w:divBdr>
                  <w:divsChild>
                    <w:div w:id="744036338">
                      <w:marLeft w:val="-2571"/>
                      <w:marRight w:val="0"/>
                      <w:marTop w:val="0"/>
                      <w:marBottom w:val="864"/>
                      <w:divBdr>
                        <w:top w:val="none" w:sz="0" w:space="0" w:color="auto"/>
                        <w:left w:val="none" w:sz="0" w:space="0" w:color="auto"/>
                        <w:bottom w:val="none" w:sz="0" w:space="0" w:color="auto"/>
                        <w:right w:val="none" w:sz="0" w:space="0" w:color="auto"/>
                      </w:divBdr>
                      <w:divsChild>
                        <w:div w:id="744036023">
                          <w:marLeft w:val="0"/>
                          <w:marRight w:val="14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035895">
      <w:marLeft w:val="0"/>
      <w:marRight w:val="0"/>
      <w:marTop w:val="0"/>
      <w:marBottom w:val="0"/>
      <w:divBdr>
        <w:top w:val="none" w:sz="0" w:space="0" w:color="auto"/>
        <w:left w:val="none" w:sz="0" w:space="0" w:color="auto"/>
        <w:bottom w:val="none" w:sz="0" w:space="0" w:color="auto"/>
        <w:right w:val="none" w:sz="0" w:space="0" w:color="auto"/>
      </w:divBdr>
    </w:div>
    <w:div w:id="744035897">
      <w:marLeft w:val="0"/>
      <w:marRight w:val="0"/>
      <w:marTop w:val="0"/>
      <w:marBottom w:val="0"/>
      <w:divBdr>
        <w:top w:val="none" w:sz="0" w:space="0" w:color="auto"/>
        <w:left w:val="none" w:sz="0" w:space="0" w:color="auto"/>
        <w:bottom w:val="none" w:sz="0" w:space="0" w:color="auto"/>
        <w:right w:val="none" w:sz="0" w:space="0" w:color="auto"/>
      </w:divBdr>
    </w:div>
    <w:div w:id="744035900">
      <w:marLeft w:val="0"/>
      <w:marRight w:val="0"/>
      <w:marTop w:val="0"/>
      <w:marBottom w:val="0"/>
      <w:divBdr>
        <w:top w:val="none" w:sz="0" w:space="0" w:color="auto"/>
        <w:left w:val="none" w:sz="0" w:space="0" w:color="auto"/>
        <w:bottom w:val="none" w:sz="0" w:space="0" w:color="auto"/>
        <w:right w:val="none" w:sz="0" w:space="0" w:color="auto"/>
      </w:divBdr>
    </w:div>
    <w:div w:id="744035901">
      <w:marLeft w:val="0"/>
      <w:marRight w:val="0"/>
      <w:marTop w:val="0"/>
      <w:marBottom w:val="0"/>
      <w:divBdr>
        <w:top w:val="none" w:sz="0" w:space="0" w:color="auto"/>
        <w:left w:val="none" w:sz="0" w:space="0" w:color="auto"/>
        <w:bottom w:val="none" w:sz="0" w:space="0" w:color="auto"/>
        <w:right w:val="none" w:sz="0" w:space="0" w:color="auto"/>
      </w:divBdr>
    </w:div>
    <w:div w:id="744035903">
      <w:marLeft w:val="0"/>
      <w:marRight w:val="0"/>
      <w:marTop w:val="0"/>
      <w:marBottom w:val="0"/>
      <w:divBdr>
        <w:top w:val="none" w:sz="0" w:space="0" w:color="auto"/>
        <w:left w:val="none" w:sz="0" w:space="0" w:color="auto"/>
        <w:bottom w:val="none" w:sz="0" w:space="0" w:color="auto"/>
        <w:right w:val="none" w:sz="0" w:space="0" w:color="auto"/>
      </w:divBdr>
    </w:div>
    <w:div w:id="744035906">
      <w:marLeft w:val="0"/>
      <w:marRight w:val="0"/>
      <w:marTop w:val="0"/>
      <w:marBottom w:val="0"/>
      <w:divBdr>
        <w:top w:val="none" w:sz="0" w:space="0" w:color="auto"/>
        <w:left w:val="none" w:sz="0" w:space="0" w:color="auto"/>
        <w:bottom w:val="none" w:sz="0" w:space="0" w:color="auto"/>
        <w:right w:val="none" w:sz="0" w:space="0" w:color="auto"/>
      </w:divBdr>
    </w:div>
    <w:div w:id="744035908">
      <w:marLeft w:val="0"/>
      <w:marRight w:val="0"/>
      <w:marTop w:val="0"/>
      <w:marBottom w:val="0"/>
      <w:divBdr>
        <w:top w:val="none" w:sz="0" w:space="0" w:color="auto"/>
        <w:left w:val="none" w:sz="0" w:space="0" w:color="auto"/>
        <w:bottom w:val="none" w:sz="0" w:space="0" w:color="auto"/>
        <w:right w:val="none" w:sz="0" w:space="0" w:color="auto"/>
      </w:divBdr>
      <w:divsChild>
        <w:div w:id="744035822">
          <w:marLeft w:val="0"/>
          <w:marRight w:val="0"/>
          <w:marTop w:val="0"/>
          <w:marBottom w:val="960"/>
          <w:divBdr>
            <w:top w:val="none" w:sz="0" w:space="0" w:color="auto"/>
            <w:left w:val="none" w:sz="0" w:space="0" w:color="auto"/>
            <w:bottom w:val="none" w:sz="0" w:space="0" w:color="auto"/>
            <w:right w:val="none" w:sz="0" w:space="0" w:color="auto"/>
          </w:divBdr>
          <w:divsChild>
            <w:div w:id="744035708">
              <w:marLeft w:val="0"/>
              <w:marRight w:val="0"/>
              <w:marTop w:val="0"/>
              <w:marBottom w:val="0"/>
              <w:divBdr>
                <w:top w:val="none" w:sz="0" w:space="0" w:color="auto"/>
                <w:left w:val="none" w:sz="0" w:space="0" w:color="auto"/>
                <w:bottom w:val="none" w:sz="0" w:space="0" w:color="auto"/>
                <w:right w:val="none" w:sz="0" w:space="0" w:color="auto"/>
              </w:divBdr>
              <w:divsChild>
                <w:div w:id="744036229">
                  <w:marLeft w:val="0"/>
                  <w:marRight w:val="0"/>
                  <w:marTop w:val="0"/>
                  <w:marBottom w:val="0"/>
                  <w:divBdr>
                    <w:top w:val="none" w:sz="0" w:space="0" w:color="auto"/>
                    <w:left w:val="none" w:sz="0" w:space="0" w:color="auto"/>
                    <w:bottom w:val="none" w:sz="0" w:space="0" w:color="auto"/>
                    <w:right w:val="none" w:sz="0" w:space="0" w:color="auto"/>
                  </w:divBdr>
                  <w:divsChild>
                    <w:div w:id="744036113">
                      <w:marLeft w:val="-2571"/>
                      <w:marRight w:val="720"/>
                      <w:marTop w:val="0"/>
                      <w:marBottom w:val="432"/>
                      <w:divBdr>
                        <w:top w:val="none" w:sz="0" w:space="0" w:color="auto"/>
                        <w:left w:val="none" w:sz="0" w:space="0" w:color="auto"/>
                        <w:bottom w:val="none" w:sz="0" w:space="0" w:color="auto"/>
                        <w:right w:val="none" w:sz="0" w:space="0" w:color="auto"/>
                      </w:divBdr>
                      <w:divsChild>
                        <w:div w:id="744035894">
                          <w:marLeft w:val="0"/>
                          <w:marRight w:val="1440"/>
                          <w:marTop w:val="0"/>
                          <w:marBottom w:val="0"/>
                          <w:divBdr>
                            <w:top w:val="none" w:sz="0" w:space="0" w:color="auto"/>
                            <w:left w:val="none" w:sz="0" w:space="0" w:color="auto"/>
                            <w:bottom w:val="none" w:sz="0" w:space="0" w:color="auto"/>
                            <w:right w:val="none" w:sz="0" w:space="0" w:color="auto"/>
                          </w:divBdr>
                        </w:div>
                        <w:div w:id="74403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036078">
              <w:marLeft w:val="0"/>
              <w:marRight w:val="0"/>
              <w:marTop w:val="0"/>
              <w:marBottom w:val="0"/>
              <w:divBdr>
                <w:top w:val="none" w:sz="0" w:space="0" w:color="auto"/>
                <w:left w:val="none" w:sz="0" w:space="0" w:color="auto"/>
                <w:bottom w:val="none" w:sz="0" w:space="0" w:color="auto"/>
                <w:right w:val="none" w:sz="0" w:space="0" w:color="auto"/>
              </w:divBdr>
              <w:divsChild>
                <w:div w:id="7440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035909">
      <w:marLeft w:val="0"/>
      <w:marRight w:val="0"/>
      <w:marTop w:val="0"/>
      <w:marBottom w:val="0"/>
      <w:divBdr>
        <w:top w:val="none" w:sz="0" w:space="0" w:color="auto"/>
        <w:left w:val="none" w:sz="0" w:space="0" w:color="auto"/>
        <w:bottom w:val="none" w:sz="0" w:space="0" w:color="auto"/>
        <w:right w:val="none" w:sz="0" w:space="0" w:color="auto"/>
      </w:divBdr>
    </w:div>
    <w:div w:id="744035910">
      <w:marLeft w:val="0"/>
      <w:marRight w:val="0"/>
      <w:marTop w:val="0"/>
      <w:marBottom w:val="0"/>
      <w:divBdr>
        <w:top w:val="none" w:sz="0" w:space="0" w:color="auto"/>
        <w:left w:val="none" w:sz="0" w:space="0" w:color="auto"/>
        <w:bottom w:val="none" w:sz="0" w:space="0" w:color="auto"/>
        <w:right w:val="none" w:sz="0" w:space="0" w:color="auto"/>
      </w:divBdr>
    </w:div>
    <w:div w:id="744035911">
      <w:marLeft w:val="0"/>
      <w:marRight w:val="0"/>
      <w:marTop w:val="0"/>
      <w:marBottom w:val="0"/>
      <w:divBdr>
        <w:top w:val="none" w:sz="0" w:space="0" w:color="auto"/>
        <w:left w:val="none" w:sz="0" w:space="0" w:color="auto"/>
        <w:bottom w:val="none" w:sz="0" w:space="0" w:color="auto"/>
        <w:right w:val="none" w:sz="0" w:space="0" w:color="auto"/>
      </w:divBdr>
    </w:div>
    <w:div w:id="744035912">
      <w:marLeft w:val="0"/>
      <w:marRight w:val="0"/>
      <w:marTop w:val="0"/>
      <w:marBottom w:val="0"/>
      <w:divBdr>
        <w:top w:val="none" w:sz="0" w:space="0" w:color="auto"/>
        <w:left w:val="none" w:sz="0" w:space="0" w:color="auto"/>
        <w:bottom w:val="none" w:sz="0" w:space="0" w:color="auto"/>
        <w:right w:val="none" w:sz="0" w:space="0" w:color="auto"/>
      </w:divBdr>
    </w:div>
    <w:div w:id="744035915">
      <w:marLeft w:val="0"/>
      <w:marRight w:val="0"/>
      <w:marTop w:val="0"/>
      <w:marBottom w:val="0"/>
      <w:divBdr>
        <w:top w:val="none" w:sz="0" w:space="0" w:color="auto"/>
        <w:left w:val="none" w:sz="0" w:space="0" w:color="auto"/>
        <w:bottom w:val="none" w:sz="0" w:space="0" w:color="auto"/>
        <w:right w:val="none" w:sz="0" w:space="0" w:color="auto"/>
      </w:divBdr>
    </w:div>
    <w:div w:id="744035916">
      <w:marLeft w:val="0"/>
      <w:marRight w:val="0"/>
      <w:marTop w:val="0"/>
      <w:marBottom w:val="0"/>
      <w:divBdr>
        <w:top w:val="none" w:sz="0" w:space="0" w:color="auto"/>
        <w:left w:val="none" w:sz="0" w:space="0" w:color="auto"/>
        <w:bottom w:val="none" w:sz="0" w:space="0" w:color="auto"/>
        <w:right w:val="none" w:sz="0" w:space="0" w:color="auto"/>
      </w:divBdr>
    </w:div>
    <w:div w:id="744035917">
      <w:marLeft w:val="0"/>
      <w:marRight w:val="0"/>
      <w:marTop w:val="0"/>
      <w:marBottom w:val="0"/>
      <w:divBdr>
        <w:top w:val="none" w:sz="0" w:space="0" w:color="auto"/>
        <w:left w:val="none" w:sz="0" w:space="0" w:color="auto"/>
        <w:bottom w:val="none" w:sz="0" w:space="0" w:color="auto"/>
        <w:right w:val="none" w:sz="0" w:space="0" w:color="auto"/>
      </w:divBdr>
    </w:div>
    <w:div w:id="744035918">
      <w:marLeft w:val="0"/>
      <w:marRight w:val="0"/>
      <w:marTop w:val="0"/>
      <w:marBottom w:val="0"/>
      <w:divBdr>
        <w:top w:val="none" w:sz="0" w:space="0" w:color="auto"/>
        <w:left w:val="none" w:sz="0" w:space="0" w:color="auto"/>
        <w:bottom w:val="none" w:sz="0" w:space="0" w:color="auto"/>
        <w:right w:val="none" w:sz="0" w:space="0" w:color="auto"/>
      </w:divBdr>
    </w:div>
    <w:div w:id="744035920">
      <w:marLeft w:val="0"/>
      <w:marRight w:val="0"/>
      <w:marTop w:val="0"/>
      <w:marBottom w:val="0"/>
      <w:divBdr>
        <w:top w:val="none" w:sz="0" w:space="0" w:color="auto"/>
        <w:left w:val="none" w:sz="0" w:space="0" w:color="auto"/>
        <w:bottom w:val="none" w:sz="0" w:space="0" w:color="auto"/>
        <w:right w:val="none" w:sz="0" w:space="0" w:color="auto"/>
      </w:divBdr>
    </w:div>
    <w:div w:id="744035921">
      <w:marLeft w:val="0"/>
      <w:marRight w:val="0"/>
      <w:marTop w:val="0"/>
      <w:marBottom w:val="0"/>
      <w:divBdr>
        <w:top w:val="none" w:sz="0" w:space="0" w:color="auto"/>
        <w:left w:val="none" w:sz="0" w:space="0" w:color="auto"/>
        <w:bottom w:val="none" w:sz="0" w:space="0" w:color="auto"/>
        <w:right w:val="none" w:sz="0" w:space="0" w:color="auto"/>
      </w:divBdr>
    </w:div>
    <w:div w:id="744035923">
      <w:marLeft w:val="0"/>
      <w:marRight w:val="0"/>
      <w:marTop w:val="0"/>
      <w:marBottom w:val="0"/>
      <w:divBdr>
        <w:top w:val="none" w:sz="0" w:space="0" w:color="auto"/>
        <w:left w:val="none" w:sz="0" w:space="0" w:color="auto"/>
        <w:bottom w:val="none" w:sz="0" w:space="0" w:color="auto"/>
        <w:right w:val="none" w:sz="0" w:space="0" w:color="auto"/>
      </w:divBdr>
    </w:div>
    <w:div w:id="744035924">
      <w:marLeft w:val="0"/>
      <w:marRight w:val="0"/>
      <w:marTop w:val="0"/>
      <w:marBottom w:val="0"/>
      <w:divBdr>
        <w:top w:val="none" w:sz="0" w:space="0" w:color="auto"/>
        <w:left w:val="none" w:sz="0" w:space="0" w:color="auto"/>
        <w:bottom w:val="none" w:sz="0" w:space="0" w:color="auto"/>
        <w:right w:val="none" w:sz="0" w:space="0" w:color="auto"/>
      </w:divBdr>
    </w:div>
    <w:div w:id="744035928">
      <w:marLeft w:val="0"/>
      <w:marRight w:val="0"/>
      <w:marTop w:val="0"/>
      <w:marBottom w:val="0"/>
      <w:divBdr>
        <w:top w:val="none" w:sz="0" w:space="0" w:color="auto"/>
        <w:left w:val="none" w:sz="0" w:space="0" w:color="auto"/>
        <w:bottom w:val="none" w:sz="0" w:space="0" w:color="auto"/>
        <w:right w:val="none" w:sz="0" w:space="0" w:color="auto"/>
      </w:divBdr>
    </w:div>
    <w:div w:id="744035934">
      <w:marLeft w:val="0"/>
      <w:marRight w:val="0"/>
      <w:marTop w:val="0"/>
      <w:marBottom w:val="0"/>
      <w:divBdr>
        <w:top w:val="none" w:sz="0" w:space="0" w:color="auto"/>
        <w:left w:val="none" w:sz="0" w:space="0" w:color="auto"/>
        <w:bottom w:val="none" w:sz="0" w:space="0" w:color="auto"/>
        <w:right w:val="none" w:sz="0" w:space="0" w:color="auto"/>
      </w:divBdr>
    </w:div>
    <w:div w:id="744035939">
      <w:marLeft w:val="0"/>
      <w:marRight w:val="0"/>
      <w:marTop w:val="0"/>
      <w:marBottom w:val="0"/>
      <w:divBdr>
        <w:top w:val="none" w:sz="0" w:space="0" w:color="auto"/>
        <w:left w:val="none" w:sz="0" w:space="0" w:color="auto"/>
        <w:bottom w:val="none" w:sz="0" w:space="0" w:color="auto"/>
        <w:right w:val="none" w:sz="0" w:space="0" w:color="auto"/>
      </w:divBdr>
      <w:divsChild>
        <w:div w:id="744035789">
          <w:marLeft w:val="0"/>
          <w:marRight w:val="0"/>
          <w:marTop w:val="0"/>
          <w:marBottom w:val="0"/>
          <w:divBdr>
            <w:top w:val="none" w:sz="0" w:space="0" w:color="auto"/>
            <w:left w:val="none" w:sz="0" w:space="0" w:color="auto"/>
            <w:bottom w:val="none" w:sz="0" w:space="0" w:color="auto"/>
            <w:right w:val="none" w:sz="0" w:space="0" w:color="auto"/>
          </w:divBdr>
          <w:divsChild>
            <w:div w:id="744035989">
              <w:marLeft w:val="0"/>
              <w:marRight w:val="0"/>
              <w:marTop w:val="0"/>
              <w:marBottom w:val="0"/>
              <w:divBdr>
                <w:top w:val="none" w:sz="0" w:space="0" w:color="auto"/>
                <w:left w:val="none" w:sz="0" w:space="0" w:color="auto"/>
                <w:bottom w:val="none" w:sz="0" w:space="0" w:color="auto"/>
                <w:right w:val="none" w:sz="0" w:space="0" w:color="auto"/>
              </w:divBdr>
              <w:divsChild>
                <w:div w:id="744035976">
                  <w:marLeft w:val="0"/>
                  <w:marRight w:val="0"/>
                  <w:marTop w:val="0"/>
                  <w:marBottom w:val="0"/>
                  <w:divBdr>
                    <w:top w:val="none" w:sz="0" w:space="0" w:color="auto"/>
                    <w:left w:val="none" w:sz="0" w:space="0" w:color="auto"/>
                    <w:bottom w:val="none" w:sz="0" w:space="0" w:color="auto"/>
                    <w:right w:val="none" w:sz="0" w:space="0" w:color="auto"/>
                  </w:divBdr>
                  <w:divsChild>
                    <w:div w:id="744035972">
                      <w:marLeft w:val="0"/>
                      <w:marRight w:val="0"/>
                      <w:marTop w:val="0"/>
                      <w:marBottom w:val="0"/>
                      <w:divBdr>
                        <w:top w:val="none" w:sz="0" w:space="0" w:color="auto"/>
                        <w:left w:val="none" w:sz="0" w:space="0" w:color="auto"/>
                        <w:bottom w:val="none" w:sz="0" w:space="0" w:color="auto"/>
                        <w:right w:val="none" w:sz="0" w:space="0" w:color="auto"/>
                      </w:divBdr>
                      <w:divsChild>
                        <w:div w:id="744036123">
                          <w:marLeft w:val="0"/>
                          <w:marRight w:val="0"/>
                          <w:marTop w:val="0"/>
                          <w:marBottom w:val="960"/>
                          <w:divBdr>
                            <w:top w:val="none" w:sz="0" w:space="0" w:color="auto"/>
                            <w:left w:val="none" w:sz="0" w:space="0" w:color="auto"/>
                            <w:bottom w:val="none" w:sz="0" w:space="0" w:color="auto"/>
                            <w:right w:val="none" w:sz="0" w:space="0" w:color="auto"/>
                          </w:divBdr>
                          <w:divsChild>
                            <w:div w:id="744035985">
                              <w:marLeft w:val="0"/>
                              <w:marRight w:val="0"/>
                              <w:marTop w:val="0"/>
                              <w:marBottom w:val="0"/>
                              <w:divBdr>
                                <w:top w:val="none" w:sz="0" w:space="0" w:color="auto"/>
                                <w:left w:val="none" w:sz="0" w:space="0" w:color="auto"/>
                                <w:bottom w:val="none" w:sz="0" w:space="0" w:color="auto"/>
                                <w:right w:val="none" w:sz="0" w:space="0" w:color="auto"/>
                              </w:divBdr>
                              <w:divsChild>
                                <w:div w:id="744035831">
                                  <w:marLeft w:val="0"/>
                                  <w:marRight w:val="0"/>
                                  <w:marTop w:val="0"/>
                                  <w:marBottom w:val="0"/>
                                  <w:divBdr>
                                    <w:top w:val="none" w:sz="0" w:space="0" w:color="auto"/>
                                    <w:left w:val="none" w:sz="0" w:space="0" w:color="auto"/>
                                    <w:bottom w:val="none" w:sz="0" w:space="0" w:color="auto"/>
                                    <w:right w:val="none" w:sz="0" w:space="0" w:color="auto"/>
                                  </w:divBdr>
                                  <w:divsChild>
                                    <w:div w:id="744036274">
                                      <w:marLeft w:val="-2571"/>
                                      <w:marRight w:val="720"/>
                                      <w:marTop w:val="0"/>
                                      <w:marBottom w:val="432"/>
                                      <w:divBdr>
                                        <w:top w:val="none" w:sz="0" w:space="0" w:color="auto"/>
                                        <w:left w:val="none" w:sz="0" w:space="0" w:color="auto"/>
                                        <w:bottom w:val="none" w:sz="0" w:space="0" w:color="auto"/>
                                        <w:right w:val="none" w:sz="0" w:space="0" w:color="auto"/>
                                      </w:divBdr>
                                      <w:divsChild>
                                        <w:div w:id="744035764">
                                          <w:marLeft w:val="0"/>
                                          <w:marRight w:val="0"/>
                                          <w:marTop w:val="0"/>
                                          <w:marBottom w:val="0"/>
                                          <w:divBdr>
                                            <w:top w:val="none" w:sz="0" w:space="0" w:color="auto"/>
                                            <w:left w:val="none" w:sz="0" w:space="0" w:color="auto"/>
                                            <w:bottom w:val="none" w:sz="0" w:space="0" w:color="auto"/>
                                            <w:right w:val="none" w:sz="0" w:space="0" w:color="auto"/>
                                          </w:divBdr>
                                        </w:div>
                                        <w:div w:id="744036227">
                                          <w:marLeft w:val="0"/>
                                          <w:marRight w:val="1440"/>
                                          <w:marTop w:val="0"/>
                                          <w:marBottom w:val="0"/>
                                          <w:divBdr>
                                            <w:top w:val="none" w:sz="0" w:space="0" w:color="auto"/>
                                            <w:left w:val="none" w:sz="0" w:space="0" w:color="auto"/>
                                            <w:bottom w:val="none" w:sz="0" w:space="0" w:color="auto"/>
                                            <w:right w:val="none" w:sz="0" w:space="0" w:color="auto"/>
                                          </w:divBdr>
                                        </w:div>
                                      </w:divsChild>
                                    </w:div>
                                  </w:divsChild>
                                </w:div>
                              </w:divsChild>
                            </w:div>
                            <w:div w:id="744036176">
                              <w:marLeft w:val="0"/>
                              <w:marRight w:val="0"/>
                              <w:marTop w:val="0"/>
                              <w:marBottom w:val="0"/>
                              <w:divBdr>
                                <w:top w:val="none" w:sz="0" w:space="0" w:color="auto"/>
                                <w:left w:val="none" w:sz="0" w:space="0" w:color="auto"/>
                                <w:bottom w:val="none" w:sz="0" w:space="0" w:color="auto"/>
                                <w:right w:val="none" w:sz="0" w:space="0" w:color="auto"/>
                              </w:divBdr>
                              <w:divsChild>
                                <w:div w:id="74403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4036102">
          <w:marLeft w:val="0"/>
          <w:marRight w:val="0"/>
          <w:marTop w:val="1920"/>
          <w:marBottom w:val="0"/>
          <w:divBdr>
            <w:top w:val="none" w:sz="0" w:space="0" w:color="auto"/>
            <w:left w:val="none" w:sz="0" w:space="0" w:color="auto"/>
            <w:bottom w:val="none" w:sz="0" w:space="0" w:color="auto"/>
            <w:right w:val="none" w:sz="0" w:space="0" w:color="auto"/>
          </w:divBdr>
          <w:divsChild>
            <w:div w:id="744036191">
              <w:marLeft w:val="0"/>
              <w:marRight w:val="0"/>
              <w:marTop w:val="0"/>
              <w:marBottom w:val="0"/>
              <w:divBdr>
                <w:top w:val="none" w:sz="0" w:space="0" w:color="auto"/>
                <w:left w:val="none" w:sz="0" w:space="0" w:color="auto"/>
                <w:bottom w:val="none" w:sz="0" w:space="0" w:color="auto"/>
                <w:right w:val="none" w:sz="0" w:space="0" w:color="auto"/>
              </w:divBdr>
              <w:divsChild>
                <w:div w:id="744036050">
                  <w:marLeft w:val="0"/>
                  <w:marRight w:val="0"/>
                  <w:marTop w:val="0"/>
                  <w:marBottom w:val="0"/>
                  <w:divBdr>
                    <w:top w:val="none" w:sz="0" w:space="0" w:color="auto"/>
                    <w:left w:val="none" w:sz="0" w:space="0" w:color="auto"/>
                    <w:bottom w:val="none" w:sz="0" w:space="0" w:color="auto"/>
                    <w:right w:val="none" w:sz="0" w:space="0" w:color="auto"/>
                  </w:divBdr>
                  <w:divsChild>
                    <w:div w:id="7440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035941">
      <w:marLeft w:val="0"/>
      <w:marRight w:val="0"/>
      <w:marTop w:val="0"/>
      <w:marBottom w:val="0"/>
      <w:divBdr>
        <w:top w:val="none" w:sz="0" w:space="0" w:color="auto"/>
        <w:left w:val="none" w:sz="0" w:space="0" w:color="auto"/>
        <w:bottom w:val="none" w:sz="0" w:space="0" w:color="auto"/>
        <w:right w:val="none" w:sz="0" w:space="0" w:color="auto"/>
      </w:divBdr>
    </w:div>
    <w:div w:id="744035943">
      <w:marLeft w:val="0"/>
      <w:marRight w:val="0"/>
      <w:marTop w:val="0"/>
      <w:marBottom w:val="0"/>
      <w:divBdr>
        <w:top w:val="none" w:sz="0" w:space="0" w:color="auto"/>
        <w:left w:val="none" w:sz="0" w:space="0" w:color="auto"/>
        <w:bottom w:val="none" w:sz="0" w:space="0" w:color="auto"/>
        <w:right w:val="none" w:sz="0" w:space="0" w:color="auto"/>
      </w:divBdr>
    </w:div>
    <w:div w:id="744035945">
      <w:marLeft w:val="0"/>
      <w:marRight w:val="0"/>
      <w:marTop w:val="0"/>
      <w:marBottom w:val="0"/>
      <w:divBdr>
        <w:top w:val="none" w:sz="0" w:space="0" w:color="auto"/>
        <w:left w:val="none" w:sz="0" w:space="0" w:color="auto"/>
        <w:bottom w:val="none" w:sz="0" w:space="0" w:color="auto"/>
        <w:right w:val="none" w:sz="0" w:space="0" w:color="auto"/>
      </w:divBdr>
    </w:div>
    <w:div w:id="744035947">
      <w:marLeft w:val="0"/>
      <w:marRight w:val="0"/>
      <w:marTop w:val="0"/>
      <w:marBottom w:val="0"/>
      <w:divBdr>
        <w:top w:val="none" w:sz="0" w:space="0" w:color="auto"/>
        <w:left w:val="none" w:sz="0" w:space="0" w:color="auto"/>
        <w:bottom w:val="none" w:sz="0" w:space="0" w:color="auto"/>
        <w:right w:val="none" w:sz="0" w:space="0" w:color="auto"/>
      </w:divBdr>
    </w:div>
    <w:div w:id="744035949">
      <w:marLeft w:val="0"/>
      <w:marRight w:val="0"/>
      <w:marTop w:val="0"/>
      <w:marBottom w:val="0"/>
      <w:divBdr>
        <w:top w:val="none" w:sz="0" w:space="0" w:color="auto"/>
        <w:left w:val="none" w:sz="0" w:space="0" w:color="auto"/>
        <w:bottom w:val="none" w:sz="0" w:space="0" w:color="auto"/>
        <w:right w:val="none" w:sz="0" w:space="0" w:color="auto"/>
      </w:divBdr>
    </w:div>
    <w:div w:id="744035950">
      <w:marLeft w:val="0"/>
      <w:marRight w:val="0"/>
      <w:marTop w:val="0"/>
      <w:marBottom w:val="0"/>
      <w:divBdr>
        <w:top w:val="none" w:sz="0" w:space="0" w:color="auto"/>
        <w:left w:val="none" w:sz="0" w:space="0" w:color="auto"/>
        <w:bottom w:val="none" w:sz="0" w:space="0" w:color="auto"/>
        <w:right w:val="none" w:sz="0" w:space="0" w:color="auto"/>
      </w:divBdr>
    </w:div>
    <w:div w:id="744035951">
      <w:marLeft w:val="0"/>
      <w:marRight w:val="0"/>
      <w:marTop w:val="0"/>
      <w:marBottom w:val="0"/>
      <w:divBdr>
        <w:top w:val="none" w:sz="0" w:space="0" w:color="auto"/>
        <w:left w:val="none" w:sz="0" w:space="0" w:color="auto"/>
        <w:bottom w:val="none" w:sz="0" w:space="0" w:color="auto"/>
        <w:right w:val="none" w:sz="0" w:space="0" w:color="auto"/>
      </w:divBdr>
    </w:div>
    <w:div w:id="744035952">
      <w:marLeft w:val="0"/>
      <w:marRight w:val="0"/>
      <w:marTop w:val="0"/>
      <w:marBottom w:val="0"/>
      <w:divBdr>
        <w:top w:val="none" w:sz="0" w:space="0" w:color="auto"/>
        <w:left w:val="none" w:sz="0" w:space="0" w:color="auto"/>
        <w:bottom w:val="none" w:sz="0" w:space="0" w:color="auto"/>
        <w:right w:val="none" w:sz="0" w:space="0" w:color="auto"/>
      </w:divBdr>
    </w:div>
    <w:div w:id="744035953">
      <w:marLeft w:val="0"/>
      <w:marRight w:val="0"/>
      <w:marTop w:val="0"/>
      <w:marBottom w:val="0"/>
      <w:divBdr>
        <w:top w:val="none" w:sz="0" w:space="0" w:color="auto"/>
        <w:left w:val="none" w:sz="0" w:space="0" w:color="auto"/>
        <w:bottom w:val="none" w:sz="0" w:space="0" w:color="auto"/>
        <w:right w:val="none" w:sz="0" w:space="0" w:color="auto"/>
      </w:divBdr>
    </w:div>
    <w:div w:id="744035954">
      <w:marLeft w:val="0"/>
      <w:marRight w:val="0"/>
      <w:marTop w:val="0"/>
      <w:marBottom w:val="0"/>
      <w:divBdr>
        <w:top w:val="none" w:sz="0" w:space="0" w:color="auto"/>
        <w:left w:val="none" w:sz="0" w:space="0" w:color="auto"/>
        <w:bottom w:val="none" w:sz="0" w:space="0" w:color="auto"/>
        <w:right w:val="none" w:sz="0" w:space="0" w:color="auto"/>
      </w:divBdr>
    </w:div>
    <w:div w:id="744035955">
      <w:marLeft w:val="0"/>
      <w:marRight w:val="0"/>
      <w:marTop w:val="0"/>
      <w:marBottom w:val="0"/>
      <w:divBdr>
        <w:top w:val="none" w:sz="0" w:space="0" w:color="auto"/>
        <w:left w:val="none" w:sz="0" w:space="0" w:color="auto"/>
        <w:bottom w:val="none" w:sz="0" w:space="0" w:color="auto"/>
        <w:right w:val="none" w:sz="0" w:space="0" w:color="auto"/>
      </w:divBdr>
    </w:div>
    <w:div w:id="744035956">
      <w:marLeft w:val="0"/>
      <w:marRight w:val="0"/>
      <w:marTop w:val="0"/>
      <w:marBottom w:val="0"/>
      <w:divBdr>
        <w:top w:val="none" w:sz="0" w:space="0" w:color="auto"/>
        <w:left w:val="none" w:sz="0" w:space="0" w:color="auto"/>
        <w:bottom w:val="none" w:sz="0" w:space="0" w:color="auto"/>
        <w:right w:val="none" w:sz="0" w:space="0" w:color="auto"/>
      </w:divBdr>
    </w:div>
    <w:div w:id="744035958">
      <w:marLeft w:val="0"/>
      <w:marRight w:val="0"/>
      <w:marTop w:val="0"/>
      <w:marBottom w:val="0"/>
      <w:divBdr>
        <w:top w:val="none" w:sz="0" w:space="0" w:color="auto"/>
        <w:left w:val="none" w:sz="0" w:space="0" w:color="auto"/>
        <w:bottom w:val="none" w:sz="0" w:space="0" w:color="auto"/>
        <w:right w:val="none" w:sz="0" w:space="0" w:color="auto"/>
      </w:divBdr>
    </w:div>
    <w:div w:id="744035959">
      <w:marLeft w:val="0"/>
      <w:marRight w:val="0"/>
      <w:marTop w:val="0"/>
      <w:marBottom w:val="0"/>
      <w:divBdr>
        <w:top w:val="none" w:sz="0" w:space="0" w:color="auto"/>
        <w:left w:val="none" w:sz="0" w:space="0" w:color="auto"/>
        <w:bottom w:val="none" w:sz="0" w:space="0" w:color="auto"/>
        <w:right w:val="none" w:sz="0" w:space="0" w:color="auto"/>
      </w:divBdr>
    </w:div>
    <w:div w:id="744035960">
      <w:marLeft w:val="0"/>
      <w:marRight w:val="0"/>
      <w:marTop w:val="0"/>
      <w:marBottom w:val="0"/>
      <w:divBdr>
        <w:top w:val="none" w:sz="0" w:space="0" w:color="auto"/>
        <w:left w:val="none" w:sz="0" w:space="0" w:color="auto"/>
        <w:bottom w:val="none" w:sz="0" w:space="0" w:color="auto"/>
        <w:right w:val="none" w:sz="0" w:space="0" w:color="auto"/>
      </w:divBdr>
    </w:div>
    <w:div w:id="744035961">
      <w:marLeft w:val="0"/>
      <w:marRight w:val="0"/>
      <w:marTop w:val="0"/>
      <w:marBottom w:val="0"/>
      <w:divBdr>
        <w:top w:val="none" w:sz="0" w:space="0" w:color="auto"/>
        <w:left w:val="none" w:sz="0" w:space="0" w:color="auto"/>
        <w:bottom w:val="none" w:sz="0" w:space="0" w:color="auto"/>
        <w:right w:val="none" w:sz="0" w:space="0" w:color="auto"/>
      </w:divBdr>
    </w:div>
    <w:div w:id="744035963">
      <w:marLeft w:val="0"/>
      <w:marRight w:val="0"/>
      <w:marTop w:val="0"/>
      <w:marBottom w:val="0"/>
      <w:divBdr>
        <w:top w:val="none" w:sz="0" w:space="0" w:color="auto"/>
        <w:left w:val="none" w:sz="0" w:space="0" w:color="auto"/>
        <w:bottom w:val="none" w:sz="0" w:space="0" w:color="auto"/>
        <w:right w:val="none" w:sz="0" w:space="0" w:color="auto"/>
      </w:divBdr>
    </w:div>
    <w:div w:id="744035965">
      <w:marLeft w:val="0"/>
      <w:marRight w:val="0"/>
      <w:marTop w:val="0"/>
      <w:marBottom w:val="0"/>
      <w:divBdr>
        <w:top w:val="none" w:sz="0" w:space="0" w:color="auto"/>
        <w:left w:val="none" w:sz="0" w:space="0" w:color="auto"/>
        <w:bottom w:val="none" w:sz="0" w:space="0" w:color="auto"/>
        <w:right w:val="none" w:sz="0" w:space="0" w:color="auto"/>
      </w:divBdr>
    </w:div>
    <w:div w:id="744035966">
      <w:marLeft w:val="0"/>
      <w:marRight w:val="0"/>
      <w:marTop w:val="0"/>
      <w:marBottom w:val="0"/>
      <w:divBdr>
        <w:top w:val="none" w:sz="0" w:space="0" w:color="auto"/>
        <w:left w:val="none" w:sz="0" w:space="0" w:color="auto"/>
        <w:bottom w:val="none" w:sz="0" w:space="0" w:color="auto"/>
        <w:right w:val="none" w:sz="0" w:space="0" w:color="auto"/>
      </w:divBdr>
    </w:div>
    <w:div w:id="744035968">
      <w:marLeft w:val="0"/>
      <w:marRight w:val="0"/>
      <w:marTop w:val="0"/>
      <w:marBottom w:val="300"/>
      <w:divBdr>
        <w:top w:val="none" w:sz="0" w:space="0" w:color="auto"/>
        <w:left w:val="none" w:sz="0" w:space="0" w:color="auto"/>
        <w:bottom w:val="none" w:sz="0" w:space="0" w:color="auto"/>
        <w:right w:val="none" w:sz="0" w:space="0" w:color="auto"/>
      </w:divBdr>
      <w:divsChild>
        <w:div w:id="744036342">
          <w:marLeft w:val="0"/>
          <w:marRight w:val="0"/>
          <w:marTop w:val="150"/>
          <w:marBottom w:val="150"/>
          <w:divBdr>
            <w:top w:val="none" w:sz="0" w:space="0" w:color="auto"/>
            <w:left w:val="none" w:sz="0" w:space="0" w:color="auto"/>
            <w:bottom w:val="none" w:sz="0" w:space="0" w:color="auto"/>
            <w:right w:val="none" w:sz="0" w:space="0" w:color="auto"/>
          </w:divBdr>
          <w:divsChild>
            <w:div w:id="744035925">
              <w:marLeft w:val="0"/>
              <w:marRight w:val="0"/>
              <w:marTop w:val="0"/>
              <w:marBottom w:val="0"/>
              <w:divBdr>
                <w:top w:val="none" w:sz="0" w:space="0" w:color="auto"/>
                <w:left w:val="none" w:sz="0" w:space="0" w:color="auto"/>
                <w:bottom w:val="none" w:sz="0" w:space="0" w:color="auto"/>
                <w:right w:val="none" w:sz="0" w:space="0" w:color="auto"/>
              </w:divBdr>
              <w:divsChild>
                <w:div w:id="74403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035969">
      <w:marLeft w:val="0"/>
      <w:marRight w:val="0"/>
      <w:marTop w:val="0"/>
      <w:marBottom w:val="0"/>
      <w:divBdr>
        <w:top w:val="none" w:sz="0" w:space="0" w:color="auto"/>
        <w:left w:val="none" w:sz="0" w:space="0" w:color="auto"/>
        <w:bottom w:val="none" w:sz="0" w:space="0" w:color="auto"/>
        <w:right w:val="none" w:sz="0" w:space="0" w:color="auto"/>
      </w:divBdr>
    </w:div>
    <w:div w:id="744035971">
      <w:marLeft w:val="0"/>
      <w:marRight w:val="0"/>
      <w:marTop w:val="0"/>
      <w:marBottom w:val="0"/>
      <w:divBdr>
        <w:top w:val="none" w:sz="0" w:space="0" w:color="auto"/>
        <w:left w:val="none" w:sz="0" w:space="0" w:color="auto"/>
        <w:bottom w:val="none" w:sz="0" w:space="0" w:color="auto"/>
        <w:right w:val="none" w:sz="0" w:space="0" w:color="auto"/>
      </w:divBdr>
    </w:div>
    <w:div w:id="744035973">
      <w:marLeft w:val="0"/>
      <w:marRight w:val="0"/>
      <w:marTop w:val="0"/>
      <w:marBottom w:val="0"/>
      <w:divBdr>
        <w:top w:val="none" w:sz="0" w:space="0" w:color="auto"/>
        <w:left w:val="none" w:sz="0" w:space="0" w:color="auto"/>
        <w:bottom w:val="none" w:sz="0" w:space="0" w:color="auto"/>
        <w:right w:val="none" w:sz="0" w:space="0" w:color="auto"/>
      </w:divBdr>
    </w:div>
    <w:div w:id="744035974">
      <w:marLeft w:val="0"/>
      <w:marRight w:val="0"/>
      <w:marTop w:val="0"/>
      <w:marBottom w:val="0"/>
      <w:divBdr>
        <w:top w:val="none" w:sz="0" w:space="0" w:color="auto"/>
        <w:left w:val="none" w:sz="0" w:space="0" w:color="auto"/>
        <w:bottom w:val="none" w:sz="0" w:space="0" w:color="auto"/>
        <w:right w:val="none" w:sz="0" w:space="0" w:color="auto"/>
      </w:divBdr>
    </w:div>
    <w:div w:id="744035975">
      <w:marLeft w:val="0"/>
      <w:marRight w:val="0"/>
      <w:marTop w:val="0"/>
      <w:marBottom w:val="0"/>
      <w:divBdr>
        <w:top w:val="none" w:sz="0" w:space="0" w:color="auto"/>
        <w:left w:val="none" w:sz="0" w:space="0" w:color="auto"/>
        <w:bottom w:val="none" w:sz="0" w:space="0" w:color="auto"/>
        <w:right w:val="none" w:sz="0" w:space="0" w:color="auto"/>
      </w:divBdr>
    </w:div>
    <w:div w:id="744035977">
      <w:marLeft w:val="0"/>
      <w:marRight w:val="0"/>
      <w:marTop w:val="0"/>
      <w:marBottom w:val="0"/>
      <w:divBdr>
        <w:top w:val="none" w:sz="0" w:space="0" w:color="auto"/>
        <w:left w:val="none" w:sz="0" w:space="0" w:color="auto"/>
        <w:bottom w:val="none" w:sz="0" w:space="0" w:color="auto"/>
        <w:right w:val="none" w:sz="0" w:space="0" w:color="auto"/>
      </w:divBdr>
    </w:div>
    <w:div w:id="744035979">
      <w:marLeft w:val="0"/>
      <w:marRight w:val="0"/>
      <w:marTop w:val="0"/>
      <w:marBottom w:val="0"/>
      <w:divBdr>
        <w:top w:val="none" w:sz="0" w:space="0" w:color="auto"/>
        <w:left w:val="none" w:sz="0" w:space="0" w:color="auto"/>
        <w:bottom w:val="none" w:sz="0" w:space="0" w:color="auto"/>
        <w:right w:val="none" w:sz="0" w:space="0" w:color="auto"/>
      </w:divBdr>
    </w:div>
    <w:div w:id="744035981">
      <w:marLeft w:val="0"/>
      <w:marRight w:val="0"/>
      <w:marTop w:val="0"/>
      <w:marBottom w:val="0"/>
      <w:divBdr>
        <w:top w:val="none" w:sz="0" w:space="0" w:color="auto"/>
        <w:left w:val="none" w:sz="0" w:space="0" w:color="auto"/>
        <w:bottom w:val="none" w:sz="0" w:space="0" w:color="auto"/>
        <w:right w:val="none" w:sz="0" w:space="0" w:color="auto"/>
      </w:divBdr>
    </w:div>
    <w:div w:id="744035986">
      <w:marLeft w:val="0"/>
      <w:marRight w:val="0"/>
      <w:marTop w:val="0"/>
      <w:marBottom w:val="0"/>
      <w:divBdr>
        <w:top w:val="none" w:sz="0" w:space="0" w:color="auto"/>
        <w:left w:val="none" w:sz="0" w:space="0" w:color="auto"/>
        <w:bottom w:val="none" w:sz="0" w:space="0" w:color="auto"/>
        <w:right w:val="none" w:sz="0" w:space="0" w:color="auto"/>
      </w:divBdr>
    </w:div>
    <w:div w:id="744035987">
      <w:marLeft w:val="0"/>
      <w:marRight w:val="0"/>
      <w:marTop w:val="0"/>
      <w:marBottom w:val="0"/>
      <w:divBdr>
        <w:top w:val="none" w:sz="0" w:space="0" w:color="auto"/>
        <w:left w:val="none" w:sz="0" w:space="0" w:color="auto"/>
        <w:bottom w:val="none" w:sz="0" w:space="0" w:color="auto"/>
        <w:right w:val="none" w:sz="0" w:space="0" w:color="auto"/>
      </w:divBdr>
    </w:div>
    <w:div w:id="744035992">
      <w:marLeft w:val="0"/>
      <w:marRight w:val="0"/>
      <w:marTop w:val="0"/>
      <w:marBottom w:val="0"/>
      <w:divBdr>
        <w:top w:val="none" w:sz="0" w:space="0" w:color="auto"/>
        <w:left w:val="none" w:sz="0" w:space="0" w:color="auto"/>
        <w:bottom w:val="none" w:sz="0" w:space="0" w:color="auto"/>
        <w:right w:val="none" w:sz="0" w:space="0" w:color="auto"/>
      </w:divBdr>
    </w:div>
    <w:div w:id="744035993">
      <w:marLeft w:val="0"/>
      <w:marRight w:val="0"/>
      <w:marTop w:val="0"/>
      <w:marBottom w:val="0"/>
      <w:divBdr>
        <w:top w:val="none" w:sz="0" w:space="0" w:color="auto"/>
        <w:left w:val="none" w:sz="0" w:space="0" w:color="auto"/>
        <w:bottom w:val="none" w:sz="0" w:space="0" w:color="auto"/>
        <w:right w:val="none" w:sz="0" w:space="0" w:color="auto"/>
      </w:divBdr>
    </w:div>
    <w:div w:id="744035999">
      <w:marLeft w:val="0"/>
      <w:marRight w:val="0"/>
      <w:marTop w:val="0"/>
      <w:marBottom w:val="0"/>
      <w:divBdr>
        <w:top w:val="none" w:sz="0" w:space="0" w:color="auto"/>
        <w:left w:val="none" w:sz="0" w:space="0" w:color="auto"/>
        <w:bottom w:val="none" w:sz="0" w:space="0" w:color="auto"/>
        <w:right w:val="none" w:sz="0" w:space="0" w:color="auto"/>
      </w:divBdr>
      <w:divsChild>
        <w:div w:id="744035794">
          <w:marLeft w:val="0"/>
          <w:marRight w:val="0"/>
          <w:marTop w:val="0"/>
          <w:marBottom w:val="960"/>
          <w:divBdr>
            <w:top w:val="none" w:sz="0" w:space="0" w:color="auto"/>
            <w:left w:val="none" w:sz="0" w:space="0" w:color="auto"/>
            <w:bottom w:val="none" w:sz="0" w:space="0" w:color="auto"/>
            <w:right w:val="none" w:sz="0" w:space="0" w:color="auto"/>
          </w:divBdr>
          <w:divsChild>
            <w:div w:id="744035716">
              <w:marLeft w:val="0"/>
              <w:marRight w:val="0"/>
              <w:marTop w:val="0"/>
              <w:marBottom w:val="0"/>
              <w:divBdr>
                <w:top w:val="none" w:sz="0" w:space="0" w:color="auto"/>
                <w:left w:val="none" w:sz="0" w:space="0" w:color="auto"/>
                <w:bottom w:val="none" w:sz="0" w:space="0" w:color="auto"/>
                <w:right w:val="none" w:sz="0" w:space="0" w:color="auto"/>
              </w:divBdr>
              <w:divsChild>
                <w:div w:id="744035938">
                  <w:marLeft w:val="0"/>
                  <w:marRight w:val="0"/>
                  <w:marTop w:val="0"/>
                  <w:marBottom w:val="0"/>
                  <w:divBdr>
                    <w:top w:val="none" w:sz="0" w:space="0" w:color="auto"/>
                    <w:left w:val="none" w:sz="0" w:space="0" w:color="auto"/>
                    <w:bottom w:val="none" w:sz="0" w:space="0" w:color="auto"/>
                    <w:right w:val="none" w:sz="0" w:space="0" w:color="auto"/>
                  </w:divBdr>
                  <w:divsChild>
                    <w:div w:id="744035899">
                      <w:marLeft w:val="-2571"/>
                      <w:marRight w:val="720"/>
                      <w:marTop w:val="0"/>
                      <w:marBottom w:val="432"/>
                      <w:divBdr>
                        <w:top w:val="none" w:sz="0" w:space="0" w:color="auto"/>
                        <w:left w:val="none" w:sz="0" w:space="0" w:color="auto"/>
                        <w:bottom w:val="none" w:sz="0" w:space="0" w:color="auto"/>
                        <w:right w:val="none" w:sz="0" w:space="0" w:color="auto"/>
                      </w:divBdr>
                    </w:div>
                  </w:divsChild>
                </w:div>
              </w:divsChild>
            </w:div>
          </w:divsChild>
        </w:div>
      </w:divsChild>
    </w:div>
    <w:div w:id="744036000">
      <w:marLeft w:val="0"/>
      <w:marRight w:val="0"/>
      <w:marTop w:val="0"/>
      <w:marBottom w:val="0"/>
      <w:divBdr>
        <w:top w:val="none" w:sz="0" w:space="0" w:color="auto"/>
        <w:left w:val="none" w:sz="0" w:space="0" w:color="auto"/>
        <w:bottom w:val="none" w:sz="0" w:space="0" w:color="auto"/>
        <w:right w:val="none" w:sz="0" w:space="0" w:color="auto"/>
      </w:divBdr>
    </w:div>
    <w:div w:id="744036002">
      <w:marLeft w:val="0"/>
      <w:marRight w:val="0"/>
      <w:marTop w:val="0"/>
      <w:marBottom w:val="0"/>
      <w:divBdr>
        <w:top w:val="none" w:sz="0" w:space="0" w:color="auto"/>
        <w:left w:val="none" w:sz="0" w:space="0" w:color="auto"/>
        <w:bottom w:val="none" w:sz="0" w:space="0" w:color="auto"/>
        <w:right w:val="none" w:sz="0" w:space="0" w:color="auto"/>
      </w:divBdr>
    </w:div>
    <w:div w:id="744036004">
      <w:marLeft w:val="0"/>
      <w:marRight w:val="0"/>
      <w:marTop w:val="0"/>
      <w:marBottom w:val="0"/>
      <w:divBdr>
        <w:top w:val="none" w:sz="0" w:space="0" w:color="auto"/>
        <w:left w:val="none" w:sz="0" w:space="0" w:color="auto"/>
        <w:bottom w:val="none" w:sz="0" w:space="0" w:color="auto"/>
        <w:right w:val="none" w:sz="0" w:space="0" w:color="auto"/>
      </w:divBdr>
    </w:div>
    <w:div w:id="744036005">
      <w:marLeft w:val="0"/>
      <w:marRight w:val="0"/>
      <w:marTop w:val="0"/>
      <w:marBottom w:val="0"/>
      <w:divBdr>
        <w:top w:val="none" w:sz="0" w:space="0" w:color="auto"/>
        <w:left w:val="none" w:sz="0" w:space="0" w:color="auto"/>
        <w:bottom w:val="none" w:sz="0" w:space="0" w:color="auto"/>
        <w:right w:val="none" w:sz="0" w:space="0" w:color="auto"/>
      </w:divBdr>
    </w:div>
    <w:div w:id="744036008">
      <w:marLeft w:val="0"/>
      <w:marRight w:val="0"/>
      <w:marTop w:val="0"/>
      <w:marBottom w:val="0"/>
      <w:divBdr>
        <w:top w:val="none" w:sz="0" w:space="0" w:color="auto"/>
        <w:left w:val="none" w:sz="0" w:space="0" w:color="auto"/>
        <w:bottom w:val="none" w:sz="0" w:space="0" w:color="auto"/>
        <w:right w:val="none" w:sz="0" w:space="0" w:color="auto"/>
      </w:divBdr>
    </w:div>
    <w:div w:id="744036010">
      <w:marLeft w:val="0"/>
      <w:marRight w:val="0"/>
      <w:marTop w:val="0"/>
      <w:marBottom w:val="0"/>
      <w:divBdr>
        <w:top w:val="none" w:sz="0" w:space="0" w:color="auto"/>
        <w:left w:val="none" w:sz="0" w:space="0" w:color="auto"/>
        <w:bottom w:val="none" w:sz="0" w:space="0" w:color="auto"/>
        <w:right w:val="none" w:sz="0" w:space="0" w:color="auto"/>
      </w:divBdr>
    </w:div>
    <w:div w:id="744036011">
      <w:marLeft w:val="0"/>
      <w:marRight w:val="0"/>
      <w:marTop w:val="0"/>
      <w:marBottom w:val="0"/>
      <w:divBdr>
        <w:top w:val="none" w:sz="0" w:space="0" w:color="auto"/>
        <w:left w:val="none" w:sz="0" w:space="0" w:color="auto"/>
        <w:bottom w:val="none" w:sz="0" w:space="0" w:color="auto"/>
        <w:right w:val="none" w:sz="0" w:space="0" w:color="auto"/>
      </w:divBdr>
    </w:div>
    <w:div w:id="744036013">
      <w:marLeft w:val="0"/>
      <w:marRight w:val="0"/>
      <w:marTop w:val="0"/>
      <w:marBottom w:val="0"/>
      <w:divBdr>
        <w:top w:val="none" w:sz="0" w:space="0" w:color="auto"/>
        <w:left w:val="none" w:sz="0" w:space="0" w:color="auto"/>
        <w:bottom w:val="none" w:sz="0" w:space="0" w:color="auto"/>
        <w:right w:val="none" w:sz="0" w:space="0" w:color="auto"/>
      </w:divBdr>
    </w:div>
    <w:div w:id="744036014">
      <w:marLeft w:val="0"/>
      <w:marRight w:val="0"/>
      <w:marTop w:val="0"/>
      <w:marBottom w:val="0"/>
      <w:divBdr>
        <w:top w:val="none" w:sz="0" w:space="0" w:color="auto"/>
        <w:left w:val="none" w:sz="0" w:space="0" w:color="auto"/>
        <w:bottom w:val="none" w:sz="0" w:space="0" w:color="auto"/>
        <w:right w:val="none" w:sz="0" w:space="0" w:color="auto"/>
      </w:divBdr>
    </w:div>
    <w:div w:id="744036015">
      <w:marLeft w:val="0"/>
      <w:marRight w:val="0"/>
      <w:marTop w:val="0"/>
      <w:marBottom w:val="0"/>
      <w:divBdr>
        <w:top w:val="none" w:sz="0" w:space="0" w:color="auto"/>
        <w:left w:val="none" w:sz="0" w:space="0" w:color="auto"/>
        <w:bottom w:val="none" w:sz="0" w:space="0" w:color="auto"/>
        <w:right w:val="none" w:sz="0" w:space="0" w:color="auto"/>
      </w:divBdr>
    </w:div>
    <w:div w:id="744036019">
      <w:marLeft w:val="0"/>
      <w:marRight w:val="0"/>
      <w:marTop w:val="0"/>
      <w:marBottom w:val="0"/>
      <w:divBdr>
        <w:top w:val="none" w:sz="0" w:space="0" w:color="auto"/>
        <w:left w:val="none" w:sz="0" w:space="0" w:color="auto"/>
        <w:bottom w:val="none" w:sz="0" w:space="0" w:color="auto"/>
        <w:right w:val="none" w:sz="0" w:space="0" w:color="auto"/>
      </w:divBdr>
    </w:div>
    <w:div w:id="744036021">
      <w:marLeft w:val="0"/>
      <w:marRight w:val="0"/>
      <w:marTop w:val="0"/>
      <w:marBottom w:val="0"/>
      <w:divBdr>
        <w:top w:val="none" w:sz="0" w:space="0" w:color="auto"/>
        <w:left w:val="none" w:sz="0" w:space="0" w:color="auto"/>
        <w:bottom w:val="none" w:sz="0" w:space="0" w:color="auto"/>
        <w:right w:val="none" w:sz="0" w:space="0" w:color="auto"/>
      </w:divBdr>
    </w:div>
    <w:div w:id="744036022">
      <w:marLeft w:val="0"/>
      <w:marRight w:val="0"/>
      <w:marTop w:val="0"/>
      <w:marBottom w:val="0"/>
      <w:divBdr>
        <w:top w:val="none" w:sz="0" w:space="0" w:color="auto"/>
        <w:left w:val="none" w:sz="0" w:space="0" w:color="auto"/>
        <w:bottom w:val="none" w:sz="0" w:space="0" w:color="auto"/>
        <w:right w:val="none" w:sz="0" w:space="0" w:color="auto"/>
      </w:divBdr>
    </w:div>
    <w:div w:id="744036026">
      <w:marLeft w:val="0"/>
      <w:marRight w:val="0"/>
      <w:marTop w:val="0"/>
      <w:marBottom w:val="0"/>
      <w:divBdr>
        <w:top w:val="none" w:sz="0" w:space="0" w:color="auto"/>
        <w:left w:val="none" w:sz="0" w:space="0" w:color="auto"/>
        <w:bottom w:val="none" w:sz="0" w:space="0" w:color="auto"/>
        <w:right w:val="none" w:sz="0" w:space="0" w:color="auto"/>
      </w:divBdr>
    </w:div>
    <w:div w:id="744036027">
      <w:marLeft w:val="0"/>
      <w:marRight w:val="0"/>
      <w:marTop w:val="0"/>
      <w:marBottom w:val="0"/>
      <w:divBdr>
        <w:top w:val="none" w:sz="0" w:space="0" w:color="auto"/>
        <w:left w:val="none" w:sz="0" w:space="0" w:color="auto"/>
        <w:bottom w:val="none" w:sz="0" w:space="0" w:color="auto"/>
        <w:right w:val="none" w:sz="0" w:space="0" w:color="auto"/>
      </w:divBdr>
    </w:div>
    <w:div w:id="744036028">
      <w:marLeft w:val="0"/>
      <w:marRight w:val="0"/>
      <w:marTop w:val="0"/>
      <w:marBottom w:val="0"/>
      <w:divBdr>
        <w:top w:val="none" w:sz="0" w:space="0" w:color="auto"/>
        <w:left w:val="none" w:sz="0" w:space="0" w:color="auto"/>
        <w:bottom w:val="none" w:sz="0" w:space="0" w:color="auto"/>
        <w:right w:val="none" w:sz="0" w:space="0" w:color="auto"/>
      </w:divBdr>
    </w:div>
    <w:div w:id="744036029">
      <w:marLeft w:val="0"/>
      <w:marRight w:val="0"/>
      <w:marTop w:val="0"/>
      <w:marBottom w:val="0"/>
      <w:divBdr>
        <w:top w:val="none" w:sz="0" w:space="0" w:color="auto"/>
        <w:left w:val="none" w:sz="0" w:space="0" w:color="auto"/>
        <w:bottom w:val="none" w:sz="0" w:space="0" w:color="auto"/>
        <w:right w:val="none" w:sz="0" w:space="0" w:color="auto"/>
      </w:divBdr>
    </w:div>
    <w:div w:id="744036030">
      <w:marLeft w:val="0"/>
      <w:marRight w:val="0"/>
      <w:marTop w:val="0"/>
      <w:marBottom w:val="0"/>
      <w:divBdr>
        <w:top w:val="none" w:sz="0" w:space="0" w:color="auto"/>
        <w:left w:val="none" w:sz="0" w:space="0" w:color="auto"/>
        <w:bottom w:val="none" w:sz="0" w:space="0" w:color="auto"/>
        <w:right w:val="none" w:sz="0" w:space="0" w:color="auto"/>
      </w:divBdr>
    </w:div>
    <w:div w:id="744036032">
      <w:marLeft w:val="0"/>
      <w:marRight w:val="0"/>
      <w:marTop w:val="0"/>
      <w:marBottom w:val="0"/>
      <w:divBdr>
        <w:top w:val="none" w:sz="0" w:space="0" w:color="auto"/>
        <w:left w:val="none" w:sz="0" w:space="0" w:color="auto"/>
        <w:bottom w:val="none" w:sz="0" w:space="0" w:color="auto"/>
        <w:right w:val="none" w:sz="0" w:space="0" w:color="auto"/>
      </w:divBdr>
    </w:div>
    <w:div w:id="744036033">
      <w:marLeft w:val="0"/>
      <w:marRight w:val="0"/>
      <w:marTop w:val="0"/>
      <w:marBottom w:val="0"/>
      <w:divBdr>
        <w:top w:val="none" w:sz="0" w:space="0" w:color="auto"/>
        <w:left w:val="none" w:sz="0" w:space="0" w:color="auto"/>
        <w:bottom w:val="none" w:sz="0" w:space="0" w:color="auto"/>
        <w:right w:val="none" w:sz="0" w:space="0" w:color="auto"/>
      </w:divBdr>
    </w:div>
    <w:div w:id="744036034">
      <w:marLeft w:val="0"/>
      <w:marRight w:val="0"/>
      <w:marTop w:val="0"/>
      <w:marBottom w:val="0"/>
      <w:divBdr>
        <w:top w:val="none" w:sz="0" w:space="0" w:color="auto"/>
        <w:left w:val="none" w:sz="0" w:space="0" w:color="auto"/>
        <w:bottom w:val="none" w:sz="0" w:space="0" w:color="auto"/>
        <w:right w:val="none" w:sz="0" w:space="0" w:color="auto"/>
      </w:divBdr>
    </w:div>
    <w:div w:id="744036037">
      <w:marLeft w:val="0"/>
      <w:marRight w:val="0"/>
      <w:marTop w:val="0"/>
      <w:marBottom w:val="0"/>
      <w:divBdr>
        <w:top w:val="none" w:sz="0" w:space="0" w:color="auto"/>
        <w:left w:val="none" w:sz="0" w:space="0" w:color="auto"/>
        <w:bottom w:val="none" w:sz="0" w:space="0" w:color="auto"/>
        <w:right w:val="none" w:sz="0" w:space="0" w:color="auto"/>
      </w:divBdr>
    </w:div>
    <w:div w:id="744036040">
      <w:marLeft w:val="0"/>
      <w:marRight w:val="0"/>
      <w:marTop w:val="0"/>
      <w:marBottom w:val="0"/>
      <w:divBdr>
        <w:top w:val="none" w:sz="0" w:space="0" w:color="auto"/>
        <w:left w:val="none" w:sz="0" w:space="0" w:color="auto"/>
        <w:bottom w:val="none" w:sz="0" w:space="0" w:color="auto"/>
        <w:right w:val="none" w:sz="0" w:space="0" w:color="auto"/>
      </w:divBdr>
    </w:div>
    <w:div w:id="744036042">
      <w:marLeft w:val="0"/>
      <w:marRight w:val="0"/>
      <w:marTop w:val="0"/>
      <w:marBottom w:val="0"/>
      <w:divBdr>
        <w:top w:val="none" w:sz="0" w:space="0" w:color="auto"/>
        <w:left w:val="none" w:sz="0" w:space="0" w:color="auto"/>
        <w:bottom w:val="none" w:sz="0" w:space="0" w:color="auto"/>
        <w:right w:val="none" w:sz="0" w:space="0" w:color="auto"/>
      </w:divBdr>
    </w:div>
    <w:div w:id="744036044">
      <w:marLeft w:val="0"/>
      <w:marRight w:val="0"/>
      <w:marTop w:val="0"/>
      <w:marBottom w:val="0"/>
      <w:divBdr>
        <w:top w:val="none" w:sz="0" w:space="0" w:color="auto"/>
        <w:left w:val="none" w:sz="0" w:space="0" w:color="auto"/>
        <w:bottom w:val="none" w:sz="0" w:space="0" w:color="auto"/>
        <w:right w:val="none" w:sz="0" w:space="0" w:color="auto"/>
      </w:divBdr>
    </w:div>
    <w:div w:id="744036045">
      <w:marLeft w:val="0"/>
      <w:marRight w:val="0"/>
      <w:marTop w:val="0"/>
      <w:marBottom w:val="0"/>
      <w:divBdr>
        <w:top w:val="none" w:sz="0" w:space="0" w:color="auto"/>
        <w:left w:val="none" w:sz="0" w:space="0" w:color="auto"/>
        <w:bottom w:val="none" w:sz="0" w:space="0" w:color="auto"/>
        <w:right w:val="none" w:sz="0" w:space="0" w:color="auto"/>
      </w:divBdr>
    </w:div>
    <w:div w:id="744036047">
      <w:marLeft w:val="0"/>
      <w:marRight w:val="0"/>
      <w:marTop w:val="0"/>
      <w:marBottom w:val="0"/>
      <w:divBdr>
        <w:top w:val="none" w:sz="0" w:space="0" w:color="auto"/>
        <w:left w:val="none" w:sz="0" w:space="0" w:color="auto"/>
        <w:bottom w:val="none" w:sz="0" w:space="0" w:color="auto"/>
        <w:right w:val="none" w:sz="0" w:space="0" w:color="auto"/>
      </w:divBdr>
    </w:div>
    <w:div w:id="744036048">
      <w:marLeft w:val="0"/>
      <w:marRight w:val="0"/>
      <w:marTop w:val="0"/>
      <w:marBottom w:val="0"/>
      <w:divBdr>
        <w:top w:val="none" w:sz="0" w:space="0" w:color="auto"/>
        <w:left w:val="none" w:sz="0" w:space="0" w:color="auto"/>
        <w:bottom w:val="none" w:sz="0" w:space="0" w:color="auto"/>
        <w:right w:val="none" w:sz="0" w:space="0" w:color="auto"/>
      </w:divBdr>
    </w:div>
    <w:div w:id="744036049">
      <w:marLeft w:val="0"/>
      <w:marRight w:val="0"/>
      <w:marTop w:val="0"/>
      <w:marBottom w:val="0"/>
      <w:divBdr>
        <w:top w:val="none" w:sz="0" w:space="0" w:color="auto"/>
        <w:left w:val="none" w:sz="0" w:space="0" w:color="auto"/>
        <w:bottom w:val="none" w:sz="0" w:space="0" w:color="auto"/>
        <w:right w:val="none" w:sz="0" w:space="0" w:color="auto"/>
      </w:divBdr>
    </w:div>
    <w:div w:id="744036055">
      <w:marLeft w:val="0"/>
      <w:marRight w:val="0"/>
      <w:marTop w:val="0"/>
      <w:marBottom w:val="0"/>
      <w:divBdr>
        <w:top w:val="none" w:sz="0" w:space="0" w:color="auto"/>
        <w:left w:val="none" w:sz="0" w:space="0" w:color="auto"/>
        <w:bottom w:val="none" w:sz="0" w:space="0" w:color="auto"/>
        <w:right w:val="none" w:sz="0" w:space="0" w:color="auto"/>
      </w:divBdr>
    </w:div>
    <w:div w:id="744036057">
      <w:marLeft w:val="0"/>
      <w:marRight w:val="0"/>
      <w:marTop w:val="0"/>
      <w:marBottom w:val="0"/>
      <w:divBdr>
        <w:top w:val="none" w:sz="0" w:space="0" w:color="auto"/>
        <w:left w:val="none" w:sz="0" w:space="0" w:color="auto"/>
        <w:bottom w:val="none" w:sz="0" w:space="0" w:color="auto"/>
        <w:right w:val="none" w:sz="0" w:space="0" w:color="auto"/>
      </w:divBdr>
    </w:div>
    <w:div w:id="744036058">
      <w:marLeft w:val="0"/>
      <w:marRight w:val="0"/>
      <w:marTop w:val="0"/>
      <w:marBottom w:val="0"/>
      <w:divBdr>
        <w:top w:val="none" w:sz="0" w:space="0" w:color="auto"/>
        <w:left w:val="none" w:sz="0" w:space="0" w:color="auto"/>
        <w:bottom w:val="none" w:sz="0" w:space="0" w:color="auto"/>
        <w:right w:val="none" w:sz="0" w:space="0" w:color="auto"/>
      </w:divBdr>
    </w:div>
    <w:div w:id="744036060">
      <w:marLeft w:val="0"/>
      <w:marRight w:val="0"/>
      <w:marTop w:val="0"/>
      <w:marBottom w:val="0"/>
      <w:divBdr>
        <w:top w:val="none" w:sz="0" w:space="0" w:color="auto"/>
        <w:left w:val="none" w:sz="0" w:space="0" w:color="auto"/>
        <w:bottom w:val="none" w:sz="0" w:space="0" w:color="auto"/>
        <w:right w:val="none" w:sz="0" w:space="0" w:color="auto"/>
      </w:divBdr>
    </w:div>
    <w:div w:id="744036062">
      <w:marLeft w:val="0"/>
      <w:marRight w:val="0"/>
      <w:marTop w:val="0"/>
      <w:marBottom w:val="0"/>
      <w:divBdr>
        <w:top w:val="none" w:sz="0" w:space="0" w:color="auto"/>
        <w:left w:val="none" w:sz="0" w:space="0" w:color="auto"/>
        <w:bottom w:val="none" w:sz="0" w:space="0" w:color="auto"/>
        <w:right w:val="none" w:sz="0" w:space="0" w:color="auto"/>
      </w:divBdr>
    </w:div>
    <w:div w:id="744036063">
      <w:marLeft w:val="0"/>
      <w:marRight w:val="0"/>
      <w:marTop w:val="0"/>
      <w:marBottom w:val="0"/>
      <w:divBdr>
        <w:top w:val="none" w:sz="0" w:space="0" w:color="auto"/>
        <w:left w:val="none" w:sz="0" w:space="0" w:color="auto"/>
        <w:bottom w:val="none" w:sz="0" w:space="0" w:color="auto"/>
        <w:right w:val="none" w:sz="0" w:space="0" w:color="auto"/>
      </w:divBdr>
    </w:div>
    <w:div w:id="744036065">
      <w:marLeft w:val="0"/>
      <w:marRight w:val="0"/>
      <w:marTop w:val="0"/>
      <w:marBottom w:val="0"/>
      <w:divBdr>
        <w:top w:val="none" w:sz="0" w:space="0" w:color="auto"/>
        <w:left w:val="none" w:sz="0" w:space="0" w:color="auto"/>
        <w:bottom w:val="none" w:sz="0" w:space="0" w:color="auto"/>
        <w:right w:val="none" w:sz="0" w:space="0" w:color="auto"/>
      </w:divBdr>
    </w:div>
    <w:div w:id="744036066">
      <w:marLeft w:val="0"/>
      <w:marRight w:val="0"/>
      <w:marTop w:val="0"/>
      <w:marBottom w:val="0"/>
      <w:divBdr>
        <w:top w:val="none" w:sz="0" w:space="0" w:color="auto"/>
        <w:left w:val="none" w:sz="0" w:space="0" w:color="auto"/>
        <w:bottom w:val="none" w:sz="0" w:space="0" w:color="auto"/>
        <w:right w:val="none" w:sz="0" w:space="0" w:color="auto"/>
      </w:divBdr>
    </w:div>
    <w:div w:id="744036069">
      <w:marLeft w:val="0"/>
      <w:marRight w:val="0"/>
      <w:marTop w:val="0"/>
      <w:marBottom w:val="0"/>
      <w:divBdr>
        <w:top w:val="none" w:sz="0" w:space="0" w:color="auto"/>
        <w:left w:val="none" w:sz="0" w:space="0" w:color="auto"/>
        <w:bottom w:val="none" w:sz="0" w:space="0" w:color="auto"/>
        <w:right w:val="none" w:sz="0" w:space="0" w:color="auto"/>
      </w:divBdr>
    </w:div>
    <w:div w:id="744036070">
      <w:marLeft w:val="0"/>
      <w:marRight w:val="0"/>
      <w:marTop w:val="0"/>
      <w:marBottom w:val="0"/>
      <w:divBdr>
        <w:top w:val="none" w:sz="0" w:space="0" w:color="auto"/>
        <w:left w:val="none" w:sz="0" w:space="0" w:color="auto"/>
        <w:bottom w:val="none" w:sz="0" w:space="0" w:color="auto"/>
        <w:right w:val="none" w:sz="0" w:space="0" w:color="auto"/>
      </w:divBdr>
    </w:div>
    <w:div w:id="744036072">
      <w:marLeft w:val="0"/>
      <w:marRight w:val="0"/>
      <w:marTop w:val="0"/>
      <w:marBottom w:val="0"/>
      <w:divBdr>
        <w:top w:val="none" w:sz="0" w:space="0" w:color="auto"/>
        <w:left w:val="none" w:sz="0" w:space="0" w:color="auto"/>
        <w:bottom w:val="none" w:sz="0" w:space="0" w:color="auto"/>
        <w:right w:val="none" w:sz="0" w:space="0" w:color="auto"/>
      </w:divBdr>
    </w:div>
    <w:div w:id="744036073">
      <w:marLeft w:val="0"/>
      <w:marRight w:val="0"/>
      <w:marTop w:val="0"/>
      <w:marBottom w:val="0"/>
      <w:divBdr>
        <w:top w:val="none" w:sz="0" w:space="0" w:color="auto"/>
        <w:left w:val="none" w:sz="0" w:space="0" w:color="auto"/>
        <w:bottom w:val="none" w:sz="0" w:space="0" w:color="auto"/>
        <w:right w:val="none" w:sz="0" w:space="0" w:color="auto"/>
      </w:divBdr>
    </w:div>
    <w:div w:id="744036075">
      <w:marLeft w:val="0"/>
      <w:marRight w:val="0"/>
      <w:marTop w:val="0"/>
      <w:marBottom w:val="0"/>
      <w:divBdr>
        <w:top w:val="none" w:sz="0" w:space="0" w:color="auto"/>
        <w:left w:val="none" w:sz="0" w:space="0" w:color="auto"/>
        <w:bottom w:val="none" w:sz="0" w:space="0" w:color="auto"/>
        <w:right w:val="none" w:sz="0" w:space="0" w:color="auto"/>
      </w:divBdr>
    </w:div>
    <w:div w:id="744036076">
      <w:marLeft w:val="0"/>
      <w:marRight w:val="0"/>
      <w:marTop w:val="0"/>
      <w:marBottom w:val="0"/>
      <w:divBdr>
        <w:top w:val="none" w:sz="0" w:space="0" w:color="auto"/>
        <w:left w:val="none" w:sz="0" w:space="0" w:color="auto"/>
        <w:bottom w:val="none" w:sz="0" w:space="0" w:color="auto"/>
        <w:right w:val="none" w:sz="0" w:space="0" w:color="auto"/>
      </w:divBdr>
    </w:div>
    <w:div w:id="744036077">
      <w:marLeft w:val="0"/>
      <w:marRight w:val="0"/>
      <w:marTop w:val="0"/>
      <w:marBottom w:val="0"/>
      <w:divBdr>
        <w:top w:val="none" w:sz="0" w:space="0" w:color="auto"/>
        <w:left w:val="none" w:sz="0" w:space="0" w:color="auto"/>
        <w:bottom w:val="none" w:sz="0" w:space="0" w:color="auto"/>
        <w:right w:val="none" w:sz="0" w:space="0" w:color="auto"/>
      </w:divBdr>
    </w:div>
    <w:div w:id="744036079">
      <w:marLeft w:val="0"/>
      <w:marRight w:val="0"/>
      <w:marTop w:val="0"/>
      <w:marBottom w:val="0"/>
      <w:divBdr>
        <w:top w:val="none" w:sz="0" w:space="0" w:color="auto"/>
        <w:left w:val="none" w:sz="0" w:space="0" w:color="auto"/>
        <w:bottom w:val="none" w:sz="0" w:space="0" w:color="auto"/>
        <w:right w:val="none" w:sz="0" w:space="0" w:color="auto"/>
      </w:divBdr>
    </w:div>
    <w:div w:id="744036081">
      <w:marLeft w:val="0"/>
      <w:marRight w:val="0"/>
      <w:marTop w:val="0"/>
      <w:marBottom w:val="0"/>
      <w:divBdr>
        <w:top w:val="none" w:sz="0" w:space="0" w:color="auto"/>
        <w:left w:val="none" w:sz="0" w:space="0" w:color="auto"/>
        <w:bottom w:val="none" w:sz="0" w:space="0" w:color="auto"/>
        <w:right w:val="none" w:sz="0" w:space="0" w:color="auto"/>
      </w:divBdr>
    </w:div>
    <w:div w:id="744036082">
      <w:marLeft w:val="0"/>
      <w:marRight w:val="0"/>
      <w:marTop w:val="0"/>
      <w:marBottom w:val="0"/>
      <w:divBdr>
        <w:top w:val="none" w:sz="0" w:space="0" w:color="auto"/>
        <w:left w:val="none" w:sz="0" w:space="0" w:color="auto"/>
        <w:bottom w:val="none" w:sz="0" w:space="0" w:color="auto"/>
        <w:right w:val="none" w:sz="0" w:space="0" w:color="auto"/>
      </w:divBdr>
    </w:div>
    <w:div w:id="744036083">
      <w:marLeft w:val="0"/>
      <w:marRight w:val="0"/>
      <w:marTop w:val="0"/>
      <w:marBottom w:val="0"/>
      <w:divBdr>
        <w:top w:val="none" w:sz="0" w:space="0" w:color="auto"/>
        <w:left w:val="none" w:sz="0" w:space="0" w:color="auto"/>
        <w:bottom w:val="none" w:sz="0" w:space="0" w:color="auto"/>
        <w:right w:val="none" w:sz="0" w:space="0" w:color="auto"/>
      </w:divBdr>
    </w:div>
    <w:div w:id="744036084">
      <w:marLeft w:val="0"/>
      <w:marRight w:val="0"/>
      <w:marTop w:val="0"/>
      <w:marBottom w:val="0"/>
      <w:divBdr>
        <w:top w:val="none" w:sz="0" w:space="0" w:color="auto"/>
        <w:left w:val="none" w:sz="0" w:space="0" w:color="auto"/>
        <w:bottom w:val="none" w:sz="0" w:space="0" w:color="auto"/>
        <w:right w:val="none" w:sz="0" w:space="0" w:color="auto"/>
      </w:divBdr>
    </w:div>
    <w:div w:id="744036085">
      <w:marLeft w:val="0"/>
      <w:marRight w:val="0"/>
      <w:marTop w:val="0"/>
      <w:marBottom w:val="0"/>
      <w:divBdr>
        <w:top w:val="none" w:sz="0" w:space="0" w:color="auto"/>
        <w:left w:val="none" w:sz="0" w:space="0" w:color="auto"/>
        <w:bottom w:val="none" w:sz="0" w:space="0" w:color="auto"/>
        <w:right w:val="none" w:sz="0" w:space="0" w:color="auto"/>
      </w:divBdr>
    </w:div>
    <w:div w:id="744036086">
      <w:marLeft w:val="0"/>
      <w:marRight w:val="0"/>
      <w:marTop w:val="0"/>
      <w:marBottom w:val="0"/>
      <w:divBdr>
        <w:top w:val="none" w:sz="0" w:space="0" w:color="auto"/>
        <w:left w:val="none" w:sz="0" w:space="0" w:color="auto"/>
        <w:bottom w:val="none" w:sz="0" w:space="0" w:color="auto"/>
        <w:right w:val="none" w:sz="0" w:space="0" w:color="auto"/>
      </w:divBdr>
    </w:div>
    <w:div w:id="744036087">
      <w:marLeft w:val="0"/>
      <w:marRight w:val="0"/>
      <w:marTop w:val="0"/>
      <w:marBottom w:val="300"/>
      <w:divBdr>
        <w:top w:val="none" w:sz="0" w:space="0" w:color="auto"/>
        <w:left w:val="none" w:sz="0" w:space="0" w:color="auto"/>
        <w:bottom w:val="none" w:sz="0" w:space="0" w:color="auto"/>
        <w:right w:val="none" w:sz="0" w:space="0" w:color="auto"/>
      </w:divBdr>
      <w:divsChild>
        <w:div w:id="744036273">
          <w:marLeft w:val="0"/>
          <w:marRight w:val="0"/>
          <w:marTop w:val="150"/>
          <w:marBottom w:val="150"/>
          <w:divBdr>
            <w:top w:val="none" w:sz="0" w:space="0" w:color="auto"/>
            <w:left w:val="none" w:sz="0" w:space="0" w:color="auto"/>
            <w:bottom w:val="none" w:sz="0" w:space="0" w:color="auto"/>
            <w:right w:val="none" w:sz="0" w:space="0" w:color="auto"/>
          </w:divBdr>
          <w:divsChild>
            <w:div w:id="744035729">
              <w:marLeft w:val="0"/>
              <w:marRight w:val="0"/>
              <w:marTop w:val="0"/>
              <w:marBottom w:val="0"/>
              <w:divBdr>
                <w:top w:val="none" w:sz="0" w:space="0" w:color="auto"/>
                <w:left w:val="none" w:sz="0" w:space="0" w:color="auto"/>
                <w:bottom w:val="none" w:sz="0" w:space="0" w:color="auto"/>
                <w:right w:val="none" w:sz="0" w:space="0" w:color="auto"/>
              </w:divBdr>
              <w:divsChild>
                <w:div w:id="74403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036088">
      <w:marLeft w:val="0"/>
      <w:marRight w:val="0"/>
      <w:marTop w:val="0"/>
      <w:marBottom w:val="0"/>
      <w:divBdr>
        <w:top w:val="none" w:sz="0" w:space="0" w:color="auto"/>
        <w:left w:val="none" w:sz="0" w:space="0" w:color="auto"/>
        <w:bottom w:val="none" w:sz="0" w:space="0" w:color="auto"/>
        <w:right w:val="none" w:sz="0" w:space="0" w:color="auto"/>
      </w:divBdr>
    </w:div>
    <w:div w:id="744036090">
      <w:marLeft w:val="0"/>
      <w:marRight w:val="0"/>
      <w:marTop w:val="0"/>
      <w:marBottom w:val="0"/>
      <w:divBdr>
        <w:top w:val="none" w:sz="0" w:space="0" w:color="auto"/>
        <w:left w:val="none" w:sz="0" w:space="0" w:color="auto"/>
        <w:bottom w:val="none" w:sz="0" w:space="0" w:color="auto"/>
        <w:right w:val="none" w:sz="0" w:space="0" w:color="auto"/>
      </w:divBdr>
    </w:div>
    <w:div w:id="744036092">
      <w:marLeft w:val="0"/>
      <w:marRight w:val="0"/>
      <w:marTop w:val="0"/>
      <w:marBottom w:val="0"/>
      <w:divBdr>
        <w:top w:val="none" w:sz="0" w:space="0" w:color="auto"/>
        <w:left w:val="none" w:sz="0" w:space="0" w:color="auto"/>
        <w:bottom w:val="none" w:sz="0" w:space="0" w:color="auto"/>
        <w:right w:val="none" w:sz="0" w:space="0" w:color="auto"/>
      </w:divBdr>
      <w:divsChild>
        <w:div w:id="744036272">
          <w:marLeft w:val="0"/>
          <w:marRight w:val="0"/>
          <w:marTop w:val="0"/>
          <w:marBottom w:val="960"/>
          <w:divBdr>
            <w:top w:val="none" w:sz="0" w:space="0" w:color="auto"/>
            <w:left w:val="none" w:sz="0" w:space="0" w:color="auto"/>
            <w:bottom w:val="none" w:sz="0" w:space="0" w:color="auto"/>
            <w:right w:val="none" w:sz="0" w:space="0" w:color="auto"/>
          </w:divBdr>
          <w:divsChild>
            <w:div w:id="744035777">
              <w:marLeft w:val="0"/>
              <w:marRight w:val="0"/>
              <w:marTop w:val="0"/>
              <w:marBottom w:val="0"/>
              <w:divBdr>
                <w:top w:val="none" w:sz="0" w:space="0" w:color="auto"/>
                <w:left w:val="none" w:sz="0" w:space="0" w:color="auto"/>
                <w:bottom w:val="none" w:sz="0" w:space="0" w:color="auto"/>
                <w:right w:val="none" w:sz="0" w:space="0" w:color="auto"/>
              </w:divBdr>
              <w:divsChild>
                <w:div w:id="744035770">
                  <w:marLeft w:val="0"/>
                  <w:marRight w:val="0"/>
                  <w:marTop w:val="0"/>
                  <w:marBottom w:val="0"/>
                  <w:divBdr>
                    <w:top w:val="none" w:sz="0" w:space="0" w:color="auto"/>
                    <w:left w:val="none" w:sz="0" w:space="0" w:color="auto"/>
                    <w:bottom w:val="none" w:sz="0" w:space="0" w:color="auto"/>
                    <w:right w:val="none" w:sz="0" w:space="0" w:color="auto"/>
                  </w:divBdr>
                  <w:divsChild>
                    <w:div w:id="744036257">
                      <w:marLeft w:val="-2571"/>
                      <w:marRight w:val="720"/>
                      <w:marTop w:val="0"/>
                      <w:marBottom w:val="432"/>
                      <w:divBdr>
                        <w:top w:val="none" w:sz="0" w:space="0" w:color="auto"/>
                        <w:left w:val="none" w:sz="0" w:space="0" w:color="auto"/>
                        <w:bottom w:val="none" w:sz="0" w:space="0" w:color="auto"/>
                        <w:right w:val="none" w:sz="0" w:space="0" w:color="auto"/>
                      </w:divBdr>
                      <w:divsChild>
                        <w:div w:id="744035886">
                          <w:marLeft w:val="0"/>
                          <w:marRight w:val="1440"/>
                          <w:marTop w:val="0"/>
                          <w:marBottom w:val="0"/>
                          <w:divBdr>
                            <w:top w:val="none" w:sz="0" w:space="0" w:color="auto"/>
                            <w:left w:val="none" w:sz="0" w:space="0" w:color="auto"/>
                            <w:bottom w:val="none" w:sz="0" w:space="0" w:color="auto"/>
                            <w:right w:val="none" w:sz="0" w:space="0" w:color="auto"/>
                          </w:divBdr>
                        </w:div>
                        <w:div w:id="744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036093">
      <w:marLeft w:val="0"/>
      <w:marRight w:val="0"/>
      <w:marTop w:val="0"/>
      <w:marBottom w:val="0"/>
      <w:divBdr>
        <w:top w:val="none" w:sz="0" w:space="0" w:color="auto"/>
        <w:left w:val="none" w:sz="0" w:space="0" w:color="auto"/>
        <w:bottom w:val="none" w:sz="0" w:space="0" w:color="auto"/>
        <w:right w:val="none" w:sz="0" w:space="0" w:color="auto"/>
      </w:divBdr>
    </w:div>
    <w:div w:id="744036095">
      <w:marLeft w:val="0"/>
      <w:marRight w:val="0"/>
      <w:marTop w:val="0"/>
      <w:marBottom w:val="0"/>
      <w:divBdr>
        <w:top w:val="none" w:sz="0" w:space="0" w:color="auto"/>
        <w:left w:val="none" w:sz="0" w:space="0" w:color="auto"/>
        <w:bottom w:val="none" w:sz="0" w:space="0" w:color="auto"/>
        <w:right w:val="none" w:sz="0" w:space="0" w:color="auto"/>
      </w:divBdr>
    </w:div>
    <w:div w:id="744036096">
      <w:marLeft w:val="0"/>
      <w:marRight w:val="0"/>
      <w:marTop w:val="0"/>
      <w:marBottom w:val="0"/>
      <w:divBdr>
        <w:top w:val="none" w:sz="0" w:space="0" w:color="auto"/>
        <w:left w:val="none" w:sz="0" w:space="0" w:color="auto"/>
        <w:bottom w:val="none" w:sz="0" w:space="0" w:color="auto"/>
        <w:right w:val="none" w:sz="0" w:space="0" w:color="auto"/>
      </w:divBdr>
    </w:div>
    <w:div w:id="744036097">
      <w:marLeft w:val="0"/>
      <w:marRight w:val="0"/>
      <w:marTop w:val="0"/>
      <w:marBottom w:val="0"/>
      <w:divBdr>
        <w:top w:val="none" w:sz="0" w:space="0" w:color="auto"/>
        <w:left w:val="none" w:sz="0" w:space="0" w:color="auto"/>
        <w:bottom w:val="none" w:sz="0" w:space="0" w:color="auto"/>
        <w:right w:val="none" w:sz="0" w:space="0" w:color="auto"/>
      </w:divBdr>
    </w:div>
    <w:div w:id="744036098">
      <w:marLeft w:val="0"/>
      <w:marRight w:val="0"/>
      <w:marTop w:val="0"/>
      <w:marBottom w:val="0"/>
      <w:divBdr>
        <w:top w:val="none" w:sz="0" w:space="0" w:color="auto"/>
        <w:left w:val="none" w:sz="0" w:space="0" w:color="auto"/>
        <w:bottom w:val="none" w:sz="0" w:space="0" w:color="auto"/>
        <w:right w:val="none" w:sz="0" w:space="0" w:color="auto"/>
      </w:divBdr>
    </w:div>
    <w:div w:id="744036099">
      <w:marLeft w:val="0"/>
      <w:marRight w:val="0"/>
      <w:marTop w:val="0"/>
      <w:marBottom w:val="0"/>
      <w:divBdr>
        <w:top w:val="none" w:sz="0" w:space="0" w:color="auto"/>
        <w:left w:val="none" w:sz="0" w:space="0" w:color="auto"/>
        <w:bottom w:val="none" w:sz="0" w:space="0" w:color="auto"/>
        <w:right w:val="none" w:sz="0" w:space="0" w:color="auto"/>
      </w:divBdr>
    </w:div>
    <w:div w:id="744036103">
      <w:marLeft w:val="0"/>
      <w:marRight w:val="0"/>
      <w:marTop w:val="0"/>
      <w:marBottom w:val="0"/>
      <w:divBdr>
        <w:top w:val="none" w:sz="0" w:space="0" w:color="auto"/>
        <w:left w:val="none" w:sz="0" w:space="0" w:color="auto"/>
        <w:bottom w:val="none" w:sz="0" w:space="0" w:color="auto"/>
        <w:right w:val="none" w:sz="0" w:space="0" w:color="auto"/>
      </w:divBdr>
    </w:div>
    <w:div w:id="744036108">
      <w:marLeft w:val="0"/>
      <w:marRight w:val="0"/>
      <w:marTop w:val="0"/>
      <w:marBottom w:val="0"/>
      <w:divBdr>
        <w:top w:val="none" w:sz="0" w:space="0" w:color="auto"/>
        <w:left w:val="none" w:sz="0" w:space="0" w:color="auto"/>
        <w:bottom w:val="none" w:sz="0" w:space="0" w:color="auto"/>
        <w:right w:val="none" w:sz="0" w:space="0" w:color="auto"/>
      </w:divBdr>
    </w:div>
    <w:div w:id="744036109">
      <w:marLeft w:val="0"/>
      <w:marRight w:val="0"/>
      <w:marTop w:val="0"/>
      <w:marBottom w:val="0"/>
      <w:divBdr>
        <w:top w:val="none" w:sz="0" w:space="0" w:color="auto"/>
        <w:left w:val="none" w:sz="0" w:space="0" w:color="auto"/>
        <w:bottom w:val="none" w:sz="0" w:space="0" w:color="auto"/>
        <w:right w:val="none" w:sz="0" w:space="0" w:color="auto"/>
      </w:divBdr>
    </w:div>
    <w:div w:id="744036110">
      <w:marLeft w:val="0"/>
      <w:marRight w:val="0"/>
      <w:marTop w:val="0"/>
      <w:marBottom w:val="0"/>
      <w:divBdr>
        <w:top w:val="none" w:sz="0" w:space="0" w:color="auto"/>
        <w:left w:val="none" w:sz="0" w:space="0" w:color="auto"/>
        <w:bottom w:val="none" w:sz="0" w:space="0" w:color="auto"/>
        <w:right w:val="none" w:sz="0" w:space="0" w:color="auto"/>
      </w:divBdr>
      <w:divsChild>
        <w:div w:id="744036245">
          <w:marLeft w:val="0"/>
          <w:marRight w:val="0"/>
          <w:marTop w:val="0"/>
          <w:marBottom w:val="0"/>
          <w:divBdr>
            <w:top w:val="none" w:sz="0" w:space="0" w:color="auto"/>
            <w:left w:val="none" w:sz="0" w:space="0" w:color="auto"/>
            <w:bottom w:val="none" w:sz="0" w:space="0" w:color="auto"/>
            <w:right w:val="none" w:sz="0" w:space="0" w:color="auto"/>
          </w:divBdr>
        </w:div>
      </w:divsChild>
    </w:div>
    <w:div w:id="744036112">
      <w:marLeft w:val="0"/>
      <w:marRight w:val="0"/>
      <w:marTop w:val="0"/>
      <w:marBottom w:val="0"/>
      <w:divBdr>
        <w:top w:val="none" w:sz="0" w:space="0" w:color="auto"/>
        <w:left w:val="none" w:sz="0" w:space="0" w:color="auto"/>
        <w:bottom w:val="none" w:sz="0" w:space="0" w:color="auto"/>
        <w:right w:val="none" w:sz="0" w:space="0" w:color="auto"/>
      </w:divBdr>
    </w:div>
    <w:div w:id="744036114">
      <w:marLeft w:val="0"/>
      <w:marRight w:val="0"/>
      <w:marTop w:val="0"/>
      <w:marBottom w:val="0"/>
      <w:divBdr>
        <w:top w:val="none" w:sz="0" w:space="0" w:color="auto"/>
        <w:left w:val="none" w:sz="0" w:space="0" w:color="auto"/>
        <w:bottom w:val="none" w:sz="0" w:space="0" w:color="auto"/>
        <w:right w:val="none" w:sz="0" w:space="0" w:color="auto"/>
      </w:divBdr>
    </w:div>
    <w:div w:id="744036115">
      <w:marLeft w:val="0"/>
      <w:marRight w:val="0"/>
      <w:marTop w:val="0"/>
      <w:marBottom w:val="0"/>
      <w:divBdr>
        <w:top w:val="none" w:sz="0" w:space="0" w:color="auto"/>
        <w:left w:val="none" w:sz="0" w:space="0" w:color="auto"/>
        <w:bottom w:val="none" w:sz="0" w:space="0" w:color="auto"/>
        <w:right w:val="none" w:sz="0" w:space="0" w:color="auto"/>
      </w:divBdr>
    </w:div>
    <w:div w:id="744036116">
      <w:marLeft w:val="0"/>
      <w:marRight w:val="0"/>
      <w:marTop w:val="0"/>
      <w:marBottom w:val="0"/>
      <w:divBdr>
        <w:top w:val="none" w:sz="0" w:space="0" w:color="auto"/>
        <w:left w:val="none" w:sz="0" w:space="0" w:color="auto"/>
        <w:bottom w:val="none" w:sz="0" w:space="0" w:color="auto"/>
        <w:right w:val="none" w:sz="0" w:space="0" w:color="auto"/>
      </w:divBdr>
    </w:div>
    <w:div w:id="744036118">
      <w:marLeft w:val="0"/>
      <w:marRight w:val="0"/>
      <w:marTop w:val="0"/>
      <w:marBottom w:val="0"/>
      <w:divBdr>
        <w:top w:val="none" w:sz="0" w:space="0" w:color="auto"/>
        <w:left w:val="none" w:sz="0" w:space="0" w:color="auto"/>
        <w:bottom w:val="none" w:sz="0" w:space="0" w:color="auto"/>
        <w:right w:val="none" w:sz="0" w:space="0" w:color="auto"/>
      </w:divBdr>
      <w:divsChild>
        <w:div w:id="744035913">
          <w:marLeft w:val="0"/>
          <w:marRight w:val="0"/>
          <w:marTop w:val="0"/>
          <w:marBottom w:val="0"/>
          <w:divBdr>
            <w:top w:val="none" w:sz="0" w:space="0" w:color="auto"/>
            <w:left w:val="none" w:sz="0" w:space="0" w:color="auto"/>
            <w:bottom w:val="none" w:sz="0" w:space="0" w:color="auto"/>
            <w:right w:val="none" w:sz="0" w:space="0" w:color="auto"/>
          </w:divBdr>
          <w:divsChild>
            <w:div w:id="744035721">
              <w:marLeft w:val="-75"/>
              <w:marRight w:val="0"/>
              <w:marTop w:val="30"/>
              <w:marBottom w:val="30"/>
              <w:divBdr>
                <w:top w:val="none" w:sz="0" w:space="0" w:color="auto"/>
                <w:left w:val="none" w:sz="0" w:space="0" w:color="auto"/>
                <w:bottom w:val="none" w:sz="0" w:space="0" w:color="auto"/>
                <w:right w:val="none" w:sz="0" w:space="0" w:color="auto"/>
              </w:divBdr>
              <w:divsChild>
                <w:div w:id="744035712">
                  <w:marLeft w:val="0"/>
                  <w:marRight w:val="0"/>
                  <w:marTop w:val="0"/>
                  <w:marBottom w:val="0"/>
                  <w:divBdr>
                    <w:top w:val="none" w:sz="0" w:space="0" w:color="auto"/>
                    <w:left w:val="none" w:sz="0" w:space="0" w:color="auto"/>
                    <w:bottom w:val="none" w:sz="0" w:space="0" w:color="auto"/>
                    <w:right w:val="none" w:sz="0" w:space="0" w:color="auto"/>
                  </w:divBdr>
                  <w:divsChild>
                    <w:div w:id="744036251">
                      <w:marLeft w:val="0"/>
                      <w:marRight w:val="0"/>
                      <w:marTop w:val="0"/>
                      <w:marBottom w:val="0"/>
                      <w:divBdr>
                        <w:top w:val="none" w:sz="0" w:space="0" w:color="auto"/>
                        <w:left w:val="none" w:sz="0" w:space="0" w:color="auto"/>
                        <w:bottom w:val="none" w:sz="0" w:space="0" w:color="auto"/>
                        <w:right w:val="none" w:sz="0" w:space="0" w:color="auto"/>
                      </w:divBdr>
                    </w:div>
                  </w:divsChild>
                </w:div>
                <w:div w:id="744035717">
                  <w:marLeft w:val="0"/>
                  <w:marRight w:val="0"/>
                  <w:marTop w:val="0"/>
                  <w:marBottom w:val="0"/>
                  <w:divBdr>
                    <w:top w:val="none" w:sz="0" w:space="0" w:color="auto"/>
                    <w:left w:val="none" w:sz="0" w:space="0" w:color="auto"/>
                    <w:bottom w:val="none" w:sz="0" w:space="0" w:color="auto"/>
                    <w:right w:val="none" w:sz="0" w:space="0" w:color="auto"/>
                  </w:divBdr>
                  <w:divsChild>
                    <w:div w:id="744035808">
                      <w:marLeft w:val="0"/>
                      <w:marRight w:val="0"/>
                      <w:marTop w:val="0"/>
                      <w:marBottom w:val="0"/>
                      <w:divBdr>
                        <w:top w:val="none" w:sz="0" w:space="0" w:color="auto"/>
                        <w:left w:val="none" w:sz="0" w:space="0" w:color="auto"/>
                        <w:bottom w:val="none" w:sz="0" w:space="0" w:color="auto"/>
                        <w:right w:val="none" w:sz="0" w:space="0" w:color="auto"/>
                      </w:divBdr>
                    </w:div>
                  </w:divsChild>
                </w:div>
                <w:div w:id="744035718">
                  <w:marLeft w:val="0"/>
                  <w:marRight w:val="0"/>
                  <w:marTop w:val="0"/>
                  <w:marBottom w:val="0"/>
                  <w:divBdr>
                    <w:top w:val="none" w:sz="0" w:space="0" w:color="auto"/>
                    <w:left w:val="none" w:sz="0" w:space="0" w:color="auto"/>
                    <w:bottom w:val="none" w:sz="0" w:space="0" w:color="auto"/>
                    <w:right w:val="none" w:sz="0" w:space="0" w:color="auto"/>
                  </w:divBdr>
                  <w:divsChild>
                    <w:div w:id="744035697">
                      <w:marLeft w:val="0"/>
                      <w:marRight w:val="0"/>
                      <w:marTop w:val="0"/>
                      <w:marBottom w:val="0"/>
                      <w:divBdr>
                        <w:top w:val="none" w:sz="0" w:space="0" w:color="auto"/>
                        <w:left w:val="none" w:sz="0" w:space="0" w:color="auto"/>
                        <w:bottom w:val="none" w:sz="0" w:space="0" w:color="auto"/>
                        <w:right w:val="none" w:sz="0" w:space="0" w:color="auto"/>
                      </w:divBdr>
                    </w:div>
                  </w:divsChild>
                </w:div>
                <w:div w:id="744035723">
                  <w:marLeft w:val="0"/>
                  <w:marRight w:val="0"/>
                  <w:marTop w:val="0"/>
                  <w:marBottom w:val="0"/>
                  <w:divBdr>
                    <w:top w:val="none" w:sz="0" w:space="0" w:color="auto"/>
                    <w:left w:val="none" w:sz="0" w:space="0" w:color="auto"/>
                    <w:bottom w:val="none" w:sz="0" w:space="0" w:color="auto"/>
                    <w:right w:val="none" w:sz="0" w:space="0" w:color="auto"/>
                  </w:divBdr>
                  <w:divsChild>
                    <w:div w:id="744036154">
                      <w:marLeft w:val="0"/>
                      <w:marRight w:val="0"/>
                      <w:marTop w:val="0"/>
                      <w:marBottom w:val="0"/>
                      <w:divBdr>
                        <w:top w:val="none" w:sz="0" w:space="0" w:color="auto"/>
                        <w:left w:val="none" w:sz="0" w:space="0" w:color="auto"/>
                        <w:bottom w:val="none" w:sz="0" w:space="0" w:color="auto"/>
                        <w:right w:val="none" w:sz="0" w:space="0" w:color="auto"/>
                      </w:divBdr>
                    </w:div>
                  </w:divsChild>
                </w:div>
                <w:div w:id="744035727">
                  <w:marLeft w:val="0"/>
                  <w:marRight w:val="0"/>
                  <w:marTop w:val="0"/>
                  <w:marBottom w:val="0"/>
                  <w:divBdr>
                    <w:top w:val="none" w:sz="0" w:space="0" w:color="auto"/>
                    <w:left w:val="none" w:sz="0" w:space="0" w:color="auto"/>
                    <w:bottom w:val="none" w:sz="0" w:space="0" w:color="auto"/>
                    <w:right w:val="none" w:sz="0" w:space="0" w:color="auto"/>
                  </w:divBdr>
                  <w:divsChild>
                    <w:div w:id="744035781">
                      <w:marLeft w:val="0"/>
                      <w:marRight w:val="0"/>
                      <w:marTop w:val="0"/>
                      <w:marBottom w:val="0"/>
                      <w:divBdr>
                        <w:top w:val="none" w:sz="0" w:space="0" w:color="auto"/>
                        <w:left w:val="none" w:sz="0" w:space="0" w:color="auto"/>
                        <w:bottom w:val="none" w:sz="0" w:space="0" w:color="auto"/>
                        <w:right w:val="none" w:sz="0" w:space="0" w:color="auto"/>
                      </w:divBdr>
                    </w:div>
                  </w:divsChild>
                </w:div>
                <w:div w:id="744035728">
                  <w:marLeft w:val="0"/>
                  <w:marRight w:val="0"/>
                  <w:marTop w:val="0"/>
                  <w:marBottom w:val="0"/>
                  <w:divBdr>
                    <w:top w:val="none" w:sz="0" w:space="0" w:color="auto"/>
                    <w:left w:val="none" w:sz="0" w:space="0" w:color="auto"/>
                    <w:bottom w:val="none" w:sz="0" w:space="0" w:color="auto"/>
                    <w:right w:val="none" w:sz="0" w:space="0" w:color="auto"/>
                  </w:divBdr>
                  <w:divsChild>
                    <w:div w:id="744035998">
                      <w:marLeft w:val="0"/>
                      <w:marRight w:val="0"/>
                      <w:marTop w:val="0"/>
                      <w:marBottom w:val="0"/>
                      <w:divBdr>
                        <w:top w:val="none" w:sz="0" w:space="0" w:color="auto"/>
                        <w:left w:val="none" w:sz="0" w:space="0" w:color="auto"/>
                        <w:bottom w:val="none" w:sz="0" w:space="0" w:color="auto"/>
                        <w:right w:val="none" w:sz="0" w:space="0" w:color="auto"/>
                      </w:divBdr>
                    </w:div>
                  </w:divsChild>
                </w:div>
                <w:div w:id="744035742">
                  <w:marLeft w:val="0"/>
                  <w:marRight w:val="0"/>
                  <w:marTop w:val="0"/>
                  <w:marBottom w:val="0"/>
                  <w:divBdr>
                    <w:top w:val="none" w:sz="0" w:space="0" w:color="auto"/>
                    <w:left w:val="none" w:sz="0" w:space="0" w:color="auto"/>
                    <w:bottom w:val="none" w:sz="0" w:space="0" w:color="auto"/>
                    <w:right w:val="none" w:sz="0" w:space="0" w:color="auto"/>
                  </w:divBdr>
                  <w:divsChild>
                    <w:div w:id="744035942">
                      <w:marLeft w:val="0"/>
                      <w:marRight w:val="0"/>
                      <w:marTop w:val="0"/>
                      <w:marBottom w:val="0"/>
                      <w:divBdr>
                        <w:top w:val="none" w:sz="0" w:space="0" w:color="auto"/>
                        <w:left w:val="none" w:sz="0" w:space="0" w:color="auto"/>
                        <w:bottom w:val="none" w:sz="0" w:space="0" w:color="auto"/>
                        <w:right w:val="none" w:sz="0" w:space="0" w:color="auto"/>
                      </w:divBdr>
                    </w:div>
                  </w:divsChild>
                </w:div>
                <w:div w:id="744035747">
                  <w:marLeft w:val="0"/>
                  <w:marRight w:val="0"/>
                  <w:marTop w:val="0"/>
                  <w:marBottom w:val="0"/>
                  <w:divBdr>
                    <w:top w:val="none" w:sz="0" w:space="0" w:color="auto"/>
                    <w:left w:val="none" w:sz="0" w:space="0" w:color="auto"/>
                    <w:bottom w:val="none" w:sz="0" w:space="0" w:color="auto"/>
                    <w:right w:val="none" w:sz="0" w:space="0" w:color="auto"/>
                  </w:divBdr>
                  <w:divsChild>
                    <w:div w:id="744035902">
                      <w:marLeft w:val="0"/>
                      <w:marRight w:val="0"/>
                      <w:marTop w:val="0"/>
                      <w:marBottom w:val="0"/>
                      <w:divBdr>
                        <w:top w:val="none" w:sz="0" w:space="0" w:color="auto"/>
                        <w:left w:val="none" w:sz="0" w:space="0" w:color="auto"/>
                        <w:bottom w:val="none" w:sz="0" w:space="0" w:color="auto"/>
                        <w:right w:val="none" w:sz="0" w:space="0" w:color="auto"/>
                      </w:divBdr>
                    </w:div>
                  </w:divsChild>
                </w:div>
                <w:div w:id="744035750">
                  <w:marLeft w:val="0"/>
                  <w:marRight w:val="0"/>
                  <w:marTop w:val="0"/>
                  <w:marBottom w:val="0"/>
                  <w:divBdr>
                    <w:top w:val="none" w:sz="0" w:space="0" w:color="auto"/>
                    <w:left w:val="none" w:sz="0" w:space="0" w:color="auto"/>
                    <w:bottom w:val="none" w:sz="0" w:space="0" w:color="auto"/>
                    <w:right w:val="none" w:sz="0" w:space="0" w:color="auto"/>
                  </w:divBdr>
                  <w:divsChild>
                    <w:div w:id="744035922">
                      <w:marLeft w:val="0"/>
                      <w:marRight w:val="0"/>
                      <w:marTop w:val="0"/>
                      <w:marBottom w:val="0"/>
                      <w:divBdr>
                        <w:top w:val="none" w:sz="0" w:space="0" w:color="auto"/>
                        <w:left w:val="none" w:sz="0" w:space="0" w:color="auto"/>
                        <w:bottom w:val="none" w:sz="0" w:space="0" w:color="auto"/>
                        <w:right w:val="none" w:sz="0" w:space="0" w:color="auto"/>
                      </w:divBdr>
                    </w:div>
                  </w:divsChild>
                </w:div>
                <w:div w:id="744035765">
                  <w:marLeft w:val="0"/>
                  <w:marRight w:val="0"/>
                  <w:marTop w:val="0"/>
                  <w:marBottom w:val="0"/>
                  <w:divBdr>
                    <w:top w:val="none" w:sz="0" w:space="0" w:color="auto"/>
                    <w:left w:val="none" w:sz="0" w:space="0" w:color="auto"/>
                    <w:bottom w:val="none" w:sz="0" w:space="0" w:color="auto"/>
                    <w:right w:val="none" w:sz="0" w:space="0" w:color="auto"/>
                  </w:divBdr>
                  <w:divsChild>
                    <w:div w:id="744036061">
                      <w:marLeft w:val="0"/>
                      <w:marRight w:val="0"/>
                      <w:marTop w:val="0"/>
                      <w:marBottom w:val="0"/>
                      <w:divBdr>
                        <w:top w:val="none" w:sz="0" w:space="0" w:color="auto"/>
                        <w:left w:val="none" w:sz="0" w:space="0" w:color="auto"/>
                        <w:bottom w:val="none" w:sz="0" w:space="0" w:color="auto"/>
                        <w:right w:val="none" w:sz="0" w:space="0" w:color="auto"/>
                      </w:divBdr>
                    </w:div>
                  </w:divsChild>
                </w:div>
                <w:div w:id="744035787">
                  <w:marLeft w:val="0"/>
                  <w:marRight w:val="0"/>
                  <w:marTop w:val="0"/>
                  <w:marBottom w:val="0"/>
                  <w:divBdr>
                    <w:top w:val="none" w:sz="0" w:space="0" w:color="auto"/>
                    <w:left w:val="none" w:sz="0" w:space="0" w:color="auto"/>
                    <w:bottom w:val="none" w:sz="0" w:space="0" w:color="auto"/>
                    <w:right w:val="none" w:sz="0" w:space="0" w:color="auto"/>
                  </w:divBdr>
                  <w:divsChild>
                    <w:div w:id="744036249">
                      <w:marLeft w:val="0"/>
                      <w:marRight w:val="0"/>
                      <w:marTop w:val="0"/>
                      <w:marBottom w:val="0"/>
                      <w:divBdr>
                        <w:top w:val="none" w:sz="0" w:space="0" w:color="auto"/>
                        <w:left w:val="none" w:sz="0" w:space="0" w:color="auto"/>
                        <w:bottom w:val="none" w:sz="0" w:space="0" w:color="auto"/>
                        <w:right w:val="none" w:sz="0" w:space="0" w:color="auto"/>
                      </w:divBdr>
                    </w:div>
                  </w:divsChild>
                </w:div>
                <w:div w:id="744035801">
                  <w:marLeft w:val="0"/>
                  <w:marRight w:val="0"/>
                  <w:marTop w:val="0"/>
                  <w:marBottom w:val="0"/>
                  <w:divBdr>
                    <w:top w:val="none" w:sz="0" w:space="0" w:color="auto"/>
                    <w:left w:val="none" w:sz="0" w:space="0" w:color="auto"/>
                    <w:bottom w:val="none" w:sz="0" w:space="0" w:color="auto"/>
                    <w:right w:val="none" w:sz="0" w:space="0" w:color="auto"/>
                  </w:divBdr>
                  <w:divsChild>
                    <w:div w:id="744035776">
                      <w:marLeft w:val="0"/>
                      <w:marRight w:val="0"/>
                      <w:marTop w:val="0"/>
                      <w:marBottom w:val="0"/>
                      <w:divBdr>
                        <w:top w:val="none" w:sz="0" w:space="0" w:color="auto"/>
                        <w:left w:val="none" w:sz="0" w:space="0" w:color="auto"/>
                        <w:bottom w:val="none" w:sz="0" w:space="0" w:color="auto"/>
                        <w:right w:val="none" w:sz="0" w:space="0" w:color="auto"/>
                      </w:divBdr>
                    </w:div>
                  </w:divsChild>
                </w:div>
                <w:div w:id="744035805">
                  <w:marLeft w:val="0"/>
                  <w:marRight w:val="0"/>
                  <w:marTop w:val="0"/>
                  <w:marBottom w:val="0"/>
                  <w:divBdr>
                    <w:top w:val="none" w:sz="0" w:space="0" w:color="auto"/>
                    <w:left w:val="none" w:sz="0" w:space="0" w:color="auto"/>
                    <w:bottom w:val="none" w:sz="0" w:space="0" w:color="auto"/>
                    <w:right w:val="none" w:sz="0" w:space="0" w:color="auto"/>
                  </w:divBdr>
                  <w:divsChild>
                    <w:div w:id="744035929">
                      <w:marLeft w:val="0"/>
                      <w:marRight w:val="0"/>
                      <w:marTop w:val="0"/>
                      <w:marBottom w:val="0"/>
                      <w:divBdr>
                        <w:top w:val="none" w:sz="0" w:space="0" w:color="auto"/>
                        <w:left w:val="none" w:sz="0" w:space="0" w:color="auto"/>
                        <w:bottom w:val="none" w:sz="0" w:space="0" w:color="auto"/>
                        <w:right w:val="none" w:sz="0" w:space="0" w:color="auto"/>
                      </w:divBdr>
                    </w:div>
                  </w:divsChild>
                </w:div>
                <w:div w:id="744035814">
                  <w:marLeft w:val="0"/>
                  <w:marRight w:val="0"/>
                  <w:marTop w:val="0"/>
                  <w:marBottom w:val="0"/>
                  <w:divBdr>
                    <w:top w:val="none" w:sz="0" w:space="0" w:color="auto"/>
                    <w:left w:val="none" w:sz="0" w:space="0" w:color="auto"/>
                    <w:bottom w:val="none" w:sz="0" w:space="0" w:color="auto"/>
                    <w:right w:val="none" w:sz="0" w:space="0" w:color="auto"/>
                  </w:divBdr>
                  <w:divsChild>
                    <w:div w:id="744036293">
                      <w:marLeft w:val="0"/>
                      <w:marRight w:val="0"/>
                      <w:marTop w:val="0"/>
                      <w:marBottom w:val="0"/>
                      <w:divBdr>
                        <w:top w:val="none" w:sz="0" w:space="0" w:color="auto"/>
                        <w:left w:val="none" w:sz="0" w:space="0" w:color="auto"/>
                        <w:bottom w:val="none" w:sz="0" w:space="0" w:color="auto"/>
                        <w:right w:val="none" w:sz="0" w:space="0" w:color="auto"/>
                      </w:divBdr>
                    </w:div>
                  </w:divsChild>
                </w:div>
                <w:div w:id="744035833">
                  <w:marLeft w:val="0"/>
                  <w:marRight w:val="0"/>
                  <w:marTop w:val="0"/>
                  <w:marBottom w:val="0"/>
                  <w:divBdr>
                    <w:top w:val="none" w:sz="0" w:space="0" w:color="auto"/>
                    <w:left w:val="none" w:sz="0" w:space="0" w:color="auto"/>
                    <w:bottom w:val="none" w:sz="0" w:space="0" w:color="auto"/>
                    <w:right w:val="none" w:sz="0" w:space="0" w:color="auto"/>
                  </w:divBdr>
                  <w:divsChild>
                    <w:div w:id="744035847">
                      <w:marLeft w:val="0"/>
                      <w:marRight w:val="0"/>
                      <w:marTop w:val="0"/>
                      <w:marBottom w:val="0"/>
                      <w:divBdr>
                        <w:top w:val="none" w:sz="0" w:space="0" w:color="auto"/>
                        <w:left w:val="none" w:sz="0" w:space="0" w:color="auto"/>
                        <w:bottom w:val="none" w:sz="0" w:space="0" w:color="auto"/>
                        <w:right w:val="none" w:sz="0" w:space="0" w:color="auto"/>
                      </w:divBdr>
                    </w:div>
                  </w:divsChild>
                </w:div>
                <w:div w:id="744035834">
                  <w:marLeft w:val="0"/>
                  <w:marRight w:val="0"/>
                  <w:marTop w:val="0"/>
                  <w:marBottom w:val="0"/>
                  <w:divBdr>
                    <w:top w:val="none" w:sz="0" w:space="0" w:color="auto"/>
                    <w:left w:val="none" w:sz="0" w:space="0" w:color="auto"/>
                    <w:bottom w:val="none" w:sz="0" w:space="0" w:color="auto"/>
                    <w:right w:val="none" w:sz="0" w:space="0" w:color="auto"/>
                  </w:divBdr>
                  <w:divsChild>
                    <w:div w:id="744036025">
                      <w:marLeft w:val="0"/>
                      <w:marRight w:val="0"/>
                      <w:marTop w:val="0"/>
                      <w:marBottom w:val="0"/>
                      <w:divBdr>
                        <w:top w:val="none" w:sz="0" w:space="0" w:color="auto"/>
                        <w:left w:val="none" w:sz="0" w:space="0" w:color="auto"/>
                        <w:bottom w:val="none" w:sz="0" w:space="0" w:color="auto"/>
                        <w:right w:val="none" w:sz="0" w:space="0" w:color="auto"/>
                      </w:divBdr>
                    </w:div>
                  </w:divsChild>
                </w:div>
                <w:div w:id="744035840">
                  <w:marLeft w:val="0"/>
                  <w:marRight w:val="0"/>
                  <w:marTop w:val="0"/>
                  <w:marBottom w:val="0"/>
                  <w:divBdr>
                    <w:top w:val="none" w:sz="0" w:space="0" w:color="auto"/>
                    <w:left w:val="none" w:sz="0" w:space="0" w:color="auto"/>
                    <w:bottom w:val="none" w:sz="0" w:space="0" w:color="auto"/>
                    <w:right w:val="none" w:sz="0" w:space="0" w:color="auto"/>
                  </w:divBdr>
                  <w:divsChild>
                    <w:div w:id="744035737">
                      <w:marLeft w:val="0"/>
                      <w:marRight w:val="0"/>
                      <w:marTop w:val="0"/>
                      <w:marBottom w:val="0"/>
                      <w:divBdr>
                        <w:top w:val="none" w:sz="0" w:space="0" w:color="auto"/>
                        <w:left w:val="none" w:sz="0" w:space="0" w:color="auto"/>
                        <w:bottom w:val="none" w:sz="0" w:space="0" w:color="auto"/>
                        <w:right w:val="none" w:sz="0" w:space="0" w:color="auto"/>
                      </w:divBdr>
                    </w:div>
                  </w:divsChild>
                </w:div>
                <w:div w:id="744035850">
                  <w:marLeft w:val="0"/>
                  <w:marRight w:val="0"/>
                  <w:marTop w:val="0"/>
                  <w:marBottom w:val="0"/>
                  <w:divBdr>
                    <w:top w:val="none" w:sz="0" w:space="0" w:color="auto"/>
                    <w:left w:val="none" w:sz="0" w:space="0" w:color="auto"/>
                    <w:bottom w:val="none" w:sz="0" w:space="0" w:color="auto"/>
                    <w:right w:val="none" w:sz="0" w:space="0" w:color="auto"/>
                  </w:divBdr>
                  <w:divsChild>
                    <w:div w:id="744036018">
                      <w:marLeft w:val="0"/>
                      <w:marRight w:val="0"/>
                      <w:marTop w:val="0"/>
                      <w:marBottom w:val="0"/>
                      <w:divBdr>
                        <w:top w:val="none" w:sz="0" w:space="0" w:color="auto"/>
                        <w:left w:val="none" w:sz="0" w:space="0" w:color="auto"/>
                        <w:bottom w:val="none" w:sz="0" w:space="0" w:color="auto"/>
                        <w:right w:val="none" w:sz="0" w:space="0" w:color="auto"/>
                      </w:divBdr>
                    </w:div>
                  </w:divsChild>
                </w:div>
                <w:div w:id="744035852">
                  <w:marLeft w:val="0"/>
                  <w:marRight w:val="0"/>
                  <w:marTop w:val="0"/>
                  <w:marBottom w:val="0"/>
                  <w:divBdr>
                    <w:top w:val="none" w:sz="0" w:space="0" w:color="auto"/>
                    <w:left w:val="none" w:sz="0" w:space="0" w:color="auto"/>
                    <w:bottom w:val="none" w:sz="0" w:space="0" w:color="auto"/>
                    <w:right w:val="none" w:sz="0" w:space="0" w:color="auto"/>
                  </w:divBdr>
                  <w:divsChild>
                    <w:div w:id="744036240">
                      <w:marLeft w:val="0"/>
                      <w:marRight w:val="0"/>
                      <w:marTop w:val="0"/>
                      <w:marBottom w:val="0"/>
                      <w:divBdr>
                        <w:top w:val="none" w:sz="0" w:space="0" w:color="auto"/>
                        <w:left w:val="none" w:sz="0" w:space="0" w:color="auto"/>
                        <w:bottom w:val="none" w:sz="0" w:space="0" w:color="auto"/>
                        <w:right w:val="none" w:sz="0" w:space="0" w:color="auto"/>
                      </w:divBdr>
                    </w:div>
                  </w:divsChild>
                </w:div>
                <w:div w:id="744035859">
                  <w:marLeft w:val="0"/>
                  <w:marRight w:val="0"/>
                  <w:marTop w:val="0"/>
                  <w:marBottom w:val="0"/>
                  <w:divBdr>
                    <w:top w:val="none" w:sz="0" w:space="0" w:color="auto"/>
                    <w:left w:val="none" w:sz="0" w:space="0" w:color="auto"/>
                    <w:bottom w:val="none" w:sz="0" w:space="0" w:color="auto"/>
                    <w:right w:val="none" w:sz="0" w:space="0" w:color="auto"/>
                  </w:divBdr>
                  <w:divsChild>
                    <w:div w:id="744035893">
                      <w:marLeft w:val="0"/>
                      <w:marRight w:val="0"/>
                      <w:marTop w:val="0"/>
                      <w:marBottom w:val="0"/>
                      <w:divBdr>
                        <w:top w:val="none" w:sz="0" w:space="0" w:color="auto"/>
                        <w:left w:val="none" w:sz="0" w:space="0" w:color="auto"/>
                        <w:bottom w:val="none" w:sz="0" w:space="0" w:color="auto"/>
                        <w:right w:val="none" w:sz="0" w:space="0" w:color="auto"/>
                      </w:divBdr>
                    </w:div>
                  </w:divsChild>
                </w:div>
                <w:div w:id="744035860">
                  <w:marLeft w:val="0"/>
                  <w:marRight w:val="0"/>
                  <w:marTop w:val="0"/>
                  <w:marBottom w:val="0"/>
                  <w:divBdr>
                    <w:top w:val="none" w:sz="0" w:space="0" w:color="auto"/>
                    <w:left w:val="none" w:sz="0" w:space="0" w:color="auto"/>
                    <w:bottom w:val="none" w:sz="0" w:space="0" w:color="auto"/>
                    <w:right w:val="none" w:sz="0" w:space="0" w:color="auto"/>
                  </w:divBdr>
                  <w:divsChild>
                    <w:div w:id="744035784">
                      <w:marLeft w:val="0"/>
                      <w:marRight w:val="0"/>
                      <w:marTop w:val="0"/>
                      <w:marBottom w:val="0"/>
                      <w:divBdr>
                        <w:top w:val="none" w:sz="0" w:space="0" w:color="auto"/>
                        <w:left w:val="none" w:sz="0" w:space="0" w:color="auto"/>
                        <w:bottom w:val="none" w:sz="0" w:space="0" w:color="auto"/>
                        <w:right w:val="none" w:sz="0" w:space="0" w:color="auto"/>
                      </w:divBdr>
                    </w:div>
                  </w:divsChild>
                </w:div>
                <w:div w:id="744035868">
                  <w:marLeft w:val="0"/>
                  <w:marRight w:val="0"/>
                  <w:marTop w:val="0"/>
                  <w:marBottom w:val="0"/>
                  <w:divBdr>
                    <w:top w:val="none" w:sz="0" w:space="0" w:color="auto"/>
                    <w:left w:val="none" w:sz="0" w:space="0" w:color="auto"/>
                    <w:bottom w:val="none" w:sz="0" w:space="0" w:color="auto"/>
                    <w:right w:val="none" w:sz="0" w:space="0" w:color="auto"/>
                  </w:divBdr>
                  <w:divsChild>
                    <w:div w:id="744035944">
                      <w:marLeft w:val="0"/>
                      <w:marRight w:val="0"/>
                      <w:marTop w:val="0"/>
                      <w:marBottom w:val="0"/>
                      <w:divBdr>
                        <w:top w:val="none" w:sz="0" w:space="0" w:color="auto"/>
                        <w:left w:val="none" w:sz="0" w:space="0" w:color="auto"/>
                        <w:bottom w:val="none" w:sz="0" w:space="0" w:color="auto"/>
                        <w:right w:val="none" w:sz="0" w:space="0" w:color="auto"/>
                      </w:divBdr>
                    </w:div>
                  </w:divsChild>
                </w:div>
                <w:div w:id="744035879">
                  <w:marLeft w:val="0"/>
                  <w:marRight w:val="0"/>
                  <w:marTop w:val="0"/>
                  <w:marBottom w:val="0"/>
                  <w:divBdr>
                    <w:top w:val="none" w:sz="0" w:space="0" w:color="auto"/>
                    <w:left w:val="none" w:sz="0" w:space="0" w:color="auto"/>
                    <w:bottom w:val="none" w:sz="0" w:space="0" w:color="auto"/>
                    <w:right w:val="none" w:sz="0" w:space="0" w:color="auto"/>
                  </w:divBdr>
                  <w:divsChild>
                    <w:div w:id="744036211">
                      <w:marLeft w:val="0"/>
                      <w:marRight w:val="0"/>
                      <w:marTop w:val="0"/>
                      <w:marBottom w:val="0"/>
                      <w:divBdr>
                        <w:top w:val="none" w:sz="0" w:space="0" w:color="auto"/>
                        <w:left w:val="none" w:sz="0" w:space="0" w:color="auto"/>
                        <w:bottom w:val="none" w:sz="0" w:space="0" w:color="auto"/>
                        <w:right w:val="none" w:sz="0" w:space="0" w:color="auto"/>
                      </w:divBdr>
                    </w:div>
                  </w:divsChild>
                </w:div>
                <w:div w:id="744035881">
                  <w:marLeft w:val="0"/>
                  <w:marRight w:val="0"/>
                  <w:marTop w:val="0"/>
                  <w:marBottom w:val="0"/>
                  <w:divBdr>
                    <w:top w:val="none" w:sz="0" w:space="0" w:color="auto"/>
                    <w:left w:val="none" w:sz="0" w:space="0" w:color="auto"/>
                    <w:bottom w:val="none" w:sz="0" w:space="0" w:color="auto"/>
                    <w:right w:val="none" w:sz="0" w:space="0" w:color="auto"/>
                  </w:divBdr>
                  <w:divsChild>
                    <w:div w:id="744036054">
                      <w:marLeft w:val="0"/>
                      <w:marRight w:val="0"/>
                      <w:marTop w:val="0"/>
                      <w:marBottom w:val="0"/>
                      <w:divBdr>
                        <w:top w:val="none" w:sz="0" w:space="0" w:color="auto"/>
                        <w:left w:val="none" w:sz="0" w:space="0" w:color="auto"/>
                        <w:bottom w:val="none" w:sz="0" w:space="0" w:color="auto"/>
                        <w:right w:val="none" w:sz="0" w:space="0" w:color="auto"/>
                      </w:divBdr>
                    </w:div>
                  </w:divsChild>
                </w:div>
                <w:div w:id="744035891">
                  <w:marLeft w:val="0"/>
                  <w:marRight w:val="0"/>
                  <w:marTop w:val="0"/>
                  <w:marBottom w:val="0"/>
                  <w:divBdr>
                    <w:top w:val="none" w:sz="0" w:space="0" w:color="auto"/>
                    <w:left w:val="none" w:sz="0" w:space="0" w:color="auto"/>
                    <w:bottom w:val="none" w:sz="0" w:space="0" w:color="auto"/>
                    <w:right w:val="none" w:sz="0" w:space="0" w:color="auto"/>
                  </w:divBdr>
                  <w:divsChild>
                    <w:div w:id="744035994">
                      <w:marLeft w:val="0"/>
                      <w:marRight w:val="0"/>
                      <w:marTop w:val="0"/>
                      <w:marBottom w:val="0"/>
                      <w:divBdr>
                        <w:top w:val="none" w:sz="0" w:space="0" w:color="auto"/>
                        <w:left w:val="none" w:sz="0" w:space="0" w:color="auto"/>
                        <w:bottom w:val="none" w:sz="0" w:space="0" w:color="auto"/>
                        <w:right w:val="none" w:sz="0" w:space="0" w:color="auto"/>
                      </w:divBdr>
                    </w:div>
                  </w:divsChild>
                </w:div>
                <w:div w:id="744035904">
                  <w:marLeft w:val="0"/>
                  <w:marRight w:val="0"/>
                  <w:marTop w:val="0"/>
                  <w:marBottom w:val="0"/>
                  <w:divBdr>
                    <w:top w:val="none" w:sz="0" w:space="0" w:color="auto"/>
                    <w:left w:val="none" w:sz="0" w:space="0" w:color="auto"/>
                    <w:bottom w:val="none" w:sz="0" w:space="0" w:color="auto"/>
                    <w:right w:val="none" w:sz="0" w:space="0" w:color="auto"/>
                  </w:divBdr>
                  <w:divsChild>
                    <w:div w:id="744036357">
                      <w:marLeft w:val="0"/>
                      <w:marRight w:val="0"/>
                      <w:marTop w:val="0"/>
                      <w:marBottom w:val="0"/>
                      <w:divBdr>
                        <w:top w:val="none" w:sz="0" w:space="0" w:color="auto"/>
                        <w:left w:val="none" w:sz="0" w:space="0" w:color="auto"/>
                        <w:bottom w:val="none" w:sz="0" w:space="0" w:color="auto"/>
                        <w:right w:val="none" w:sz="0" w:space="0" w:color="auto"/>
                      </w:divBdr>
                    </w:div>
                  </w:divsChild>
                </w:div>
                <w:div w:id="744035905">
                  <w:marLeft w:val="0"/>
                  <w:marRight w:val="0"/>
                  <w:marTop w:val="0"/>
                  <w:marBottom w:val="0"/>
                  <w:divBdr>
                    <w:top w:val="none" w:sz="0" w:space="0" w:color="auto"/>
                    <w:left w:val="none" w:sz="0" w:space="0" w:color="auto"/>
                    <w:bottom w:val="none" w:sz="0" w:space="0" w:color="auto"/>
                    <w:right w:val="none" w:sz="0" w:space="0" w:color="auto"/>
                  </w:divBdr>
                  <w:divsChild>
                    <w:div w:id="744036233">
                      <w:marLeft w:val="0"/>
                      <w:marRight w:val="0"/>
                      <w:marTop w:val="0"/>
                      <w:marBottom w:val="0"/>
                      <w:divBdr>
                        <w:top w:val="none" w:sz="0" w:space="0" w:color="auto"/>
                        <w:left w:val="none" w:sz="0" w:space="0" w:color="auto"/>
                        <w:bottom w:val="none" w:sz="0" w:space="0" w:color="auto"/>
                        <w:right w:val="none" w:sz="0" w:space="0" w:color="auto"/>
                      </w:divBdr>
                    </w:div>
                  </w:divsChild>
                </w:div>
                <w:div w:id="744035914">
                  <w:marLeft w:val="0"/>
                  <w:marRight w:val="0"/>
                  <w:marTop w:val="0"/>
                  <w:marBottom w:val="0"/>
                  <w:divBdr>
                    <w:top w:val="none" w:sz="0" w:space="0" w:color="auto"/>
                    <w:left w:val="none" w:sz="0" w:space="0" w:color="auto"/>
                    <w:bottom w:val="none" w:sz="0" w:space="0" w:color="auto"/>
                    <w:right w:val="none" w:sz="0" w:space="0" w:color="auto"/>
                  </w:divBdr>
                  <w:divsChild>
                    <w:div w:id="744036111">
                      <w:marLeft w:val="0"/>
                      <w:marRight w:val="0"/>
                      <w:marTop w:val="0"/>
                      <w:marBottom w:val="0"/>
                      <w:divBdr>
                        <w:top w:val="none" w:sz="0" w:space="0" w:color="auto"/>
                        <w:left w:val="none" w:sz="0" w:space="0" w:color="auto"/>
                        <w:bottom w:val="none" w:sz="0" w:space="0" w:color="auto"/>
                        <w:right w:val="none" w:sz="0" w:space="0" w:color="auto"/>
                      </w:divBdr>
                    </w:div>
                  </w:divsChild>
                </w:div>
                <w:div w:id="744035919">
                  <w:marLeft w:val="0"/>
                  <w:marRight w:val="0"/>
                  <w:marTop w:val="0"/>
                  <w:marBottom w:val="0"/>
                  <w:divBdr>
                    <w:top w:val="none" w:sz="0" w:space="0" w:color="auto"/>
                    <w:left w:val="none" w:sz="0" w:space="0" w:color="auto"/>
                    <w:bottom w:val="none" w:sz="0" w:space="0" w:color="auto"/>
                    <w:right w:val="none" w:sz="0" w:space="0" w:color="auto"/>
                  </w:divBdr>
                  <w:divsChild>
                    <w:div w:id="744036201">
                      <w:marLeft w:val="0"/>
                      <w:marRight w:val="0"/>
                      <w:marTop w:val="0"/>
                      <w:marBottom w:val="0"/>
                      <w:divBdr>
                        <w:top w:val="none" w:sz="0" w:space="0" w:color="auto"/>
                        <w:left w:val="none" w:sz="0" w:space="0" w:color="auto"/>
                        <w:bottom w:val="none" w:sz="0" w:space="0" w:color="auto"/>
                        <w:right w:val="none" w:sz="0" w:space="0" w:color="auto"/>
                      </w:divBdr>
                    </w:div>
                  </w:divsChild>
                </w:div>
                <w:div w:id="744035926">
                  <w:marLeft w:val="0"/>
                  <w:marRight w:val="0"/>
                  <w:marTop w:val="0"/>
                  <w:marBottom w:val="0"/>
                  <w:divBdr>
                    <w:top w:val="none" w:sz="0" w:space="0" w:color="auto"/>
                    <w:left w:val="none" w:sz="0" w:space="0" w:color="auto"/>
                    <w:bottom w:val="none" w:sz="0" w:space="0" w:color="auto"/>
                    <w:right w:val="none" w:sz="0" w:space="0" w:color="auto"/>
                  </w:divBdr>
                  <w:divsChild>
                    <w:div w:id="744035753">
                      <w:marLeft w:val="0"/>
                      <w:marRight w:val="0"/>
                      <w:marTop w:val="0"/>
                      <w:marBottom w:val="0"/>
                      <w:divBdr>
                        <w:top w:val="none" w:sz="0" w:space="0" w:color="auto"/>
                        <w:left w:val="none" w:sz="0" w:space="0" w:color="auto"/>
                        <w:bottom w:val="none" w:sz="0" w:space="0" w:color="auto"/>
                        <w:right w:val="none" w:sz="0" w:space="0" w:color="auto"/>
                      </w:divBdr>
                    </w:div>
                  </w:divsChild>
                </w:div>
                <w:div w:id="744035927">
                  <w:marLeft w:val="0"/>
                  <w:marRight w:val="0"/>
                  <w:marTop w:val="0"/>
                  <w:marBottom w:val="0"/>
                  <w:divBdr>
                    <w:top w:val="none" w:sz="0" w:space="0" w:color="auto"/>
                    <w:left w:val="none" w:sz="0" w:space="0" w:color="auto"/>
                    <w:bottom w:val="none" w:sz="0" w:space="0" w:color="auto"/>
                    <w:right w:val="none" w:sz="0" w:space="0" w:color="auto"/>
                  </w:divBdr>
                  <w:divsChild>
                    <w:div w:id="744036265">
                      <w:marLeft w:val="0"/>
                      <w:marRight w:val="0"/>
                      <w:marTop w:val="0"/>
                      <w:marBottom w:val="0"/>
                      <w:divBdr>
                        <w:top w:val="none" w:sz="0" w:space="0" w:color="auto"/>
                        <w:left w:val="none" w:sz="0" w:space="0" w:color="auto"/>
                        <w:bottom w:val="none" w:sz="0" w:space="0" w:color="auto"/>
                        <w:right w:val="none" w:sz="0" w:space="0" w:color="auto"/>
                      </w:divBdr>
                    </w:div>
                  </w:divsChild>
                </w:div>
                <w:div w:id="744035930">
                  <w:marLeft w:val="0"/>
                  <w:marRight w:val="0"/>
                  <w:marTop w:val="0"/>
                  <w:marBottom w:val="0"/>
                  <w:divBdr>
                    <w:top w:val="none" w:sz="0" w:space="0" w:color="auto"/>
                    <w:left w:val="none" w:sz="0" w:space="0" w:color="auto"/>
                    <w:bottom w:val="none" w:sz="0" w:space="0" w:color="auto"/>
                    <w:right w:val="none" w:sz="0" w:space="0" w:color="auto"/>
                  </w:divBdr>
                  <w:divsChild>
                    <w:div w:id="744036094">
                      <w:marLeft w:val="0"/>
                      <w:marRight w:val="0"/>
                      <w:marTop w:val="0"/>
                      <w:marBottom w:val="0"/>
                      <w:divBdr>
                        <w:top w:val="none" w:sz="0" w:space="0" w:color="auto"/>
                        <w:left w:val="none" w:sz="0" w:space="0" w:color="auto"/>
                        <w:bottom w:val="none" w:sz="0" w:space="0" w:color="auto"/>
                        <w:right w:val="none" w:sz="0" w:space="0" w:color="auto"/>
                      </w:divBdr>
                    </w:div>
                  </w:divsChild>
                </w:div>
                <w:div w:id="744035933">
                  <w:marLeft w:val="0"/>
                  <w:marRight w:val="0"/>
                  <w:marTop w:val="0"/>
                  <w:marBottom w:val="0"/>
                  <w:divBdr>
                    <w:top w:val="none" w:sz="0" w:space="0" w:color="auto"/>
                    <w:left w:val="none" w:sz="0" w:space="0" w:color="auto"/>
                    <w:bottom w:val="none" w:sz="0" w:space="0" w:color="auto"/>
                    <w:right w:val="none" w:sz="0" w:space="0" w:color="auto"/>
                  </w:divBdr>
                  <w:divsChild>
                    <w:div w:id="744035872">
                      <w:marLeft w:val="0"/>
                      <w:marRight w:val="0"/>
                      <w:marTop w:val="0"/>
                      <w:marBottom w:val="0"/>
                      <w:divBdr>
                        <w:top w:val="none" w:sz="0" w:space="0" w:color="auto"/>
                        <w:left w:val="none" w:sz="0" w:space="0" w:color="auto"/>
                        <w:bottom w:val="none" w:sz="0" w:space="0" w:color="auto"/>
                        <w:right w:val="none" w:sz="0" w:space="0" w:color="auto"/>
                      </w:divBdr>
                    </w:div>
                  </w:divsChild>
                </w:div>
                <w:div w:id="744035937">
                  <w:marLeft w:val="0"/>
                  <w:marRight w:val="0"/>
                  <w:marTop w:val="0"/>
                  <w:marBottom w:val="0"/>
                  <w:divBdr>
                    <w:top w:val="none" w:sz="0" w:space="0" w:color="auto"/>
                    <w:left w:val="none" w:sz="0" w:space="0" w:color="auto"/>
                    <w:bottom w:val="none" w:sz="0" w:space="0" w:color="auto"/>
                    <w:right w:val="none" w:sz="0" w:space="0" w:color="auto"/>
                  </w:divBdr>
                  <w:divsChild>
                    <w:div w:id="744035735">
                      <w:marLeft w:val="0"/>
                      <w:marRight w:val="0"/>
                      <w:marTop w:val="0"/>
                      <w:marBottom w:val="0"/>
                      <w:divBdr>
                        <w:top w:val="none" w:sz="0" w:space="0" w:color="auto"/>
                        <w:left w:val="none" w:sz="0" w:space="0" w:color="auto"/>
                        <w:bottom w:val="none" w:sz="0" w:space="0" w:color="auto"/>
                        <w:right w:val="none" w:sz="0" w:space="0" w:color="auto"/>
                      </w:divBdr>
                    </w:div>
                  </w:divsChild>
                </w:div>
                <w:div w:id="744035940">
                  <w:marLeft w:val="0"/>
                  <w:marRight w:val="0"/>
                  <w:marTop w:val="0"/>
                  <w:marBottom w:val="0"/>
                  <w:divBdr>
                    <w:top w:val="none" w:sz="0" w:space="0" w:color="auto"/>
                    <w:left w:val="none" w:sz="0" w:space="0" w:color="auto"/>
                    <w:bottom w:val="none" w:sz="0" w:space="0" w:color="auto"/>
                    <w:right w:val="none" w:sz="0" w:space="0" w:color="auto"/>
                  </w:divBdr>
                  <w:divsChild>
                    <w:div w:id="744036263">
                      <w:marLeft w:val="0"/>
                      <w:marRight w:val="0"/>
                      <w:marTop w:val="0"/>
                      <w:marBottom w:val="0"/>
                      <w:divBdr>
                        <w:top w:val="none" w:sz="0" w:space="0" w:color="auto"/>
                        <w:left w:val="none" w:sz="0" w:space="0" w:color="auto"/>
                        <w:bottom w:val="none" w:sz="0" w:space="0" w:color="auto"/>
                        <w:right w:val="none" w:sz="0" w:space="0" w:color="auto"/>
                      </w:divBdr>
                    </w:div>
                  </w:divsChild>
                </w:div>
                <w:div w:id="744035967">
                  <w:marLeft w:val="0"/>
                  <w:marRight w:val="0"/>
                  <w:marTop w:val="0"/>
                  <w:marBottom w:val="0"/>
                  <w:divBdr>
                    <w:top w:val="none" w:sz="0" w:space="0" w:color="auto"/>
                    <w:left w:val="none" w:sz="0" w:space="0" w:color="auto"/>
                    <w:bottom w:val="none" w:sz="0" w:space="0" w:color="auto"/>
                    <w:right w:val="none" w:sz="0" w:space="0" w:color="auto"/>
                  </w:divBdr>
                  <w:divsChild>
                    <w:div w:id="744036067">
                      <w:marLeft w:val="0"/>
                      <w:marRight w:val="0"/>
                      <w:marTop w:val="0"/>
                      <w:marBottom w:val="0"/>
                      <w:divBdr>
                        <w:top w:val="none" w:sz="0" w:space="0" w:color="auto"/>
                        <w:left w:val="none" w:sz="0" w:space="0" w:color="auto"/>
                        <w:bottom w:val="none" w:sz="0" w:space="0" w:color="auto"/>
                        <w:right w:val="none" w:sz="0" w:space="0" w:color="auto"/>
                      </w:divBdr>
                    </w:div>
                  </w:divsChild>
                </w:div>
                <w:div w:id="744035978">
                  <w:marLeft w:val="0"/>
                  <w:marRight w:val="0"/>
                  <w:marTop w:val="0"/>
                  <w:marBottom w:val="0"/>
                  <w:divBdr>
                    <w:top w:val="none" w:sz="0" w:space="0" w:color="auto"/>
                    <w:left w:val="none" w:sz="0" w:space="0" w:color="auto"/>
                    <w:bottom w:val="none" w:sz="0" w:space="0" w:color="auto"/>
                    <w:right w:val="none" w:sz="0" w:space="0" w:color="auto"/>
                  </w:divBdr>
                  <w:divsChild>
                    <w:div w:id="744036185">
                      <w:marLeft w:val="0"/>
                      <w:marRight w:val="0"/>
                      <w:marTop w:val="0"/>
                      <w:marBottom w:val="0"/>
                      <w:divBdr>
                        <w:top w:val="none" w:sz="0" w:space="0" w:color="auto"/>
                        <w:left w:val="none" w:sz="0" w:space="0" w:color="auto"/>
                        <w:bottom w:val="none" w:sz="0" w:space="0" w:color="auto"/>
                        <w:right w:val="none" w:sz="0" w:space="0" w:color="auto"/>
                      </w:divBdr>
                    </w:div>
                  </w:divsChild>
                </w:div>
                <w:div w:id="744035980">
                  <w:marLeft w:val="0"/>
                  <w:marRight w:val="0"/>
                  <w:marTop w:val="0"/>
                  <w:marBottom w:val="0"/>
                  <w:divBdr>
                    <w:top w:val="none" w:sz="0" w:space="0" w:color="auto"/>
                    <w:left w:val="none" w:sz="0" w:space="0" w:color="auto"/>
                    <w:bottom w:val="none" w:sz="0" w:space="0" w:color="auto"/>
                    <w:right w:val="none" w:sz="0" w:space="0" w:color="auto"/>
                  </w:divBdr>
                  <w:divsChild>
                    <w:div w:id="744035825">
                      <w:marLeft w:val="0"/>
                      <w:marRight w:val="0"/>
                      <w:marTop w:val="0"/>
                      <w:marBottom w:val="0"/>
                      <w:divBdr>
                        <w:top w:val="none" w:sz="0" w:space="0" w:color="auto"/>
                        <w:left w:val="none" w:sz="0" w:space="0" w:color="auto"/>
                        <w:bottom w:val="none" w:sz="0" w:space="0" w:color="auto"/>
                        <w:right w:val="none" w:sz="0" w:space="0" w:color="auto"/>
                      </w:divBdr>
                    </w:div>
                  </w:divsChild>
                </w:div>
                <w:div w:id="744035983">
                  <w:marLeft w:val="0"/>
                  <w:marRight w:val="0"/>
                  <w:marTop w:val="0"/>
                  <w:marBottom w:val="0"/>
                  <w:divBdr>
                    <w:top w:val="none" w:sz="0" w:space="0" w:color="auto"/>
                    <w:left w:val="none" w:sz="0" w:space="0" w:color="auto"/>
                    <w:bottom w:val="none" w:sz="0" w:space="0" w:color="auto"/>
                    <w:right w:val="none" w:sz="0" w:space="0" w:color="auto"/>
                  </w:divBdr>
                  <w:divsChild>
                    <w:div w:id="744035896">
                      <w:marLeft w:val="0"/>
                      <w:marRight w:val="0"/>
                      <w:marTop w:val="0"/>
                      <w:marBottom w:val="0"/>
                      <w:divBdr>
                        <w:top w:val="none" w:sz="0" w:space="0" w:color="auto"/>
                        <w:left w:val="none" w:sz="0" w:space="0" w:color="auto"/>
                        <w:bottom w:val="none" w:sz="0" w:space="0" w:color="auto"/>
                        <w:right w:val="none" w:sz="0" w:space="0" w:color="auto"/>
                      </w:divBdr>
                    </w:div>
                  </w:divsChild>
                </w:div>
                <w:div w:id="744035984">
                  <w:marLeft w:val="0"/>
                  <w:marRight w:val="0"/>
                  <w:marTop w:val="0"/>
                  <w:marBottom w:val="0"/>
                  <w:divBdr>
                    <w:top w:val="none" w:sz="0" w:space="0" w:color="auto"/>
                    <w:left w:val="none" w:sz="0" w:space="0" w:color="auto"/>
                    <w:bottom w:val="none" w:sz="0" w:space="0" w:color="auto"/>
                    <w:right w:val="none" w:sz="0" w:space="0" w:color="auto"/>
                  </w:divBdr>
                  <w:divsChild>
                    <w:div w:id="744036285">
                      <w:marLeft w:val="0"/>
                      <w:marRight w:val="0"/>
                      <w:marTop w:val="0"/>
                      <w:marBottom w:val="0"/>
                      <w:divBdr>
                        <w:top w:val="none" w:sz="0" w:space="0" w:color="auto"/>
                        <w:left w:val="none" w:sz="0" w:space="0" w:color="auto"/>
                        <w:bottom w:val="none" w:sz="0" w:space="0" w:color="auto"/>
                        <w:right w:val="none" w:sz="0" w:space="0" w:color="auto"/>
                      </w:divBdr>
                    </w:div>
                  </w:divsChild>
                </w:div>
                <w:div w:id="744035988">
                  <w:marLeft w:val="0"/>
                  <w:marRight w:val="0"/>
                  <w:marTop w:val="0"/>
                  <w:marBottom w:val="0"/>
                  <w:divBdr>
                    <w:top w:val="none" w:sz="0" w:space="0" w:color="auto"/>
                    <w:left w:val="none" w:sz="0" w:space="0" w:color="auto"/>
                    <w:bottom w:val="none" w:sz="0" w:space="0" w:color="auto"/>
                    <w:right w:val="none" w:sz="0" w:space="0" w:color="auto"/>
                  </w:divBdr>
                  <w:divsChild>
                    <w:div w:id="744035769">
                      <w:marLeft w:val="0"/>
                      <w:marRight w:val="0"/>
                      <w:marTop w:val="0"/>
                      <w:marBottom w:val="0"/>
                      <w:divBdr>
                        <w:top w:val="none" w:sz="0" w:space="0" w:color="auto"/>
                        <w:left w:val="none" w:sz="0" w:space="0" w:color="auto"/>
                        <w:bottom w:val="none" w:sz="0" w:space="0" w:color="auto"/>
                        <w:right w:val="none" w:sz="0" w:space="0" w:color="auto"/>
                      </w:divBdr>
                    </w:div>
                  </w:divsChild>
                </w:div>
                <w:div w:id="744035990">
                  <w:marLeft w:val="0"/>
                  <w:marRight w:val="0"/>
                  <w:marTop w:val="0"/>
                  <w:marBottom w:val="0"/>
                  <w:divBdr>
                    <w:top w:val="none" w:sz="0" w:space="0" w:color="auto"/>
                    <w:left w:val="none" w:sz="0" w:space="0" w:color="auto"/>
                    <w:bottom w:val="none" w:sz="0" w:space="0" w:color="auto"/>
                    <w:right w:val="none" w:sz="0" w:space="0" w:color="auto"/>
                  </w:divBdr>
                  <w:divsChild>
                    <w:div w:id="744036071">
                      <w:marLeft w:val="0"/>
                      <w:marRight w:val="0"/>
                      <w:marTop w:val="0"/>
                      <w:marBottom w:val="0"/>
                      <w:divBdr>
                        <w:top w:val="none" w:sz="0" w:space="0" w:color="auto"/>
                        <w:left w:val="none" w:sz="0" w:space="0" w:color="auto"/>
                        <w:bottom w:val="none" w:sz="0" w:space="0" w:color="auto"/>
                        <w:right w:val="none" w:sz="0" w:space="0" w:color="auto"/>
                      </w:divBdr>
                    </w:div>
                  </w:divsChild>
                </w:div>
                <w:div w:id="744036001">
                  <w:marLeft w:val="0"/>
                  <w:marRight w:val="0"/>
                  <w:marTop w:val="0"/>
                  <w:marBottom w:val="0"/>
                  <w:divBdr>
                    <w:top w:val="none" w:sz="0" w:space="0" w:color="auto"/>
                    <w:left w:val="none" w:sz="0" w:space="0" w:color="auto"/>
                    <w:bottom w:val="none" w:sz="0" w:space="0" w:color="auto"/>
                    <w:right w:val="none" w:sz="0" w:space="0" w:color="auto"/>
                  </w:divBdr>
                  <w:divsChild>
                    <w:div w:id="744036139">
                      <w:marLeft w:val="0"/>
                      <w:marRight w:val="0"/>
                      <w:marTop w:val="0"/>
                      <w:marBottom w:val="0"/>
                      <w:divBdr>
                        <w:top w:val="none" w:sz="0" w:space="0" w:color="auto"/>
                        <w:left w:val="none" w:sz="0" w:space="0" w:color="auto"/>
                        <w:bottom w:val="none" w:sz="0" w:space="0" w:color="auto"/>
                        <w:right w:val="none" w:sz="0" w:space="0" w:color="auto"/>
                      </w:divBdr>
                    </w:div>
                  </w:divsChild>
                </w:div>
                <w:div w:id="744036007">
                  <w:marLeft w:val="0"/>
                  <w:marRight w:val="0"/>
                  <w:marTop w:val="0"/>
                  <w:marBottom w:val="0"/>
                  <w:divBdr>
                    <w:top w:val="none" w:sz="0" w:space="0" w:color="auto"/>
                    <w:left w:val="none" w:sz="0" w:space="0" w:color="auto"/>
                    <w:bottom w:val="none" w:sz="0" w:space="0" w:color="auto"/>
                    <w:right w:val="none" w:sz="0" w:space="0" w:color="auto"/>
                  </w:divBdr>
                  <w:divsChild>
                    <w:div w:id="744035857">
                      <w:marLeft w:val="0"/>
                      <w:marRight w:val="0"/>
                      <w:marTop w:val="0"/>
                      <w:marBottom w:val="0"/>
                      <w:divBdr>
                        <w:top w:val="none" w:sz="0" w:space="0" w:color="auto"/>
                        <w:left w:val="none" w:sz="0" w:space="0" w:color="auto"/>
                        <w:bottom w:val="none" w:sz="0" w:space="0" w:color="auto"/>
                        <w:right w:val="none" w:sz="0" w:space="0" w:color="auto"/>
                      </w:divBdr>
                    </w:div>
                  </w:divsChild>
                </w:div>
                <w:div w:id="744036017">
                  <w:marLeft w:val="0"/>
                  <w:marRight w:val="0"/>
                  <w:marTop w:val="0"/>
                  <w:marBottom w:val="0"/>
                  <w:divBdr>
                    <w:top w:val="none" w:sz="0" w:space="0" w:color="auto"/>
                    <w:left w:val="none" w:sz="0" w:space="0" w:color="auto"/>
                    <w:bottom w:val="none" w:sz="0" w:space="0" w:color="auto"/>
                    <w:right w:val="none" w:sz="0" w:space="0" w:color="auto"/>
                  </w:divBdr>
                  <w:divsChild>
                    <w:div w:id="744035743">
                      <w:marLeft w:val="0"/>
                      <w:marRight w:val="0"/>
                      <w:marTop w:val="0"/>
                      <w:marBottom w:val="0"/>
                      <w:divBdr>
                        <w:top w:val="none" w:sz="0" w:space="0" w:color="auto"/>
                        <w:left w:val="none" w:sz="0" w:space="0" w:color="auto"/>
                        <w:bottom w:val="none" w:sz="0" w:space="0" w:color="auto"/>
                        <w:right w:val="none" w:sz="0" w:space="0" w:color="auto"/>
                      </w:divBdr>
                    </w:div>
                  </w:divsChild>
                </w:div>
                <w:div w:id="744036020">
                  <w:marLeft w:val="0"/>
                  <w:marRight w:val="0"/>
                  <w:marTop w:val="0"/>
                  <w:marBottom w:val="0"/>
                  <w:divBdr>
                    <w:top w:val="none" w:sz="0" w:space="0" w:color="auto"/>
                    <w:left w:val="none" w:sz="0" w:space="0" w:color="auto"/>
                    <w:bottom w:val="none" w:sz="0" w:space="0" w:color="auto"/>
                    <w:right w:val="none" w:sz="0" w:space="0" w:color="auto"/>
                  </w:divBdr>
                  <w:divsChild>
                    <w:div w:id="744036224">
                      <w:marLeft w:val="0"/>
                      <w:marRight w:val="0"/>
                      <w:marTop w:val="0"/>
                      <w:marBottom w:val="0"/>
                      <w:divBdr>
                        <w:top w:val="none" w:sz="0" w:space="0" w:color="auto"/>
                        <w:left w:val="none" w:sz="0" w:space="0" w:color="auto"/>
                        <w:bottom w:val="none" w:sz="0" w:space="0" w:color="auto"/>
                        <w:right w:val="none" w:sz="0" w:space="0" w:color="auto"/>
                      </w:divBdr>
                    </w:div>
                  </w:divsChild>
                </w:div>
                <w:div w:id="744036024">
                  <w:marLeft w:val="0"/>
                  <w:marRight w:val="0"/>
                  <w:marTop w:val="0"/>
                  <w:marBottom w:val="0"/>
                  <w:divBdr>
                    <w:top w:val="none" w:sz="0" w:space="0" w:color="auto"/>
                    <w:left w:val="none" w:sz="0" w:space="0" w:color="auto"/>
                    <w:bottom w:val="none" w:sz="0" w:space="0" w:color="auto"/>
                    <w:right w:val="none" w:sz="0" w:space="0" w:color="auto"/>
                  </w:divBdr>
                  <w:divsChild>
                    <w:div w:id="744035719">
                      <w:marLeft w:val="0"/>
                      <w:marRight w:val="0"/>
                      <w:marTop w:val="0"/>
                      <w:marBottom w:val="0"/>
                      <w:divBdr>
                        <w:top w:val="none" w:sz="0" w:space="0" w:color="auto"/>
                        <w:left w:val="none" w:sz="0" w:space="0" w:color="auto"/>
                        <w:bottom w:val="none" w:sz="0" w:space="0" w:color="auto"/>
                        <w:right w:val="none" w:sz="0" w:space="0" w:color="auto"/>
                      </w:divBdr>
                    </w:div>
                  </w:divsChild>
                </w:div>
                <w:div w:id="744036031">
                  <w:marLeft w:val="0"/>
                  <w:marRight w:val="0"/>
                  <w:marTop w:val="0"/>
                  <w:marBottom w:val="0"/>
                  <w:divBdr>
                    <w:top w:val="none" w:sz="0" w:space="0" w:color="auto"/>
                    <w:left w:val="none" w:sz="0" w:space="0" w:color="auto"/>
                    <w:bottom w:val="none" w:sz="0" w:space="0" w:color="auto"/>
                    <w:right w:val="none" w:sz="0" w:space="0" w:color="auto"/>
                  </w:divBdr>
                  <w:divsChild>
                    <w:div w:id="744036105">
                      <w:marLeft w:val="0"/>
                      <w:marRight w:val="0"/>
                      <w:marTop w:val="0"/>
                      <w:marBottom w:val="0"/>
                      <w:divBdr>
                        <w:top w:val="none" w:sz="0" w:space="0" w:color="auto"/>
                        <w:left w:val="none" w:sz="0" w:space="0" w:color="auto"/>
                        <w:bottom w:val="none" w:sz="0" w:space="0" w:color="auto"/>
                        <w:right w:val="none" w:sz="0" w:space="0" w:color="auto"/>
                      </w:divBdr>
                    </w:div>
                  </w:divsChild>
                </w:div>
                <w:div w:id="744036039">
                  <w:marLeft w:val="0"/>
                  <w:marRight w:val="0"/>
                  <w:marTop w:val="0"/>
                  <w:marBottom w:val="0"/>
                  <w:divBdr>
                    <w:top w:val="none" w:sz="0" w:space="0" w:color="auto"/>
                    <w:left w:val="none" w:sz="0" w:space="0" w:color="auto"/>
                    <w:bottom w:val="none" w:sz="0" w:space="0" w:color="auto"/>
                    <w:right w:val="none" w:sz="0" w:space="0" w:color="auto"/>
                  </w:divBdr>
                  <w:divsChild>
                    <w:div w:id="744035962">
                      <w:marLeft w:val="0"/>
                      <w:marRight w:val="0"/>
                      <w:marTop w:val="0"/>
                      <w:marBottom w:val="0"/>
                      <w:divBdr>
                        <w:top w:val="none" w:sz="0" w:space="0" w:color="auto"/>
                        <w:left w:val="none" w:sz="0" w:space="0" w:color="auto"/>
                        <w:bottom w:val="none" w:sz="0" w:space="0" w:color="auto"/>
                        <w:right w:val="none" w:sz="0" w:space="0" w:color="auto"/>
                      </w:divBdr>
                    </w:div>
                  </w:divsChild>
                </w:div>
                <w:div w:id="744036043">
                  <w:marLeft w:val="0"/>
                  <w:marRight w:val="0"/>
                  <w:marTop w:val="0"/>
                  <w:marBottom w:val="0"/>
                  <w:divBdr>
                    <w:top w:val="none" w:sz="0" w:space="0" w:color="auto"/>
                    <w:left w:val="none" w:sz="0" w:space="0" w:color="auto"/>
                    <w:bottom w:val="none" w:sz="0" w:space="0" w:color="auto"/>
                    <w:right w:val="none" w:sz="0" w:space="0" w:color="auto"/>
                  </w:divBdr>
                  <w:divsChild>
                    <w:div w:id="744035815">
                      <w:marLeft w:val="0"/>
                      <w:marRight w:val="0"/>
                      <w:marTop w:val="0"/>
                      <w:marBottom w:val="0"/>
                      <w:divBdr>
                        <w:top w:val="none" w:sz="0" w:space="0" w:color="auto"/>
                        <w:left w:val="none" w:sz="0" w:space="0" w:color="auto"/>
                        <w:bottom w:val="none" w:sz="0" w:space="0" w:color="auto"/>
                        <w:right w:val="none" w:sz="0" w:space="0" w:color="auto"/>
                      </w:divBdr>
                    </w:div>
                  </w:divsChild>
                </w:div>
                <w:div w:id="744036046">
                  <w:marLeft w:val="0"/>
                  <w:marRight w:val="0"/>
                  <w:marTop w:val="0"/>
                  <w:marBottom w:val="0"/>
                  <w:divBdr>
                    <w:top w:val="none" w:sz="0" w:space="0" w:color="auto"/>
                    <w:left w:val="none" w:sz="0" w:space="0" w:color="auto"/>
                    <w:bottom w:val="none" w:sz="0" w:space="0" w:color="auto"/>
                    <w:right w:val="none" w:sz="0" w:space="0" w:color="auto"/>
                  </w:divBdr>
                  <w:divsChild>
                    <w:div w:id="744035715">
                      <w:marLeft w:val="0"/>
                      <w:marRight w:val="0"/>
                      <w:marTop w:val="0"/>
                      <w:marBottom w:val="0"/>
                      <w:divBdr>
                        <w:top w:val="none" w:sz="0" w:space="0" w:color="auto"/>
                        <w:left w:val="none" w:sz="0" w:space="0" w:color="auto"/>
                        <w:bottom w:val="none" w:sz="0" w:space="0" w:color="auto"/>
                        <w:right w:val="none" w:sz="0" w:space="0" w:color="auto"/>
                      </w:divBdr>
                    </w:div>
                  </w:divsChild>
                </w:div>
                <w:div w:id="744036056">
                  <w:marLeft w:val="0"/>
                  <w:marRight w:val="0"/>
                  <w:marTop w:val="0"/>
                  <w:marBottom w:val="0"/>
                  <w:divBdr>
                    <w:top w:val="none" w:sz="0" w:space="0" w:color="auto"/>
                    <w:left w:val="none" w:sz="0" w:space="0" w:color="auto"/>
                    <w:bottom w:val="none" w:sz="0" w:space="0" w:color="auto"/>
                    <w:right w:val="none" w:sz="0" w:space="0" w:color="auto"/>
                  </w:divBdr>
                  <w:divsChild>
                    <w:div w:id="744036124">
                      <w:marLeft w:val="0"/>
                      <w:marRight w:val="0"/>
                      <w:marTop w:val="0"/>
                      <w:marBottom w:val="0"/>
                      <w:divBdr>
                        <w:top w:val="none" w:sz="0" w:space="0" w:color="auto"/>
                        <w:left w:val="none" w:sz="0" w:space="0" w:color="auto"/>
                        <w:bottom w:val="none" w:sz="0" w:space="0" w:color="auto"/>
                        <w:right w:val="none" w:sz="0" w:space="0" w:color="auto"/>
                      </w:divBdr>
                    </w:div>
                  </w:divsChild>
                </w:div>
                <w:div w:id="744036064">
                  <w:marLeft w:val="0"/>
                  <w:marRight w:val="0"/>
                  <w:marTop w:val="0"/>
                  <w:marBottom w:val="0"/>
                  <w:divBdr>
                    <w:top w:val="none" w:sz="0" w:space="0" w:color="auto"/>
                    <w:left w:val="none" w:sz="0" w:space="0" w:color="auto"/>
                    <w:bottom w:val="none" w:sz="0" w:space="0" w:color="auto"/>
                    <w:right w:val="none" w:sz="0" w:space="0" w:color="auto"/>
                  </w:divBdr>
                  <w:divsChild>
                    <w:div w:id="744036266">
                      <w:marLeft w:val="0"/>
                      <w:marRight w:val="0"/>
                      <w:marTop w:val="0"/>
                      <w:marBottom w:val="0"/>
                      <w:divBdr>
                        <w:top w:val="none" w:sz="0" w:space="0" w:color="auto"/>
                        <w:left w:val="none" w:sz="0" w:space="0" w:color="auto"/>
                        <w:bottom w:val="none" w:sz="0" w:space="0" w:color="auto"/>
                        <w:right w:val="none" w:sz="0" w:space="0" w:color="auto"/>
                      </w:divBdr>
                    </w:div>
                  </w:divsChild>
                </w:div>
                <w:div w:id="744036091">
                  <w:marLeft w:val="0"/>
                  <w:marRight w:val="0"/>
                  <w:marTop w:val="0"/>
                  <w:marBottom w:val="0"/>
                  <w:divBdr>
                    <w:top w:val="none" w:sz="0" w:space="0" w:color="auto"/>
                    <w:left w:val="none" w:sz="0" w:space="0" w:color="auto"/>
                    <w:bottom w:val="none" w:sz="0" w:space="0" w:color="auto"/>
                    <w:right w:val="none" w:sz="0" w:space="0" w:color="auto"/>
                  </w:divBdr>
                  <w:divsChild>
                    <w:div w:id="744036189">
                      <w:marLeft w:val="0"/>
                      <w:marRight w:val="0"/>
                      <w:marTop w:val="0"/>
                      <w:marBottom w:val="0"/>
                      <w:divBdr>
                        <w:top w:val="none" w:sz="0" w:space="0" w:color="auto"/>
                        <w:left w:val="none" w:sz="0" w:space="0" w:color="auto"/>
                        <w:bottom w:val="none" w:sz="0" w:space="0" w:color="auto"/>
                        <w:right w:val="none" w:sz="0" w:space="0" w:color="auto"/>
                      </w:divBdr>
                    </w:div>
                  </w:divsChild>
                </w:div>
                <w:div w:id="744036131">
                  <w:marLeft w:val="0"/>
                  <w:marRight w:val="0"/>
                  <w:marTop w:val="0"/>
                  <w:marBottom w:val="0"/>
                  <w:divBdr>
                    <w:top w:val="none" w:sz="0" w:space="0" w:color="auto"/>
                    <w:left w:val="none" w:sz="0" w:space="0" w:color="auto"/>
                    <w:bottom w:val="none" w:sz="0" w:space="0" w:color="auto"/>
                    <w:right w:val="none" w:sz="0" w:space="0" w:color="auto"/>
                  </w:divBdr>
                  <w:divsChild>
                    <w:div w:id="744035869">
                      <w:marLeft w:val="0"/>
                      <w:marRight w:val="0"/>
                      <w:marTop w:val="0"/>
                      <w:marBottom w:val="0"/>
                      <w:divBdr>
                        <w:top w:val="none" w:sz="0" w:space="0" w:color="auto"/>
                        <w:left w:val="none" w:sz="0" w:space="0" w:color="auto"/>
                        <w:bottom w:val="none" w:sz="0" w:space="0" w:color="auto"/>
                        <w:right w:val="none" w:sz="0" w:space="0" w:color="auto"/>
                      </w:divBdr>
                    </w:div>
                  </w:divsChild>
                </w:div>
                <w:div w:id="744036143">
                  <w:marLeft w:val="0"/>
                  <w:marRight w:val="0"/>
                  <w:marTop w:val="0"/>
                  <w:marBottom w:val="0"/>
                  <w:divBdr>
                    <w:top w:val="none" w:sz="0" w:space="0" w:color="auto"/>
                    <w:left w:val="none" w:sz="0" w:space="0" w:color="auto"/>
                    <w:bottom w:val="none" w:sz="0" w:space="0" w:color="auto"/>
                    <w:right w:val="none" w:sz="0" w:space="0" w:color="auto"/>
                  </w:divBdr>
                  <w:divsChild>
                    <w:div w:id="744035701">
                      <w:marLeft w:val="0"/>
                      <w:marRight w:val="0"/>
                      <w:marTop w:val="0"/>
                      <w:marBottom w:val="0"/>
                      <w:divBdr>
                        <w:top w:val="none" w:sz="0" w:space="0" w:color="auto"/>
                        <w:left w:val="none" w:sz="0" w:space="0" w:color="auto"/>
                        <w:bottom w:val="none" w:sz="0" w:space="0" w:color="auto"/>
                        <w:right w:val="none" w:sz="0" w:space="0" w:color="auto"/>
                      </w:divBdr>
                    </w:div>
                  </w:divsChild>
                </w:div>
                <w:div w:id="744036150">
                  <w:marLeft w:val="0"/>
                  <w:marRight w:val="0"/>
                  <w:marTop w:val="0"/>
                  <w:marBottom w:val="0"/>
                  <w:divBdr>
                    <w:top w:val="none" w:sz="0" w:space="0" w:color="auto"/>
                    <w:left w:val="none" w:sz="0" w:space="0" w:color="auto"/>
                    <w:bottom w:val="none" w:sz="0" w:space="0" w:color="auto"/>
                    <w:right w:val="none" w:sz="0" w:space="0" w:color="auto"/>
                  </w:divBdr>
                  <w:divsChild>
                    <w:div w:id="744036275">
                      <w:marLeft w:val="0"/>
                      <w:marRight w:val="0"/>
                      <w:marTop w:val="0"/>
                      <w:marBottom w:val="0"/>
                      <w:divBdr>
                        <w:top w:val="none" w:sz="0" w:space="0" w:color="auto"/>
                        <w:left w:val="none" w:sz="0" w:space="0" w:color="auto"/>
                        <w:bottom w:val="none" w:sz="0" w:space="0" w:color="auto"/>
                        <w:right w:val="none" w:sz="0" w:space="0" w:color="auto"/>
                      </w:divBdr>
                    </w:div>
                  </w:divsChild>
                </w:div>
                <w:div w:id="744036171">
                  <w:marLeft w:val="0"/>
                  <w:marRight w:val="0"/>
                  <w:marTop w:val="0"/>
                  <w:marBottom w:val="0"/>
                  <w:divBdr>
                    <w:top w:val="none" w:sz="0" w:space="0" w:color="auto"/>
                    <w:left w:val="none" w:sz="0" w:space="0" w:color="auto"/>
                    <w:bottom w:val="none" w:sz="0" w:space="0" w:color="auto"/>
                    <w:right w:val="none" w:sz="0" w:space="0" w:color="auto"/>
                  </w:divBdr>
                  <w:divsChild>
                    <w:div w:id="744035854">
                      <w:marLeft w:val="0"/>
                      <w:marRight w:val="0"/>
                      <w:marTop w:val="0"/>
                      <w:marBottom w:val="0"/>
                      <w:divBdr>
                        <w:top w:val="none" w:sz="0" w:space="0" w:color="auto"/>
                        <w:left w:val="none" w:sz="0" w:space="0" w:color="auto"/>
                        <w:bottom w:val="none" w:sz="0" w:space="0" w:color="auto"/>
                        <w:right w:val="none" w:sz="0" w:space="0" w:color="auto"/>
                      </w:divBdr>
                    </w:div>
                  </w:divsChild>
                </w:div>
                <w:div w:id="744036203">
                  <w:marLeft w:val="0"/>
                  <w:marRight w:val="0"/>
                  <w:marTop w:val="0"/>
                  <w:marBottom w:val="0"/>
                  <w:divBdr>
                    <w:top w:val="none" w:sz="0" w:space="0" w:color="auto"/>
                    <w:left w:val="none" w:sz="0" w:space="0" w:color="auto"/>
                    <w:bottom w:val="none" w:sz="0" w:space="0" w:color="auto"/>
                    <w:right w:val="none" w:sz="0" w:space="0" w:color="auto"/>
                  </w:divBdr>
                  <w:divsChild>
                    <w:div w:id="744036080">
                      <w:marLeft w:val="0"/>
                      <w:marRight w:val="0"/>
                      <w:marTop w:val="0"/>
                      <w:marBottom w:val="0"/>
                      <w:divBdr>
                        <w:top w:val="none" w:sz="0" w:space="0" w:color="auto"/>
                        <w:left w:val="none" w:sz="0" w:space="0" w:color="auto"/>
                        <w:bottom w:val="none" w:sz="0" w:space="0" w:color="auto"/>
                        <w:right w:val="none" w:sz="0" w:space="0" w:color="auto"/>
                      </w:divBdr>
                    </w:div>
                  </w:divsChild>
                </w:div>
                <w:div w:id="744036210">
                  <w:marLeft w:val="0"/>
                  <w:marRight w:val="0"/>
                  <w:marTop w:val="0"/>
                  <w:marBottom w:val="0"/>
                  <w:divBdr>
                    <w:top w:val="none" w:sz="0" w:space="0" w:color="auto"/>
                    <w:left w:val="none" w:sz="0" w:space="0" w:color="auto"/>
                    <w:bottom w:val="none" w:sz="0" w:space="0" w:color="auto"/>
                    <w:right w:val="none" w:sz="0" w:space="0" w:color="auto"/>
                  </w:divBdr>
                  <w:divsChild>
                    <w:div w:id="744035793">
                      <w:marLeft w:val="0"/>
                      <w:marRight w:val="0"/>
                      <w:marTop w:val="0"/>
                      <w:marBottom w:val="0"/>
                      <w:divBdr>
                        <w:top w:val="none" w:sz="0" w:space="0" w:color="auto"/>
                        <w:left w:val="none" w:sz="0" w:space="0" w:color="auto"/>
                        <w:bottom w:val="none" w:sz="0" w:space="0" w:color="auto"/>
                        <w:right w:val="none" w:sz="0" w:space="0" w:color="auto"/>
                      </w:divBdr>
                    </w:div>
                  </w:divsChild>
                </w:div>
                <w:div w:id="744036214">
                  <w:marLeft w:val="0"/>
                  <w:marRight w:val="0"/>
                  <w:marTop w:val="0"/>
                  <w:marBottom w:val="0"/>
                  <w:divBdr>
                    <w:top w:val="none" w:sz="0" w:space="0" w:color="auto"/>
                    <w:left w:val="none" w:sz="0" w:space="0" w:color="auto"/>
                    <w:bottom w:val="none" w:sz="0" w:space="0" w:color="auto"/>
                    <w:right w:val="none" w:sz="0" w:space="0" w:color="auto"/>
                  </w:divBdr>
                  <w:divsChild>
                    <w:div w:id="744035898">
                      <w:marLeft w:val="0"/>
                      <w:marRight w:val="0"/>
                      <w:marTop w:val="0"/>
                      <w:marBottom w:val="0"/>
                      <w:divBdr>
                        <w:top w:val="none" w:sz="0" w:space="0" w:color="auto"/>
                        <w:left w:val="none" w:sz="0" w:space="0" w:color="auto"/>
                        <w:bottom w:val="none" w:sz="0" w:space="0" w:color="auto"/>
                        <w:right w:val="none" w:sz="0" w:space="0" w:color="auto"/>
                      </w:divBdr>
                    </w:div>
                  </w:divsChild>
                </w:div>
                <w:div w:id="744036242">
                  <w:marLeft w:val="0"/>
                  <w:marRight w:val="0"/>
                  <w:marTop w:val="0"/>
                  <w:marBottom w:val="0"/>
                  <w:divBdr>
                    <w:top w:val="none" w:sz="0" w:space="0" w:color="auto"/>
                    <w:left w:val="none" w:sz="0" w:space="0" w:color="auto"/>
                    <w:bottom w:val="none" w:sz="0" w:space="0" w:color="auto"/>
                    <w:right w:val="none" w:sz="0" w:space="0" w:color="auto"/>
                  </w:divBdr>
                  <w:divsChild>
                    <w:div w:id="744035799">
                      <w:marLeft w:val="0"/>
                      <w:marRight w:val="0"/>
                      <w:marTop w:val="0"/>
                      <w:marBottom w:val="0"/>
                      <w:divBdr>
                        <w:top w:val="none" w:sz="0" w:space="0" w:color="auto"/>
                        <w:left w:val="none" w:sz="0" w:space="0" w:color="auto"/>
                        <w:bottom w:val="none" w:sz="0" w:space="0" w:color="auto"/>
                        <w:right w:val="none" w:sz="0" w:space="0" w:color="auto"/>
                      </w:divBdr>
                    </w:div>
                  </w:divsChild>
                </w:div>
                <w:div w:id="744036250">
                  <w:marLeft w:val="0"/>
                  <w:marRight w:val="0"/>
                  <w:marTop w:val="0"/>
                  <w:marBottom w:val="0"/>
                  <w:divBdr>
                    <w:top w:val="none" w:sz="0" w:space="0" w:color="auto"/>
                    <w:left w:val="none" w:sz="0" w:space="0" w:color="auto"/>
                    <w:bottom w:val="none" w:sz="0" w:space="0" w:color="auto"/>
                    <w:right w:val="none" w:sz="0" w:space="0" w:color="auto"/>
                  </w:divBdr>
                  <w:divsChild>
                    <w:div w:id="744035749">
                      <w:marLeft w:val="0"/>
                      <w:marRight w:val="0"/>
                      <w:marTop w:val="0"/>
                      <w:marBottom w:val="0"/>
                      <w:divBdr>
                        <w:top w:val="none" w:sz="0" w:space="0" w:color="auto"/>
                        <w:left w:val="none" w:sz="0" w:space="0" w:color="auto"/>
                        <w:bottom w:val="none" w:sz="0" w:space="0" w:color="auto"/>
                        <w:right w:val="none" w:sz="0" w:space="0" w:color="auto"/>
                      </w:divBdr>
                    </w:div>
                  </w:divsChild>
                </w:div>
                <w:div w:id="744036254">
                  <w:marLeft w:val="0"/>
                  <w:marRight w:val="0"/>
                  <w:marTop w:val="0"/>
                  <w:marBottom w:val="0"/>
                  <w:divBdr>
                    <w:top w:val="none" w:sz="0" w:space="0" w:color="auto"/>
                    <w:left w:val="none" w:sz="0" w:space="0" w:color="auto"/>
                    <w:bottom w:val="none" w:sz="0" w:space="0" w:color="auto"/>
                    <w:right w:val="none" w:sz="0" w:space="0" w:color="auto"/>
                  </w:divBdr>
                  <w:divsChild>
                    <w:div w:id="744036147">
                      <w:marLeft w:val="0"/>
                      <w:marRight w:val="0"/>
                      <w:marTop w:val="0"/>
                      <w:marBottom w:val="0"/>
                      <w:divBdr>
                        <w:top w:val="none" w:sz="0" w:space="0" w:color="auto"/>
                        <w:left w:val="none" w:sz="0" w:space="0" w:color="auto"/>
                        <w:bottom w:val="none" w:sz="0" w:space="0" w:color="auto"/>
                        <w:right w:val="none" w:sz="0" w:space="0" w:color="auto"/>
                      </w:divBdr>
                    </w:div>
                  </w:divsChild>
                </w:div>
                <w:div w:id="744036268">
                  <w:marLeft w:val="0"/>
                  <w:marRight w:val="0"/>
                  <w:marTop w:val="0"/>
                  <w:marBottom w:val="0"/>
                  <w:divBdr>
                    <w:top w:val="none" w:sz="0" w:space="0" w:color="auto"/>
                    <w:left w:val="none" w:sz="0" w:space="0" w:color="auto"/>
                    <w:bottom w:val="none" w:sz="0" w:space="0" w:color="auto"/>
                    <w:right w:val="none" w:sz="0" w:space="0" w:color="auto"/>
                  </w:divBdr>
                  <w:divsChild>
                    <w:div w:id="744035782">
                      <w:marLeft w:val="0"/>
                      <w:marRight w:val="0"/>
                      <w:marTop w:val="0"/>
                      <w:marBottom w:val="0"/>
                      <w:divBdr>
                        <w:top w:val="none" w:sz="0" w:space="0" w:color="auto"/>
                        <w:left w:val="none" w:sz="0" w:space="0" w:color="auto"/>
                        <w:bottom w:val="none" w:sz="0" w:space="0" w:color="auto"/>
                        <w:right w:val="none" w:sz="0" w:space="0" w:color="auto"/>
                      </w:divBdr>
                    </w:div>
                  </w:divsChild>
                </w:div>
                <w:div w:id="744036279">
                  <w:marLeft w:val="0"/>
                  <w:marRight w:val="0"/>
                  <w:marTop w:val="0"/>
                  <w:marBottom w:val="0"/>
                  <w:divBdr>
                    <w:top w:val="none" w:sz="0" w:space="0" w:color="auto"/>
                    <w:left w:val="none" w:sz="0" w:space="0" w:color="auto"/>
                    <w:bottom w:val="none" w:sz="0" w:space="0" w:color="auto"/>
                    <w:right w:val="none" w:sz="0" w:space="0" w:color="auto"/>
                  </w:divBdr>
                  <w:divsChild>
                    <w:div w:id="744036142">
                      <w:marLeft w:val="0"/>
                      <w:marRight w:val="0"/>
                      <w:marTop w:val="0"/>
                      <w:marBottom w:val="0"/>
                      <w:divBdr>
                        <w:top w:val="none" w:sz="0" w:space="0" w:color="auto"/>
                        <w:left w:val="none" w:sz="0" w:space="0" w:color="auto"/>
                        <w:bottom w:val="none" w:sz="0" w:space="0" w:color="auto"/>
                        <w:right w:val="none" w:sz="0" w:space="0" w:color="auto"/>
                      </w:divBdr>
                    </w:div>
                  </w:divsChild>
                </w:div>
                <w:div w:id="744036282">
                  <w:marLeft w:val="0"/>
                  <w:marRight w:val="0"/>
                  <w:marTop w:val="0"/>
                  <w:marBottom w:val="0"/>
                  <w:divBdr>
                    <w:top w:val="none" w:sz="0" w:space="0" w:color="auto"/>
                    <w:left w:val="none" w:sz="0" w:space="0" w:color="auto"/>
                    <w:bottom w:val="none" w:sz="0" w:space="0" w:color="auto"/>
                    <w:right w:val="none" w:sz="0" w:space="0" w:color="auto"/>
                  </w:divBdr>
                  <w:divsChild>
                    <w:div w:id="744035936">
                      <w:marLeft w:val="0"/>
                      <w:marRight w:val="0"/>
                      <w:marTop w:val="0"/>
                      <w:marBottom w:val="0"/>
                      <w:divBdr>
                        <w:top w:val="none" w:sz="0" w:space="0" w:color="auto"/>
                        <w:left w:val="none" w:sz="0" w:space="0" w:color="auto"/>
                        <w:bottom w:val="none" w:sz="0" w:space="0" w:color="auto"/>
                        <w:right w:val="none" w:sz="0" w:space="0" w:color="auto"/>
                      </w:divBdr>
                    </w:div>
                  </w:divsChild>
                </w:div>
                <w:div w:id="744036286">
                  <w:marLeft w:val="0"/>
                  <w:marRight w:val="0"/>
                  <w:marTop w:val="0"/>
                  <w:marBottom w:val="0"/>
                  <w:divBdr>
                    <w:top w:val="none" w:sz="0" w:space="0" w:color="auto"/>
                    <w:left w:val="none" w:sz="0" w:space="0" w:color="auto"/>
                    <w:bottom w:val="none" w:sz="0" w:space="0" w:color="auto"/>
                    <w:right w:val="none" w:sz="0" w:space="0" w:color="auto"/>
                  </w:divBdr>
                  <w:divsChild>
                    <w:div w:id="744035740">
                      <w:marLeft w:val="0"/>
                      <w:marRight w:val="0"/>
                      <w:marTop w:val="0"/>
                      <w:marBottom w:val="0"/>
                      <w:divBdr>
                        <w:top w:val="none" w:sz="0" w:space="0" w:color="auto"/>
                        <w:left w:val="none" w:sz="0" w:space="0" w:color="auto"/>
                        <w:bottom w:val="none" w:sz="0" w:space="0" w:color="auto"/>
                        <w:right w:val="none" w:sz="0" w:space="0" w:color="auto"/>
                      </w:divBdr>
                    </w:div>
                  </w:divsChild>
                </w:div>
                <w:div w:id="744036287">
                  <w:marLeft w:val="0"/>
                  <w:marRight w:val="0"/>
                  <w:marTop w:val="0"/>
                  <w:marBottom w:val="0"/>
                  <w:divBdr>
                    <w:top w:val="none" w:sz="0" w:space="0" w:color="auto"/>
                    <w:left w:val="none" w:sz="0" w:space="0" w:color="auto"/>
                    <w:bottom w:val="none" w:sz="0" w:space="0" w:color="auto"/>
                    <w:right w:val="none" w:sz="0" w:space="0" w:color="auto"/>
                  </w:divBdr>
                  <w:divsChild>
                    <w:div w:id="744035795">
                      <w:marLeft w:val="0"/>
                      <w:marRight w:val="0"/>
                      <w:marTop w:val="0"/>
                      <w:marBottom w:val="0"/>
                      <w:divBdr>
                        <w:top w:val="none" w:sz="0" w:space="0" w:color="auto"/>
                        <w:left w:val="none" w:sz="0" w:space="0" w:color="auto"/>
                        <w:bottom w:val="none" w:sz="0" w:space="0" w:color="auto"/>
                        <w:right w:val="none" w:sz="0" w:space="0" w:color="auto"/>
                      </w:divBdr>
                    </w:div>
                  </w:divsChild>
                </w:div>
                <w:div w:id="744036303">
                  <w:marLeft w:val="0"/>
                  <w:marRight w:val="0"/>
                  <w:marTop w:val="0"/>
                  <w:marBottom w:val="0"/>
                  <w:divBdr>
                    <w:top w:val="none" w:sz="0" w:space="0" w:color="auto"/>
                    <w:left w:val="none" w:sz="0" w:space="0" w:color="auto"/>
                    <w:bottom w:val="none" w:sz="0" w:space="0" w:color="auto"/>
                    <w:right w:val="none" w:sz="0" w:space="0" w:color="auto"/>
                  </w:divBdr>
                  <w:divsChild>
                    <w:div w:id="744035997">
                      <w:marLeft w:val="0"/>
                      <w:marRight w:val="0"/>
                      <w:marTop w:val="0"/>
                      <w:marBottom w:val="0"/>
                      <w:divBdr>
                        <w:top w:val="none" w:sz="0" w:space="0" w:color="auto"/>
                        <w:left w:val="none" w:sz="0" w:space="0" w:color="auto"/>
                        <w:bottom w:val="none" w:sz="0" w:space="0" w:color="auto"/>
                        <w:right w:val="none" w:sz="0" w:space="0" w:color="auto"/>
                      </w:divBdr>
                    </w:div>
                  </w:divsChild>
                </w:div>
                <w:div w:id="744036304">
                  <w:marLeft w:val="0"/>
                  <w:marRight w:val="0"/>
                  <w:marTop w:val="0"/>
                  <w:marBottom w:val="0"/>
                  <w:divBdr>
                    <w:top w:val="none" w:sz="0" w:space="0" w:color="auto"/>
                    <w:left w:val="none" w:sz="0" w:space="0" w:color="auto"/>
                    <w:bottom w:val="none" w:sz="0" w:space="0" w:color="auto"/>
                    <w:right w:val="none" w:sz="0" w:space="0" w:color="auto"/>
                  </w:divBdr>
                  <w:divsChild>
                    <w:div w:id="744035996">
                      <w:marLeft w:val="0"/>
                      <w:marRight w:val="0"/>
                      <w:marTop w:val="0"/>
                      <w:marBottom w:val="0"/>
                      <w:divBdr>
                        <w:top w:val="none" w:sz="0" w:space="0" w:color="auto"/>
                        <w:left w:val="none" w:sz="0" w:space="0" w:color="auto"/>
                        <w:bottom w:val="none" w:sz="0" w:space="0" w:color="auto"/>
                        <w:right w:val="none" w:sz="0" w:space="0" w:color="auto"/>
                      </w:divBdr>
                    </w:div>
                  </w:divsChild>
                </w:div>
                <w:div w:id="744036313">
                  <w:marLeft w:val="0"/>
                  <w:marRight w:val="0"/>
                  <w:marTop w:val="0"/>
                  <w:marBottom w:val="0"/>
                  <w:divBdr>
                    <w:top w:val="none" w:sz="0" w:space="0" w:color="auto"/>
                    <w:left w:val="none" w:sz="0" w:space="0" w:color="auto"/>
                    <w:bottom w:val="none" w:sz="0" w:space="0" w:color="auto"/>
                    <w:right w:val="none" w:sz="0" w:space="0" w:color="auto"/>
                  </w:divBdr>
                  <w:divsChild>
                    <w:div w:id="744036317">
                      <w:marLeft w:val="0"/>
                      <w:marRight w:val="0"/>
                      <w:marTop w:val="0"/>
                      <w:marBottom w:val="0"/>
                      <w:divBdr>
                        <w:top w:val="none" w:sz="0" w:space="0" w:color="auto"/>
                        <w:left w:val="none" w:sz="0" w:space="0" w:color="auto"/>
                        <w:bottom w:val="none" w:sz="0" w:space="0" w:color="auto"/>
                        <w:right w:val="none" w:sz="0" w:space="0" w:color="auto"/>
                      </w:divBdr>
                    </w:div>
                  </w:divsChild>
                </w:div>
                <w:div w:id="744036323">
                  <w:marLeft w:val="0"/>
                  <w:marRight w:val="0"/>
                  <w:marTop w:val="0"/>
                  <w:marBottom w:val="0"/>
                  <w:divBdr>
                    <w:top w:val="none" w:sz="0" w:space="0" w:color="auto"/>
                    <w:left w:val="none" w:sz="0" w:space="0" w:color="auto"/>
                    <w:bottom w:val="none" w:sz="0" w:space="0" w:color="auto"/>
                    <w:right w:val="none" w:sz="0" w:space="0" w:color="auto"/>
                  </w:divBdr>
                  <w:divsChild>
                    <w:div w:id="744036178">
                      <w:marLeft w:val="0"/>
                      <w:marRight w:val="0"/>
                      <w:marTop w:val="0"/>
                      <w:marBottom w:val="0"/>
                      <w:divBdr>
                        <w:top w:val="none" w:sz="0" w:space="0" w:color="auto"/>
                        <w:left w:val="none" w:sz="0" w:space="0" w:color="auto"/>
                        <w:bottom w:val="none" w:sz="0" w:space="0" w:color="auto"/>
                        <w:right w:val="none" w:sz="0" w:space="0" w:color="auto"/>
                      </w:divBdr>
                    </w:div>
                  </w:divsChild>
                </w:div>
                <w:div w:id="744036328">
                  <w:marLeft w:val="0"/>
                  <w:marRight w:val="0"/>
                  <w:marTop w:val="0"/>
                  <w:marBottom w:val="0"/>
                  <w:divBdr>
                    <w:top w:val="none" w:sz="0" w:space="0" w:color="auto"/>
                    <w:left w:val="none" w:sz="0" w:space="0" w:color="auto"/>
                    <w:bottom w:val="none" w:sz="0" w:space="0" w:color="auto"/>
                    <w:right w:val="none" w:sz="0" w:space="0" w:color="auto"/>
                  </w:divBdr>
                  <w:divsChild>
                    <w:div w:id="744036167">
                      <w:marLeft w:val="0"/>
                      <w:marRight w:val="0"/>
                      <w:marTop w:val="0"/>
                      <w:marBottom w:val="0"/>
                      <w:divBdr>
                        <w:top w:val="none" w:sz="0" w:space="0" w:color="auto"/>
                        <w:left w:val="none" w:sz="0" w:space="0" w:color="auto"/>
                        <w:bottom w:val="none" w:sz="0" w:space="0" w:color="auto"/>
                        <w:right w:val="none" w:sz="0" w:space="0" w:color="auto"/>
                      </w:divBdr>
                    </w:div>
                  </w:divsChild>
                </w:div>
                <w:div w:id="744036330">
                  <w:marLeft w:val="0"/>
                  <w:marRight w:val="0"/>
                  <w:marTop w:val="0"/>
                  <w:marBottom w:val="0"/>
                  <w:divBdr>
                    <w:top w:val="none" w:sz="0" w:space="0" w:color="auto"/>
                    <w:left w:val="none" w:sz="0" w:space="0" w:color="auto"/>
                    <w:bottom w:val="none" w:sz="0" w:space="0" w:color="auto"/>
                    <w:right w:val="none" w:sz="0" w:space="0" w:color="auto"/>
                  </w:divBdr>
                  <w:divsChild>
                    <w:div w:id="744036122">
                      <w:marLeft w:val="0"/>
                      <w:marRight w:val="0"/>
                      <w:marTop w:val="0"/>
                      <w:marBottom w:val="0"/>
                      <w:divBdr>
                        <w:top w:val="none" w:sz="0" w:space="0" w:color="auto"/>
                        <w:left w:val="none" w:sz="0" w:space="0" w:color="auto"/>
                        <w:bottom w:val="none" w:sz="0" w:space="0" w:color="auto"/>
                        <w:right w:val="none" w:sz="0" w:space="0" w:color="auto"/>
                      </w:divBdr>
                    </w:div>
                  </w:divsChild>
                </w:div>
                <w:div w:id="744036331">
                  <w:marLeft w:val="0"/>
                  <w:marRight w:val="0"/>
                  <w:marTop w:val="0"/>
                  <w:marBottom w:val="0"/>
                  <w:divBdr>
                    <w:top w:val="none" w:sz="0" w:space="0" w:color="auto"/>
                    <w:left w:val="none" w:sz="0" w:space="0" w:color="auto"/>
                    <w:bottom w:val="none" w:sz="0" w:space="0" w:color="auto"/>
                    <w:right w:val="none" w:sz="0" w:space="0" w:color="auto"/>
                  </w:divBdr>
                  <w:divsChild>
                    <w:div w:id="744036074">
                      <w:marLeft w:val="0"/>
                      <w:marRight w:val="0"/>
                      <w:marTop w:val="0"/>
                      <w:marBottom w:val="0"/>
                      <w:divBdr>
                        <w:top w:val="none" w:sz="0" w:space="0" w:color="auto"/>
                        <w:left w:val="none" w:sz="0" w:space="0" w:color="auto"/>
                        <w:bottom w:val="none" w:sz="0" w:space="0" w:color="auto"/>
                        <w:right w:val="none" w:sz="0" w:space="0" w:color="auto"/>
                      </w:divBdr>
                    </w:div>
                  </w:divsChild>
                </w:div>
                <w:div w:id="744036335">
                  <w:marLeft w:val="0"/>
                  <w:marRight w:val="0"/>
                  <w:marTop w:val="0"/>
                  <w:marBottom w:val="0"/>
                  <w:divBdr>
                    <w:top w:val="none" w:sz="0" w:space="0" w:color="auto"/>
                    <w:left w:val="none" w:sz="0" w:space="0" w:color="auto"/>
                    <w:bottom w:val="none" w:sz="0" w:space="0" w:color="auto"/>
                    <w:right w:val="none" w:sz="0" w:space="0" w:color="auto"/>
                  </w:divBdr>
                  <w:divsChild>
                    <w:div w:id="744035704">
                      <w:marLeft w:val="0"/>
                      <w:marRight w:val="0"/>
                      <w:marTop w:val="0"/>
                      <w:marBottom w:val="0"/>
                      <w:divBdr>
                        <w:top w:val="none" w:sz="0" w:space="0" w:color="auto"/>
                        <w:left w:val="none" w:sz="0" w:space="0" w:color="auto"/>
                        <w:bottom w:val="none" w:sz="0" w:space="0" w:color="auto"/>
                        <w:right w:val="none" w:sz="0" w:space="0" w:color="auto"/>
                      </w:divBdr>
                    </w:div>
                  </w:divsChild>
                </w:div>
                <w:div w:id="744036336">
                  <w:marLeft w:val="0"/>
                  <w:marRight w:val="0"/>
                  <w:marTop w:val="0"/>
                  <w:marBottom w:val="0"/>
                  <w:divBdr>
                    <w:top w:val="none" w:sz="0" w:space="0" w:color="auto"/>
                    <w:left w:val="none" w:sz="0" w:space="0" w:color="auto"/>
                    <w:bottom w:val="none" w:sz="0" w:space="0" w:color="auto"/>
                    <w:right w:val="none" w:sz="0" w:space="0" w:color="auto"/>
                  </w:divBdr>
                  <w:divsChild>
                    <w:div w:id="744036243">
                      <w:marLeft w:val="0"/>
                      <w:marRight w:val="0"/>
                      <w:marTop w:val="0"/>
                      <w:marBottom w:val="0"/>
                      <w:divBdr>
                        <w:top w:val="none" w:sz="0" w:space="0" w:color="auto"/>
                        <w:left w:val="none" w:sz="0" w:space="0" w:color="auto"/>
                        <w:bottom w:val="none" w:sz="0" w:space="0" w:color="auto"/>
                        <w:right w:val="none" w:sz="0" w:space="0" w:color="auto"/>
                      </w:divBdr>
                    </w:div>
                  </w:divsChild>
                </w:div>
                <w:div w:id="744036337">
                  <w:marLeft w:val="0"/>
                  <w:marRight w:val="0"/>
                  <w:marTop w:val="0"/>
                  <w:marBottom w:val="0"/>
                  <w:divBdr>
                    <w:top w:val="none" w:sz="0" w:space="0" w:color="auto"/>
                    <w:left w:val="none" w:sz="0" w:space="0" w:color="auto"/>
                    <w:bottom w:val="none" w:sz="0" w:space="0" w:color="auto"/>
                    <w:right w:val="none" w:sz="0" w:space="0" w:color="auto"/>
                  </w:divBdr>
                  <w:divsChild>
                    <w:div w:id="744036009">
                      <w:marLeft w:val="0"/>
                      <w:marRight w:val="0"/>
                      <w:marTop w:val="0"/>
                      <w:marBottom w:val="0"/>
                      <w:divBdr>
                        <w:top w:val="none" w:sz="0" w:space="0" w:color="auto"/>
                        <w:left w:val="none" w:sz="0" w:space="0" w:color="auto"/>
                        <w:bottom w:val="none" w:sz="0" w:space="0" w:color="auto"/>
                        <w:right w:val="none" w:sz="0" w:space="0" w:color="auto"/>
                      </w:divBdr>
                    </w:div>
                  </w:divsChild>
                </w:div>
                <w:div w:id="744036343">
                  <w:marLeft w:val="0"/>
                  <w:marRight w:val="0"/>
                  <w:marTop w:val="0"/>
                  <w:marBottom w:val="0"/>
                  <w:divBdr>
                    <w:top w:val="none" w:sz="0" w:space="0" w:color="auto"/>
                    <w:left w:val="none" w:sz="0" w:space="0" w:color="auto"/>
                    <w:bottom w:val="none" w:sz="0" w:space="0" w:color="auto"/>
                    <w:right w:val="none" w:sz="0" w:space="0" w:color="auto"/>
                  </w:divBdr>
                  <w:divsChild>
                    <w:div w:id="744035885">
                      <w:marLeft w:val="0"/>
                      <w:marRight w:val="0"/>
                      <w:marTop w:val="0"/>
                      <w:marBottom w:val="0"/>
                      <w:divBdr>
                        <w:top w:val="none" w:sz="0" w:space="0" w:color="auto"/>
                        <w:left w:val="none" w:sz="0" w:space="0" w:color="auto"/>
                        <w:bottom w:val="none" w:sz="0" w:space="0" w:color="auto"/>
                        <w:right w:val="none" w:sz="0" w:space="0" w:color="auto"/>
                      </w:divBdr>
                    </w:div>
                  </w:divsChild>
                </w:div>
                <w:div w:id="744036349">
                  <w:marLeft w:val="0"/>
                  <w:marRight w:val="0"/>
                  <w:marTop w:val="0"/>
                  <w:marBottom w:val="0"/>
                  <w:divBdr>
                    <w:top w:val="none" w:sz="0" w:space="0" w:color="auto"/>
                    <w:left w:val="none" w:sz="0" w:space="0" w:color="auto"/>
                    <w:bottom w:val="none" w:sz="0" w:space="0" w:color="auto"/>
                    <w:right w:val="none" w:sz="0" w:space="0" w:color="auto"/>
                  </w:divBdr>
                  <w:divsChild>
                    <w:div w:id="744036305">
                      <w:marLeft w:val="0"/>
                      <w:marRight w:val="0"/>
                      <w:marTop w:val="0"/>
                      <w:marBottom w:val="0"/>
                      <w:divBdr>
                        <w:top w:val="none" w:sz="0" w:space="0" w:color="auto"/>
                        <w:left w:val="none" w:sz="0" w:space="0" w:color="auto"/>
                        <w:bottom w:val="none" w:sz="0" w:space="0" w:color="auto"/>
                        <w:right w:val="none" w:sz="0" w:space="0" w:color="auto"/>
                      </w:divBdr>
                    </w:div>
                  </w:divsChild>
                </w:div>
                <w:div w:id="744036352">
                  <w:marLeft w:val="0"/>
                  <w:marRight w:val="0"/>
                  <w:marTop w:val="0"/>
                  <w:marBottom w:val="0"/>
                  <w:divBdr>
                    <w:top w:val="none" w:sz="0" w:space="0" w:color="auto"/>
                    <w:left w:val="none" w:sz="0" w:space="0" w:color="auto"/>
                    <w:bottom w:val="none" w:sz="0" w:space="0" w:color="auto"/>
                    <w:right w:val="none" w:sz="0" w:space="0" w:color="auto"/>
                  </w:divBdr>
                  <w:divsChild>
                    <w:div w:id="74403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036127">
          <w:marLeft w:val="0"/>
          <w:marRight w:val="0"/>
          <w:marTop w:val="0"/>
          <w:marBottom w:val="0"/>
          <w:divBdr>
            <w:top w:val="none" w:sz="0" w:space="0" w:color="auto"/>
            <w:left w:val="none" w:sz="0" w:space="0" w:color="auto"/>
            <w:bottom w:val="none" w:sz="0" w:space="0" w:color="auto"/>
            <w:right w:val="none" w:sz="0" w:space="0" w:color="auto"/>
          </w:divBdr>
        </w:div>
      </w:divsChild>
    </w:div>
    <w:div w:id="744036119">
      <w:marLeft w:val="0"/>
      <w:marRight w:val="0"/>
      <w:marTop w:val="0"/>
      <w:marBottom w:val="0"/>
      <w:divBdr>
        <w:top w:val="none" w:sz="0" w:space="0" w:color="auto"/>
        <w:left w:val="none" w:sz="0" w:space="0" w:color="auto"/>
        <w:bottom w:val="none" w:sz="0" w:space="0" w:color="auto"/>
        <w:right w:val="none" w:sz="0" w:space="0" w:color="auto"/>
      </w:divBdr>
    </w:div>
    <w:div w:id="744036120">
      <w:marLeft w:val="0"/>
      <w:marRight w:val="0"/>
      <w:marTop w:val="0"/>
      <w:marBottom w:val="0"/>
      <w:divBdr>
        <w:top w:val="none" w:sz="0" w:space="0" w:color="auto"/>
        <w:left w:val="none" w:sz="0" w:space="0" w:color="auto"/>
        <w:bottom w:val="none" w:sz="0" w:space="0" w:color="auto"/>
        <w:right w:val="none" w:sz="0" w:space="0" w:color="auto"/>
      </w:divBdr>
    </w:div>
    <w:div w:id="744036121">
      <w:marLeft w:val="0"/>
      <w:marRight w:val="0"/>
      <w:marTop w:val="0"/>
      <w:marBottom w:val="0"/>
      <w:divBdr>
        <w:top w:val="none" w:sz="0" w:space="0" w:color="auto"/>
        <w:left w:val="none" w:sz="0" w:space="0" w:color="auto"/>
        <w:bottom w:val="none" w:sz="0" w:space="0" w:color="auto"/>
        <w:right w:val="none" w:sz="0" w:space="0" w:color="auto"/>
      </w:divBdr>
    </w:div>
    <w:div w:id="744036126">
      <w:marLeft w:val="0"/>
      <w:marRight w:val="0"/>
      <w:marTop w:val="0"/>
      <w:marBottom w:val="0"/>
      <w:divBdr>
        <w:top w:val="none" w:sz="0" w:space="0" w:color="auto"/>
        <w:left w:val="none" w:sz="0" w:space="0" w:color="auto"/>
        <w:bottom w:val="none" w:sz="0" w:space="0" w:color="auto"/>
        <w:right w:val="none" w:sz="0" w:space="0" w:color="auto"/>
      </w:divBdr>
    </w:div>
    <w:div w:id="744036128">
      <w:marLeft w:val="0"/>
      <w:marRight w:val="0"/>
      <w:marTop w:val="0"/>
      <w:marBottom w:val="0"/>
      <w:divBdr>
        <w:top w:val="none" w:sz="0" w:space="0" w:color="auto"/>
        <w:left w:val="none" w:sz="0" w:space="0" w:color="auto"/>
        <w:bottom w:val="none" w:sz="0" w:space="0" w:color="auto"/>
        <w:right w:val="none" w:sz="0" w:space="0" w:color="auto"/>
      </w:divBdr>
      <w:divsChild>
        <w:div w:id="744036199">
          <w:marLeft w:val="0"/>
          <w:marRight w:val="0"/>
          <w:marTop w:val="0"/>
          <w:marBottom w:val="960"/>
          <w:divBdr>
            <w:top w:val="none" w:sz="0" w:space="0" w:color="auto"/>
            <w:left w:val="none" w:sz="0" w:space="0" w:color="auto"/>
            <w:bottom w:val="none" w:sz="0" w:space="0" w:color="auto"/>
            <w:right w:val="none" w:sz="0" w:space="0" w:color="auto"/>
          </w:divBdr>
          <w:divsChild>
            <w:div w:id="744035882">
              <w:marLeft w:val="0"/>
              <w:marRight w:val="0"/>
              <w:marTop w:val="0"/>
              <w:marBottom w:val="0"/>
              <w:divBdr>
                <w:top w:val="none" w:sz="0" w:space="0" w:color="auto"/>
                <w:left w:val="none" w:sz="0" w:space="0" w:color="auto"/>
                <w:bottom w:val="none" w:sz="0" w:space="0" w:color="auto"/>
                <w:right w:val="none" w:sz="0" w:space="0" w:color="auto"/>
              </w:divBdr>
              <w:divsChild>
                <w:div w:id="74403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036129">
      <w:marLeft w:val="0"/>
      <w:marRight w:val="0"/>
      <w:marTop w:val="0"/>
      <w:marBottom w:val="0"/>
      <w:divBdr>
        <w:top w:val="none" w:sz="0" w:space="0" w:color="auto"/>
        <w:left w:val="none" w:sz="0" w:space="0" w:color="auto"/>
        <w:bottom w:val="none" w:sz="0" w:space="0" w:color="auto"/>
        <w:right w:val="none" w:sz="0" w:space="0" w:color="auto"/>
      </w:divBdr>
    </w:div>
    <w:div w:id="744036132">
      <w:marLeft w:val="0"/>
      <w:marRight w:val="0"/>
      <w:marTop w:val="0"/>
      <w:marBottom w:val="0"/>
      <w:divBdr>
        <w:top w:val="none" w:sz="0" w:space="0" w:color="auto"/>
        <w:left w:val="none" w:sz="0" w:space="0" w:color="auto"/>
        <w:bottom w:val="none" w:sz="0" w:space="0" w:color="auto"/>
        <w:right w:val="none" w:sz="0" w:space="0" w:color="auto"/>
      </w:divBdr>
    </w:div>
    <w:div w:id="744036133">
      <w:marLeft w:val="0"/>
      <w:marRight w:val="0"/>
      <w:marTop w:val="0"/>
      <w:marBottom w:val="0"/>
      <w:divBdr>
        <w:top w:val="none" w:sz="0" w:space="0" w:color="auto"/>
        <w:left w:val="none" w:sz="0" w:space="0" w:color="auto"/>
        <w:bottom w:val="none" w:sz="0" w:space="0" w:color="auto"/>
        <w:right w:val="none" w:sz="0" w:space="0" w:color="auto"/>
      </w:divBdr>
    </w:div>
    <w:div w:id="744036136">
      <w:marLeft w:val="0"/>
      <w:marRight w:val="0"/>
      <w:marTop w:val="0"/>
      <w:marBottom w:val="0"/>
      <w:divBdr>
        <w:top w:val="none" w:sz="0" w:space="0" w:color="auto"/>
        <w:left w:val="none" w:sz="0" w:space="0" w:color="auto"/>
        <w:bottom w:val="none" w:sz="0" w:space="0" w:color="auto"/>
        <w:right w:val="none" w:sz="0" w:space="0" w:color="auto"/>
      </w:divBdr>
    </w:div>
    <w:div w:id="744036137">
      <w:marLeft w:val="0"/>
      <w:marRight w:val="0"/>
      <w:marTop w:val="0"/>
      <w:marBottom w:val="0"/>
      <w:divBdr>
        <w:top w:val="none" w:sz="0" w:space="0" w:color="auto"/>
        <w:left w:val="none" w:sz="0" w:space="0" w:color="auto"/>
        <w:bottom w:val="none" w:sz="0" w:space="0" w:color="auto"/>
        <w:right w:val="none" w:sz="0" w:space="0" w:color="auto"/>
      </w:divBdr>
    </w:div>
    <w:div w:id="744036140">
      <w:marLeft w:val="0"/>
      <w:marRight w:val="0"/>
      <w:marTop w:val="0"/>
      <w:marBottom w:val="0"/>
      <w:divBdr>
        <w:top w:val="none" w:sz="0" w:space="0" w:color="auto"/>
        <w:left w:val="none" w:sz="0" w:space="0" w:color="auto"/>
        <w:bottom w:val="none" w:sz="0" w:space="0" w:color="auto"/>
        <w:right w:val="none" w:sz="0" w:space="0" w:color="auto"/>
      </w:divBdr>
    </w:div>
    <w:div w:id="744036141">
      <w:marLeft w:val="0"/>
      <w:marRight w:val="0"/>
      <w:marTop w:val="0"/>
      <w:marBottom w:val="0"/>
      <w:divBdr>
        <w:top w:val="none" w:sz="0" w:space="0" w:color="auto"/>
        <w:left w:val="none" w:sz="0" w:space="0" w:color="auto"/>
        <w:bottom w:val="none" w:sz="0" w:space="0" w:color="auto"/>
        <w:right w:val="none" w:sz="0" w:space="0" w:color="auto"/>
      </w:divBdr>
    </w:div>
    <w:div w:id="744036144">
      <w:marLeft w:val="0"/>
      <w:marRight w:val="0"/>
      <w:marTop w:val="0"/>
      <w:marBottom w:val="0"/>
      <w:divBdr>
        <w:top w:val="none" w:sz="0" w:space="0" w:color="auto"/>
        <w:left w:val="none" w:sz="0" w:space="0" w:color="auto"/>
        <w:bottom w:val="none" w:sz="0" w:space="0" w:color="auto"/>
        <w:right w:val="none" w:sz="0" w:space="0" w:color="auto"/>
      </w:divBdr>
    </w:div>
    <w:div w:id="744036145">
      <w:marLeft w:val="0"/>
      <w:marRight w:val="0"/>
      <w:marTop w:val="0"/>
      <w:marBottom w:val="0"/>
      <w:divBdr>
        <w:top w:val="none" w:sz="0" w:space="0" w:color="auto"/>
        <w:left w:val="none" w:sz="0" w:space="0" w:color="auto"/>
        <w:bottom w:val="none" w:sz="0" w:space="0" w:color="auto"/>
        <w:right w:val="none" w:sz="0" w:space="0" w:color="auto"/>
      </w:divBdr>
      <w:divsChild>
        <w:div w:id="744036053">
          <w:marLeft w:val="0"/>
          <w:marRight w:val="0"/>
          <w:marTop w:val="0"/>
          <w:marBottom w:val="0"/>
          <w:divBdr>
            <w:top w:val="none" w:sz="0" w:space="0" w:color="auto"/>
            <w:left w:val="none" w:sz="0" w:space="0" w:color="auto"/>
            <w:bottom w:val="none" w:sz="0" w:space="0" w:color="auto"/>
            <w:right w:val="none" w:sz="0" w:space="0" w:color="auto"/>
          </w:divBdr>
        </w:div>
      </w:divsChild>
    </w:div>
    <w:div w:id="744036146">
      <w:marLeft w:val="0"/>
      <w:marRight w:val="0"/>
      <w:marTop w:val="0"/>
      <w:marBottom w:val="0"/>
      <w:divBdr>
        <w:top w:val="none" w:sz="0" w:space="0" w:color="auto"/>
        <w:left w:val="none" w:sz="0" w:space="0" w:color="auto"/>
        <w:bottom w:val="none" w:sz="0" w:space="0" w:color="auto"/>
        <w:right w:val="none" w:sz="0" w:space="0" w:color="auto"/>
      </w:divBdr>
    </w:div>
    <w:div w:id="744036148">
      <w:marLeft w:val="0"/>
      <w:marRight w:val="0"/>
      <w:marTop w:val="0"/>
      <w:marBottom w:val="0"/>
      <w:divBdr>
        <w:top w:val="none" w:sz="0" w:space="0" w:color="auto"/>
        <w:left w:val="none" w:sz="0" w:space="0" w:color="auto"/>
        <w:bottom w:val="none" w:sz="0" w:space="0" w:color="auto"/>
        <w:right w:val="none" w:sz="0" w:space="0" w:color="auto"/>
      </w:divBdr>
    </w:div>
    <w:div w:id="744036149">
      <w:marLeft w:val="0"/>
      <w:marRight w:val="0"/>
      <w:marTop w:val="0"/>
      <w:marBottom w:val="0"/>
      <w:divBdr>
        <w:top w:val="none" w:sz="0" w:space="0" w:color="auto"/>
        <w:left w:val="none" w:sz="0" w:space="0" w:color="auto"/>
        <w:bottom w:val="none" w:sz="0" w:space="0" w:color="auto"/>
        <w:right w:val="none" w:sz="0" w:space="0" w:color="auto"/>
      </w:divBdr>
    </w:div>
    <w:div w:id="744036151">
      <w:marLeft w:val="0"/>
      <w:marRight w:val="0"/>
      <w:marTop w:val="0"/>
      <w:marBottom w:val="0"/>
      <w:divBdr>
        <w:top w:val="none" w:sz="0" w:space="0" w:color="auto"/>
        <w:left w:val="none" w:sz="0" w:space="0" w:color="auto"/>
        <w:bottom w:val="none" w:sz="0" w:space="0" w:color="auto"/>
        <w:right w:val="none" w:sz="0" w:space="0" w:color="auto"/>
      </w:divBdr>
    </w:div>
    <w:div w:id="744036152">
      <w:marLeft w:val="0"/>
      <w:marRight w:val="0"/>
      <w:marTop w:val="0"/>
      <w:marBottom w:val="0"/>
      <w:divBdr>
        <w:top w:val="none" w:sz="0" w:space="0" w:color="auto"/>
        <w:left w:val="none" w:sz="0" w:space="0" w:color="auto"/>
        <w:bottom w:val="none" w:sz="0" w:space="0" w:color="auto"/>
        <w:right w:val="none" w:sz="0" w:space="0" w:color="auto"/>
      </w:divBdr>
    </w:div>
    <w:div w:id="744036153">
      <w:marLeft w:val="0"/>
      <w:marRight w:val="0"/>
      <w:marTop w:val="0"/>
      <w:marBottom w:val="0"/>
      <w:divBdr>
        <w:top w:val="none" w:sz="0" w:space="0" w:color="auto"/>
        <w:left w:val="none" w:sz="0" w:space="0" w:color="auto"/>
        <w:bottom w:val="none" w:sz="0" w:space="0" w:color="auto"/>
        <w:right w:val="none" w:sz="0" w:space="0" w:color="auto"/>
      </w:divBdr>
    </w:div>
    <w:div w:id="744036155">
      <w:marLeft w:val="0"/>
      <w:marRight w:val="0"/>
      <w:marTop w:val="0"/>
      <w:marBottom w:val="0"/>
      <w:divBdr>
        <w:top w:val="none" w:sz="0" w:space="0" w:color="auto"/>
        <w:left w:val="none" w:sz="0" w:space="0" w:color="auto"/>
        <w:bottom w:val="none" w:sz="0" w:space="0" w:color="auto"/>
        <w:right w:val="none" w:sz="0" w:space="0" w:color="auto"/>
      </w:divBdr>
    </w:div>
    <w:div w:id="744036157">
      <w:marLeft w:val="0"/>
      <w:marRight w:val="0"/>
      <w:marTop w:val="0"/>
      <w:marBottom w:val="0"/>
      <w:divBdr>
        <w:top w:val="none" w:sz="0" w:space="0" w:color="auto"/>
        <w:left w:val="none" w:sz="0" w:space="0" w:color="auto"/>
        <w:bottom w:val="none" w:sz="0" w:space="0" w:color="auto"/>
        <w:right w:val="none" w:sz="0" w:space="0" w:color="auto"/>
      </w:divBdr>
    </w:div>
    <w:div w:id="744036158">
      <w:marLeft w:val="0"/>
      <w:marRight w:val="0"/>
      <w:marTop w:val="0"/>
      <w:marBottom w:val="0"/>
      <w:divBdr>
        <w:top w:val="none" w:sz="0" w:space="0" w:color="auto"/>
        <w:left w:val="none" w:sz="0" w:space="0" w:color="auto"/>
        <w:bottom w:val="none" w:sz="0" w:space="0" w:color="auto"/>
        <w:right w:val="none" w:sz="0" w:space="0" w:color="auto"/>
      </w:divBdr>
      <w:divsChild>
        <w:div w:id="744036297">
          <w:marLeft w:val="-1380"/>
          <w:marRight w:val="480"/>
          <w:marTop w:val="120"/>
          <w:marBottom w:val="300"/>
          <w:divBdr>
            <w:top w:val="none" w:sz="0" w:space="0" w:color="auto"/>
            <w:left w:val="none" w:sz="0" w:space="0" w:color="auto"/>
            <w:bottom w:val="none" w:sz="0" w:space="0" w:color="auto"/>
            <w:right w:val="none" w:sz="0" w:space="0" w:color="auto"/>
          </w:divBdr>
        </w:div>
      </w:divsChild>
    </w:div>
    <w:div w:id="744036159">
      <w:marLeft w:val="0"/>
      <w:marRight w:val="0"/>
      <w:marTop w:val="0"/>
      <w:marBottom w:val="0"/>
      <w:divBdr>
        <w:top w:val="none" w:sz="0" w:space="0" w:color="auto"/>
        <w:left w:val="none" w:sz="0" w:space="0" w:color="auto"/>
        <w:bottom w:val="none" w:sz="0" w:space="0" w:color="auto"/>
        <w:right w:val="none" w:sz="0" w:space="0" w:color="auto"/>
      </w:divBdr>
    </w:div>
    <w:div w:id="744036160">
      <w:marLeft w:val="0"/>
      <w:marRight w:val="0"/>
      <w:marTop w:val="0"/>
      <w:marBottom w:val="0"/>
      <w:divBdr>
        <w:top w:val="none" w:sz="0" w:space="0" w:color="auto"/>
        <w:left w:val="none" w:sz="0" w:space="0" w:color="auto"/>
        <w:bottom w:val="none" w:sz="0" w:space="0" w:color="auto"/>
        <w:right w:val="none" w:sz="0" w:space="0" w:color="auto"/>
      </w:divBdr>
    </w:div>
    <w:div w:id="744036161">
      <w:marLeft w:val="0"/>
      <w:marRight w:val="0"/>
      <w:marTop w:val="0"/>
      <w:marBottom w:val="0"/>
      <w:divBdr>
        <w:top w:val="none" w:sz="0" w:space="0" w:color="auto"/>
        <w:left w:val="none" w:sz="0" w:space="0" w:color="auto"/>
        <w:bottom w:val="none" w:sz="0" w:space="0" w:color="auto"/>
        <w:right w:val="none" w:sz="0" w:space="0" w:color="auto"/>
      </w:divBdr>
    </w:div>
    <w:div w:id="744036162">
      <w:marLeft w:val="0"/>
      <w:marRight w:val="0"/>
      <w:marTop w:val="0"/>
      <w:marBottom w:val="0"/>
      <w:divBdr>
        <w:top w:val="none" w:sz="0" w:space="0" w:color="auto"/>
        <w:left w:val="none" w:sz="0" w:space="0" w:color="auto"/>
        <w:bottom w:val="none" w:sz="0" w:space="0" w:color="auto"/>
        <w:right w:val="none" w:sz="0" w:space="0" w:color="auto"/>
      </w:divBdr>
    </w:div>
    <w:div w:id="744036164">
      <w:marLeft w:val="0"/>
      <w:marRight w:val="0"/>
      <w:marTop w:val="0"/>
      <w:marBottom w:val="0"/>
      <w:divBdr>
        <w:top w:val="none" w:sz="0" w:space="0" w:color="auto"/>
        <w:left w:val="none" w:sz="0" w:space="0" w:color="auto"/>
        <w:bottom w:val="none" w:sz="0" w:space="0" w:color="auto"/>
        <w:right w:val="none" w:sz="0" w:space="0" w:color="auto"/>
      </w:divBdr>
    </w:div>
    <w:div w:id="744036165">
      <w:marLeft w:val="0"/>
      <w:marRight w:val="0"/>
      <w:marTop w:val="0"/>
      <w:marBottom w:val="0"/>
      <w:divBdr>
        <w:top w:val="none" w:sz="0" w:space="0" w:color="auto"/>
        <w:left w:val="none" w:sz="0" w:space="0" w:color="auto"/>
        <w:bottom w:val="none" w:sz="0" w:space="0" w:color="auto"/>
        <w:right w:val="none" w:sz="0" w:space="0" w:color="auto"/>
      </w:divBdr>
    </w:div>
    <w:div w:id="744036166">
      <w:marLeft w:val="0"/>
      <w:marRight w:val="0"/>
      <w:marTop w:val="0"/>
      <w:marBottom w:val="0"/>
      <w:divBdr>
        <w:top w:val="none" w:sz="0" w:space="0" w:color="auto"/>
        <w:left w:val="none" w:sz="0" w:space="0" w:color="auto"/>
        <w:bottom w:val="none" w:sz="0" w:space="0" w:color="auto"/>
        <w:right w:val="none" w:sz="0" w:space="0" w:color="auto"/>
      </w:divBdr>
    </w:div>
    <w:div w:id="744036168">
      <w:marLeft w:val="0"/>
      <w:marRight w:val="0"/>
      <w:marTop w:val="0"/>
      <w:marBottom w:val="0"/>
      <w:divBdr>
        <w:top w:val="none" w:sz="0" w:space="0" w:color="auto"/>
        <w:left w:val="none" w:sz="0" w:space="0" w:color="auto"/>
        <w:bottom w:val="none" w:sz="0" w:space="0" w:color="auto"/>
        <w:right w:val="none" w:sz="0" w:space="0" w:color="auto"/>
      </w:divBdr>
    </w:div>
    <w:div w:id="744036169">
      <w:marLeft w:val="0"/>
      <w:marRight w:val="0"/>
      <w:marTop w:val="0"/>
      <w:marBottom w:val="0"/>
      <w:divBdr>
        <w:top w:val="none" w:sz="0" w:space="0" w:color="auto"/>
        <w:left w:val="none" w:sz="0" w:space="0" w:color="auto"/>
        <w:bottom w:val="none" w:sz="0" w:space="0" w:color="auto"/>
        <w:right w:val="none" w:sz="0" w:space="0" w:color="auto"/>
      </w:divBdr>
      <w:divsChild>
        <w:div w:id="744036117">
          <w:marLeft w:val="0"/>
          <w:marRight w:val="0"/>
          <w:marTop w:val="0"/>
          <w:marBottom w:val="960"/>
          <w:divBdr>
            <w:top w:val="none" w:sz="0" w:space="0" w:color="auto"/>
            <w:left w:val="none" w:sz="0" w:space="0" w:color="auto"/>
            <w:bottom w:val="none" w:sz="0" w:space="0" w:color="auto"/>
            <w:right w:val="none" w:sz="0" w:space="0" w:color="auto"/>
          </w:divBdr>
          <w:divsChild>
            <w:div w:id="744035733">
              <w:marLeft w:val="0"/>
              <w:marRight w:val="0"/>
              <w:marTop w:val="0"/>
              <w:marBottom w:val="0"/>
              <w:divBdr>
                <w:top w:val="none" w:sz="0" w:space="0" w:color="auto"/>
                <w:left w:val="none" w:sz="0" w:space="0" w:color="auto"/>
                <w:bottom w:val="none" w:sz="0" w:space="0" w:color="auto"/>
                <w:right w:val="none" w:sz="0" w:space="0" w:color="auto"/>
              </w:divBdr>
              <w:divsChild>
                <w:div w:id="744036036">
                  <w:marLeft w:val="0"/>
                  <w:marRight w:val="0"/>
                  <w:marTop w:val="0"/>
                  <w:marBottom w:val="0"/>
                  <w:divBdr>
                    <w:top w:val="none" w:sz="0" w:space="0" w:color="auto"/>
                    <w:left w:val="none" w:sz="0" w:space="0" w:color="auto"/>
                    <w:bottom w:val="none" w:sz="0" w:space="0" w:color="auto"/>
                    <w:right w:val="none" w:sz="0" w:space="0" w:color="auto"/>
                  </w:divBdr>
                  <w:divsChild>
                    <w:div w:id="744035964">
                      <w:marLeft w:val="-2571"/>
                      <w:marRight w:val="720"/>
                      <w:marTop w:val="0"/>
                      <w:marBottom w:val="432"/>
                      <w:divBdr>
                        <w:top w:val="none" w:sz="0" w:space="0" w:color="auto"/>
                        <w:left w:val="none" w:sz="0" w:space="0" w:color="auto"/>
                        <w:bottom w:val="none" w:sz="0" w:space="0" w:color="auto"/>
                        <w:right w:val="none" w:sz="0" w:space="0" w:color="auto"/>
                      </w:divBdr>
                      <w:divsChild>
                        <w:div w:id="74403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036170">
      <w:marLeft w:val="0"/>
      <w:marRight w:val="0"/>
      <w:marTop w:val="0"/>
      <w:marBottom w:val="0"/>
      <w:divBdr>
        <w:top w:val="none" w:sz="0" w:space="0" w:color="auto"/>
        <w:left w:val="none" w:sz="0" w:space="0" w:color="auto"/>
        <w:bottom w:val="none" w:sz="0" w:space="0" w:color="auto"/>
        <w:right w:val="none" w:sz="0" w:space="0" w:color="auto"/>
      </w:divBdr>
    </w:div>
    <w:div w:id="744036172">
      <w:marLeft w:val="0"/>
      <w:marRight w:val="0"/>
      <w:marTop w:val="0"/>
      <w:marBottom w:val="0"/>
      <w:divBdr>
        <w:top w:val="none" w:sz="0" w:space="0" w:color="auto"/>
        <w:left w:val="none" w:sz="0" w:space="0" w:color="auto"/>
        <w:bottom w:val="none" w:sz="0" w:space="0" w:color="auto"/>
        <w:right w:val="none" w:sz="0" w:space="0" w:color="auto"/>
      </w:divBdr>
    </w:div>
    <w:div w:id="744036174">
      <w:marLeft w:val="0"/>
      <w:marRight w:val="0"/>
      <w:marTop w:val="0"/>
      <w:marBottom w:val="0"/>
      <w:divBdr>
        <w:top w:val="none" w:sz="0" w:space="0" w:color="auto"/>
        <w:left w:val="none" w:sz="0" w:space="0" w:color="auto"/>
        <w:bottom w:val="none" w:sz="0" w:space="0" w:color="auto"/>
        <w:right w:val="none" w:sz="0" w:space="0" w:color="auto"/>
      </w:divBdr>
    </w:div>
    <w:div w:id="744036177">
      <w:marLeft w:val="0"/>
      <w:marRight w:val="0"/>
      <w:marTop w:val="0"/>
      <w:marBottom w:val="0"/>
      <w:divBdr>
        <w:top w:val="none" w:sz="0" w:space="0" w:color="auto"/>
        <w:left w:val="none" w:sz="0" w:space="0" w:color="auto"/>
        <w:bottom w:val="none" w:sz="0" w:space="0" w:color="auto"/>
        <w:right w:val="none" w:sz="0" w:space="0" w:color="auto"/>
      </w:divBdr>
    </w:div>
    <w:div w:id="744036179">
      <w:marLeft w:val="0"/>
      <w:marRight w:val="0"/>
      <w:marTop w:val="0"/>
      <w:marBottom w:val="0"/>
      <w:divBdr>
        <w:top w:val="none" w:sz="0" w:space="0" w:color="auto"/>
        <w:left w:val="none" w:sz="0" w:space="0" w:color="auto"/>
        <w:bottom w:val="none" w:sz="0" w:space="0" w:color="auto"/>
        <w:right w:val="none" w:sz="0" w:space="0" w:color="auto"/>
      </w:divBdr>
    </w:div>
    <w:div w:id="744036180">
      <w:marLeft w:val="0"/>
      <w:marRight w:val="0"/>
      <w:marTop w:val="0"/>
      <w:marBottom w:val="0"/>
      <w:divBdr>
        <w:top w:val="none" w:sz="0" w:space="0" w:color="auto"/>
        <w:left w:val="none" w:sz="0" w:space="0" w:color="auto"/>
        <w:bottom w:val="none" w:sz="0" w:space="0" w:color="auto"/>
        <w:right w:val="none" w:sz="0" w:space="0" w:color="auto"/>
      </w:divBdr>
    </w:div>
    <w:div w:id="744036181">
      <w:marLeft w:val="0"/>
      <w:marRight w:val="0"/>
      <w:marTop w:val="0"/>
      <w:marBottom w:val="0"/>
      <w:divBdr>
        <w:top w:val="none" w:sz="0" w:space="0" w:color="auto"/>
        <w:left w:val="none" w:sz="0" w:space="0" w:color="auto"/>
        <w:bottom w:val="none" w:sz="0" w:space="0" w:color="auto"/>
        <w:right w:val="none" w:sz="0" w:space="0" w:color="auto"/>
      </w:divBdr>
    </w:div>
    <w:div w:id="744036182">
      <w:marLeft w:val="0"/>
      <w:marRight w:val="0"/>
      <w:marTop w:val="0"/>
      <w:marBottom w:val="0"/>
      <w:divBdr>
        <w:top w:val="none" w:sz="0" w:space="0" w:color="auto"/>
        <w:left w:val="none" w:sz="0" w:space="0" w:color="auto"/>
        <w:bottom w:val="none" w:sz="0" w:space="0" w:color="auto"/>
        <w:right w:val="none" w:sz="0" w:space="0" w:color="auto"/>
      </w:divBdr>
    </w:div>
    <w:div w:id="744036183">
      <w:marLeft w:val="0"/>
      <w:marRight w:val="0"/>
      <w:marTop w:val="0"/>
      <w:marBottom w:val="0"/>
      <w:divBdr>
        <w:top w:val="none" w:sz="0" w:space="0" w:color="auto"/>
        <w:left w:val="none" w:sz="0" w:space="0" w:color="auto"/>
        <w:bottom w:val="none" w:sz="0" w:space="0" w:color="auto"/>
        <w:right w:val="none" w:sz="0" w:space="0" w:color="auto"/>
      </w:divBdr>
    </w:div>
    <w:div w:id="744036184">
      <w:marLeft w:val="0"/>
      <w:marRight w:val="0"/>
      <w:marTop w:val="0"/>
      <w:marBottom w:val="0"/>
      <w:divBdr>
        <w:top w:val="none" w:sz="0" w:space="0" w:color="auto"/>
        <w:left w:val="none" w:sz="0" w:space="0" w:color="auto"/>
        <w:bottom w:val="none" w:sz="0" w:space="0" w:color="auto"/>
        <w:right w:val="none" w:sz="0" w:space="0" w:color="auto"/>
      </w:divBdr>
    </w:div>
    <w:div w:id="744036186">
      <w:marLeft w:val="0"/>
      <w:marRight w:val="0"/>
      <w:marTop w:val="0"/>
      <w:marBottom w:val="0"/>
      <w:divBdr>
        <w:top w:val="none" w:sz="0" w:space="0" w:color="auto"/>
        <w:left w:val="none" w:sz="0" w:space="0" w:color="auto"/>
        <w:bottom w:val="none" w:sz="0" w:space="0" w:color="auto"/>
        <w:right w:val="none" w:sz="0" w:space="0" w:color="auto"/>
      </w:divBdr>
    </w:div>
    <w:div w:id="744036187">
      <w:marLeft w:val="0"/>
      <w:marRight w:val="0"/>
      <w:marTop w:val="0"/>
      <w:marBottom w:val="0"/>
      <w:divBdr>
        <w:top w:val="none" w:sz="0" w:space="0" w:color="auto"/>
        <w:left w:val="none" w:sz="0" w:space="0" w:color="auto"/>
        <w:bottom w:val="none" w:sz="0" w:space="0" w:color="auto"/>
        <w:right w:val="none" w:sz="0" w:space="0" w:color="auto"/>
      </w:divBdr>
    </w:div>
    <w:div w:id="744036188">
      <w:marLeft w:val="0"/>
      <w:marRight w:val="0"/>
      <w:marTop w:val="0"/>
      <w:marBottom w:val="0"/>
      <w:divBdr>
        <w:top w:val="none" w:sz="0" w:space="0" w:color="auto"/>
        <w:left w:val="none" w:sz="0" w:space="0" w:color="auto"/>
        <w:bottom w:val="none" w:sz="0" w:space="0" w:color="auto"/>
        <w:right w:val="none" w:sz="0" w:space="0" w:color="auto"/>
      </w:divBdr>
    </w:div>
    <w:div w:id="744036190">
      <w:marLeft w:val="0"/>
      <w:marRight w:val="0"/>
      <w:marTop w:val="0"/>
      <w:marBottom w:val="0"/>
      <w:divBdr>
        <w:top w:val="none" w:sz="0" w:space="0" w:color="auto"/>
        <w:left w:val="none" w:sz="0" w:space="0" w:color="auto"/>
        <w:bottom w:val="none" w:sz="0" w:space="0" w:color="auto"/>
        <w:right w:val="none" w:sz="0" w:space="0" w:color="auto"/>
      </w:divBdr>
    </w:div>
    <w:div w:id="744036192">
      <w:marLeft w:val="0"/>
      <w:marRight w:val="0"/>
      <w:marTop w:val="0"/>
      <w:marBottom w:val="0"/>
      <w:divBdr>
        <w:top w:val="none" w:sz="0" w:space="0" w:color="auto"/>
        <w:left w:val="none" w:sz="0" w:space="0" w:color="auto"/>
        <w:bottom w:val="none" w:sz="0" w:space="0" w:color="auto"/>
        <w:right w:val="none" w:sz="0" w:space="0" w:color="auto"/>
      </w:divBdr>
    </w:div>
    <w:div w:id="744036193">
      <w:marLeft w:val="0"/>
      <w:marRight w:val="0"/>
      <w:marTop w:val="0"/>
      <w:marBottom w:val="0"/>
      <w:divBdr>
        <w:top w:val="none" w:sz="0" w:space="0" w:color="auto"/>
        <w:left w:val="none" w:sz="0" w:space="0" w:color="auto"/>
        <w:bottom w:val="none" w:sz="0" w:space="0" w:color="auto"/>
        <w:right w:val="none" w:sz="0" w:space="0" w:color="auto"/>
      </w:divBdr>
    </w:div>
    <w:div w:id="744036194">
      <w:marLeft w:val="0"/>
      <w:marRight w:val="0"/>
      <w:marTop w:val="0"/>
      <w:marBottom w:val="0"/>
      <w:divBdr>
        <w:top w:val="none" w:sz="0" w:space="0" w:color="auto"/>
        <w:left w:val="none" w:sz="0" w:space="0" w:color="auto"/>
        <w:bottom w:val="none" w:sz="0" w:space="0" w:color="auto"/>
        <w:right w:val="none" w:sz="0" w:space="0" w:color="auto"/>
      </w:divBdr>
    </w:div>
    <w:div w:id="744036195">
      <w:marLeft w:val="0"/>
      <w:marRight w:val="0"/>
      <w:marTop w:val="0"/>
      <w:marBottom w:val="0"/>
      <w:divBdr>
        <w:top w:val="none" w:sz="0" w:space="0" w:color="auto"/>
        <w:left w:val="none" w:sz="0" w:space="0" w:color="auto"/>
        <w:bottom w:val="none" w:sz="0" w:space="0" w:color="auto"/>
        <w:right w:val="none" w:sz="0" w:space="0" w:color="auto"/>
      </w:divBdr>
    </w:div>
    <w:div w:id="744036196">
      <w:marLeft w:val="0"/>
      <w:marRight w:val="0"/>
      <w:marTop w:val="0"/>
      <w:marBottom w:val="0"/>
      <w:divBdr>
        <w:top w:val="none" w:sz="0" w:space="0" w:color="auto"/>
        <w:left w:val="none" w:sz="0" w:space="0" w:color="auto"/>
        <w:bottom w:val="none" w:sz="0" w:space="0" w:color="auto"/>
        <w:right w:val="none" w:sz="0" w:space="0" w:color="auto"/>
      </w:divBdr>
    </w:div>
    <w:div w:id="744036197">
      <w:marLeft w:val="0"/>
      <w:marRight w:val="0"/>
      <w:marTop w:val="0"/>
      <w:marBottom w:val="0"/>
      <w:divBdr>
        <w:top w:val="none" w:sz="0" w:space="0" w:color="auto"/>
        <w:left w:val="none" w:sz="0" w:space="0" w:color="auto"/>
        <w:bottom w:val="none" w:sz="0" w:space="0" w:color="auto"/>
        <w:right w:val="none" w:sz="0" w:space="0" w:color="auto"/>
      </w:divBdr>
    </w:div>
    <w:div w:id="744036198">
      <w:marLeft w:val="0"/>
      <w:marRight w:val="0"/>
      <w:marTop w:val="0"/>
      <w:marBottom w:val="0"/>
      <w:divBdr>
        <w:top w:val="none" w:sz="0" w:space="0" w:color="auto"/>
        <w:left w:val="none" w:sz="0" w:space="0" w:color="auto"/>
        <w:bottom w:val="none" w:sz="0" w:space="0" w:color="auto"/>
        <w:right w:val="none" w:sz="0" w:space="0" w:color="auto"/>
      </w:divBdr>
    </w:div>
    <w:div w:id="744036206">
      <w:marLeft w:val="0"/>
      <w:marRight w:val="0"/>
      <w:marTop w:val="0"/>
      <w:marBottom w:val="0"/>
      <w:divBdr>
        <w:top w:val="none" w:sz="0" w:space="0" w:color="auto"/>
        <w:left w:val="none" w:sz="0" w:space="0" w:color="auto"/>
        <w:bottom w:val="none" w:sz="0" w:space="0" w:color="auto"/>
        <w:right w:val="none" w:sz="0" w:space="0" w:color="auto"/>
      </w:divBdr>
    </w:div>
    <w:div w:id="744036207">
      <w:marLeft w:val="0"/>
      <w:marRight w:val="0"/>
      <w:marTop w:val="0"/>
      <w:marBottom w:val="0"/>
      <w:divBdr>
        <w:top w:val="none" w:sz="0" w:space="0" w:color="auto"/>
        <w:left w:val="none" w:sz="0" w:space="0" w:color="auto"/>
        <w:bottom w:val="none" w:sz="0" w:space="0" w:color="auto"/>
        <w:right w:val="none" w:sz="0" w:space="0" w:color="auto"/>
      </w:divBdr>
    </w:div>
    <w:div w:id="744036208">
      <w:marLeft w:val="0"/>
      <w:marRight w:val="0"/>
      <w:marTop w:val="0"/>
      <w:marBottom w:val="0"/>
      <w:divBdr>
        <w:top w:val="none" w:sz="0" w:space="0" w:color="auto"/>
        <w:left w:val="none" w:sz="0" w:space="0" w:color="auto"/>
        <w:bottom w:val="none" w:sz="0" w:space="0" w:color="auto"/>
        <w:right w:val="none" w:sz="0" w:space="0" w:color="auto"/>
      </w:divBdr>
    </w:div>
    <w:div w:id="744036209">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744036213">
      <w:marLeft w:val="0"/>
      <w:marRight w:val="0"/>
      <w:marTop w:val="0"/>
      <w:marBottom w:val="0"/>
      <w:divBdr>
        <w:top w:val="none" w:sz="0" w:space="0" w:color="auto"/>
        <w:left w:val="none" w:sz="0" w:space="0" w:color="auto"/>
        <w:bottom w:val="none" w:sz="0" w:space="0" w:color="auto"/>
        <w:right w:val="none" w:sz="0" w:space="0" w:color="auto"/>
      </w:divBdr>
    </w:div>
    <w:div w:id="744036215">
      <w:marLeft w:val="0"/>
      <w:marRight w:val="0"/>
      <w:marTop w:val="0"/>
      <w:marBottom w:val="0"/>
      <w:divBdr>
        <w:top w:val="none" w:sz="0" w:space="0" w:color="auto"/>
        <w:left w:val="none" w:sz="0" w:space="0" w:color="auto"/>
        <w:bottom w:val="none" w:sz="0" w:space="0" w:color="auto"/>
        <w:right w:val="none" w:sz="0" w:space="0" w:color="auto"/>
      </w:divBdr>
    </w:div>
    <w:div w:id="744036217">
      <w:marLeft w:val="0"/>
      <w:marRight w:val="0"/>
      <w:marTop w:val="0"/>
      <w:marBottom w:val="0"/>
      <w:divBdr>
        <w:top w:val="none" w:sz="0" w:space="0" w:color="auto"/>
        <w:left w:val="none" w:sz="0" w:space="0" w:color="auto"/>
        <w:bottom w:val="none" w:sz="0" w:space="0" w:color="auto"/>
        <w:right w:val="none" w:sz="0" w:space="0" w:color="auto"/>
      </w:divBdr>
    </w:div>
    <w:div w:id="744036218">
      <w:marLeft w:val="0"/>
      <w:marRight w:val="0"/>
      <w:marTop w:val="0"/>
      <w:marBottom w:val="0"/>
      <w:divBdr>
        <w:top w:val="none" w:sz="0" w:space="0" w:color="auto"/>
        <w:left w:val="none" w:sz="0" w:space="0" w:color="auto"/>
        <w:bottom w:val="none" w:sz="0" w:space="0" w:color="auto"/>
        <w:right w:val="none" w:sz="0" w:space="0" w:color="auto"/>
      </w:divBdr>
    </w:div>
    <w:div w:id="744036219">
      <w:marLeft w:val="0"/>
      <w:marRight w:val="0"/>
      <w:marTop w:val="0"/>
      <w:marBottom w:val="0"/>
      <w:divBdr>
        <w:top w:val="none" w:sz="0" w:space="0" w:color="auto"/>
        <w:left w:val="none" w:sz="0" w:space="0" w:color="auto"/>
        <w:bottom w:val="none" w:sz="0" w:space="0" w:color="auto"/>
        <w:right w:val="none" w:sz="0" w:space="0" w:color="auto"/>
      </w:divBdr>
    </w:div>
    <w:div w:id="744036220">
      <w:marLeft w:val="0"/>
      <w:marRight w:val="0"/>
      <w:marTop w:val="0"/>
      <w:marBottom w:val="0"/>
      <w:divBdr>
        <w:top w:val="none" w:sz="0" w:space="0" w:color="auto"/>
        <w:left w:val="none" w:sz="0" w:space="0" w:color="auto"/>
        <w:bottom w:val="none" w:sz="0" w:space="0" w:color="auto"/>
        <w:right w:val="none" w:sz="0" w:space="0" w:color="auto"/>
      </w:divBdr>
    </w:div>
    <w:div w:id="744036221">
      <w:marLeft w:val="0"/>
      <w:marRight w:val="0"/>
      <w:marTop w:val="0"/>
      <w:marBottom w:val="0"/>
      <w:divBdr>
        <w:top w:val="none" w:sz="0" w:space="0" w:color="auto"/>
        <w:left w:val="none" w:sz="0" w:space="0" w:color="auto"/>
        <w:bottom w:val="none" w:sz="0" w:space="0" w:color="auto"/>
        <w:right w:val="none" w:sz="0" w:space="0" w:color="auto"/>
      </w:divBdr>
    </w:div>
    <w:div w:id="744036222">
      <w:marLeft w:val="0"/>
      <w:marRight w:val="0"/>
      <w:marTop w:val="0"/>
      <w:marBottom w:val="0"/>
      <w:divBdr>
        <w:top w:val="none" w:sz="0" w:space="0" w:color="auto"/>
        <w:left w:val="none" w:sz="0" w:space="0" w:color="auto"/>
        <w:bottom w:val="none" w:sz="0" w:space="0" w:color="auto"/>
        <w:right w:val="none" w:sz="0" w:space="0" w:color="auto"/>
      </w:divBdr>
    </w:div>
    <w:div w:id="744036223">
      <w:marLeft w:val="0"/>
      <w:marRight w:val="0"/>
      <w:marTop w:val="0"/>
      <w:marBottom w:val="0"/>
      <w:divBdr>
        <w:top w:val="none" w:sz="0" w:space="0" w:color="auto"/>
        <w:left w:val="none" w:sz="0" w:space="0" w:color="auto"/>
        <w:bottom w:val="none" w:sz="0" w:space="0" w:color="auto"/>
        <w:right w:val="none" w:sz="0" w:space="0" w:color="auto"/>
      </w:divBdr>
    </w:div>
    <w:div w:id="744036225">
      <w:marLeft w:val="0"/>
      <w:marRight w:val="0"/>
      <w:marTop w:val="0"/>
      <w:marBottom w:val="0"/>
      <w:divBdr>
        <w:top w:val="none" w:sz="0" w:space="0" w:color="auto"/>
        <w:left w:val="none" w:sz="0" w:space="0" w:color="auto"/>
        <w:bottom w:val="none" w:sz="0" w:space="0" w:color="auto"/>
        <w:right w:val="none" w:sz="0" w:space="0" w:color="auto"/>
      </w:divBdr>
    </w:div>
    <w:div w:id="744036228">
      <w:marLeft w:val="0"/>
      <w:marRight w:val="0"/>
      <w:marTop w:val="0"/>
      <w:marBottom w:val="0"/>
      <w:divBdr>
        <w:top w:val="none" w:sz="0" w:space="0" w:color="auto"/>
        <w:left w:val="none" w:sz="0" w:space="0" w:color="auto"/>
        <w:bottom w:val="none" w:sz="0" w:space="0" w:color="auto"/>
        <w:right w:val="none" w:sz="0" w:space="0" w:color="auto"/>
      </w:divBdr>
    </w:div>
    <w:div w:id="744036230">
      <w:marLeft w:val="0"/>
      <w:marRight w:val="0"/>
      <w:marTop w:val="0"/>
      <w:marBottom w:val="0"/>
      <w:divBdr>
        <w:top w:val="none" w:sz="0" w:space="0" w:color="auto"/>
        <w:left w:val="none" w:sz="0" w:space="0" w:color="auto"/>
        <w:bottom w:val="none" w:sz="0" w:space="0" w:color="auto"/>
        <w:right w:val="none" w:sz="0" w:space="0" w:color="auto"/>
      </w:divBdr>
    </w:div>
    <w:div w:id="744036231">
      <w:marLeft w:val="0"/>
      <w:marRight w:val="0"/>
      <w:marTop w:val="0"/>
      <w:marBottom w:val="0"/>
      <w:divBdr>
        <w:top w:val="none" w:sz="0" w:space="0" w:color="auto"/>
        <w:left w:val="none" w:sz="0" w:space="0" w:color="auto"/>
        <w:bottom w:val="none" w:sz="0" w:space="0" w:color="auto"/>
        <w:right w:val="none" w:sz="0" w:space="0" w:color="auto"/>
      </w:divBdr>
    </w:div>
    <w:div w:id="744036235">
      <w:marLeft w:val="0"/>
      <w:marRight w:val="0"/>
      <w:marTop w:val="0"/>
      <w:marBottom w:val="0"/>
      <w:divBdr>
        <w:top w:val="none" w:sz="0" w:space="0" w:color="auto"/>
        <w:left w:val="none" w:sz="0" w:space="0" w:color="auto"/>
        <w:bottom w:val="none" w:sz="0" w:space="0" w:color="auto"/>
        <w:right w:val="none" w:sz="0" w:space="0" w:color="auto"/>
      </w:divBdr>
    </w:div>
    <w:div w:id="744036236">
      <w:marLeft w:val="0"/>
      <w:marRight w:val="0"/>
      <w:marTop w:val="0"/>
      <w:marBottom w:val="0"/>
      <w:divBdr>
        <w:top w:val="none" w:sz="0" w:space="0" w:color="auto"/>
        <w:left w:val="none" w:sz="0" w:space="0" w:color="auto"/>
        <w:bottom w:val="none" w:sz="0" w:space="0" w:color="auto"/>
        <w:right w:val="none" w:sz="0" w:space="0" w:color="auto"/>
      </w:divBdr>
    </w:div>
    <w:div w:id="744036237">
      <w:marLeft w:val="0"/>
      <w:marRight w:val="0"/>
      <w:marTop w:val="0"/>
      <w:marBottom w:val="0"/>
      <w:divBdr>
        <w:top w:val="none" w:sz="0" w:space="0" w:color="auto"/>
        <w:left w:val="none" w:sz="0" w:space="0" w:color="auto"/>
        <w:bottom w:val="none" w:sz="0" w:space="0" w:color="auto"/>
        <w:right w:val="none" w:sz="0" w:space="0" w:color="auto"/>
      </w:divBdr>
      <w:divsChild>
        <w:div w:id="744035946">
          <w:marLeft w:val="0"/>
          <w:marRight w:val="0"/>
          <w:marTop w:val="0"/>
          <w:marBottom w:val="0"/>
          <w:divBdr>
            <w:top w:val="none" w:sz="0" w:space="0" w:color="auto"/>
            <w:left w:val="none" w:sz="0" w:space="0" w:color="auto"/>
            <w:bottom w:val="none" w:sz="0" w:space="0" w:color="auto"/>
            <w:right w:val="none" w:sz="0" w:space="0" w:color="auto"/>
          </w:divBdr>
        </w:div>
        <w:div w:id="744035957">
          <w:marLeft w:val="0"/>
          <w:marRight w:val="0"/>
          <w:marTop w:val="0"/>
          <w:marBottom w:val="0"/>
          <w:divBdr>
            <w:top w:val="none" w:sz="0" w:space="0" w:color="auto"/>
            <w:left w:val="none" w:sz="0" w:space="0" w:color="auto"/>
            <w:bottom w:val="none" w:sz="0" w:space="0" w:color="auto"/>
            <w:right w:val="none" w:sz="0" w:space="0" w:color="auto"/>
          </w:divBdr>
        </w:div>
        <w:div w:id="744036006">
          <w:marLeft w:val="0"/>
          <w:marRight w:val="0"/>
          <w:marTop w:val="0"/>
          <w:marBottom w:val="0"/>
          <w:divBdr>
            <w:top w:val="none" w:sz="0" w:space="0" w:color="auto"/>
            <w:left w:val="none" w:sz="0" w:space="0" w:color="auto"/>
            <w:bottom w:val="none" w:sz="0" w:space="0" w:color="auto"/>
            <w:right w:val="none" w:sz="0" w:space="0" w:color="auto"/>
          </w:divBdr>
        </w:div>
        <w:div w:id="744036135">
          <w:marLeft w:val="0"/>
          <w:marRight w:val="0"/>
          <w:marTop w:val="0"/>
          <w:marBottom w:val="0"/>
          <w:divBdr>
            <w:top w:val="none" w:sz="0" w:space="0" w:color="auto"/>
            <w:left w:val="none" w:sz="0" w:space="0" w:color="auto"/>
            <w:bottom w:val="none" w:sz="0" w:space="0" w:color="auto"/>
            <w:right w:val="none" w:sz="0" w:space="0" w:color="auto"/>
          </w:divBdr>
        </w:div>
        <w:div w:id="744036348">
          <w:marLeft w:val="0"/>
          <w:marRight w:val="0"/>
          <w:marTop w:val="0"/>
          <w:marBottom w:val="0"/>
          <w:divBdr>
            <w:top w:val="none" w:sz="0" w:space="0" w:color="auto"/>
            <w:left w:val="none" w:sz="0" w:space="0" w:color="auto"/>
            <w:bottom w:val="none" w:sz="0" w:space="0" w:color="auto"/>
            <w:right w:val="none" w:sz="0" w:space="0" w:color="auto"/>
          </w:divBdr>
        </w:div>
        <w:div w:id="744036353">
          <w:marLeft w:val="0"/>
          <w:marRight w:val="0"/>
          <w:marTop w:val="0"/>
          <w:marBottom w:val="0"/>
          <w:divBdr>
            <w:top w:val="none" w:sz="0" w:space="0" w:color="auto"/>
            <w:left w:val="none" w:sz="0" w:space="0" w:color="auto"/>
            <w:bottom w:val="none" w:sz="0" w:space="0" w:color="auto"/>
            <w:right w:val="none" w:sz="0" w:space="0" w:color="auto"/>
          </w:divBdr>
        </w:div>
      </w:divsChild>
    </w:div>
    <w:div w:id="744036239">
      <w:marLeft w:val="0"/>
      <w:marRight w:val="0"/>
      <w:marTop w:val="0"/>
      <w:marBottom w:val="0"/>
      <w:divBdr>
        <w:top w:val="none" w:sz="0" w:space="0" w:color="auto"/>
        <w:left w:val="none" w:sz="0" w:space="0" w:color="auto"/>
        <w:bottom w:val="none" w:sz="0" w:space="0" w:color="auto"/>
        <w:right w:val="none" w:sz="0" w:space="0" w:color="auto"/>
      </w:divBdr>
    </w:div>
    <w:div w:id="744036241">
      <w:marLeft w:val="0"/>
      <w:marRight w:val="0"/>
      <w:marTop w:val="0"/>
      <w:marBottom w:val="0"/>
      <w:divBdr>
        <w:top w:val="none" w:sz="0" w:space="0" w:color="auto"/>
        <w:left w:val="none" w:sz="0" w:space="0" w:color="auto"/>
        <w:bottom w:val="none" w:sz="0" w:space="0" w:color="auto"/>
        <w:right w:val="none" w:sz="0" w:space="0" w:color="auto"/>
      </w:divBdr>
    </w:div>
    <w:div w:id="744036246">
      <w:marLeft w:val="0"/>
      <w:marRight w:val="0"/>
      <w:marTop w:val="0"/>
      <w:marBottom w:val="0"/>
      <w:divBdr>
        <w:top w:val="none" w:sz="0" w:space="0" w:color="auto"/>
        <w:left w:val="none" w:sz="0" w:space="0" w:color="auto"/>
        <w:bottom w:val="none" w:sz="0" w:space="0" w:color="auto"/>
        <w:right w:val="none" w:sz="0" w:space="0" w:color="auto"/>
      </w:divBdr>
    </w:div>
    <w:div w:id="744036247">
      <w:marLeft w:val="0"/>
      <w:marRight w:val="0"/>
      <w:marTop w:val="0"/>
      <w:marBottom w:val="0"/>
      <w:divBdr>
        <w:top w:val="none" w:sz="0" w:space="0" w:color="auto"/>
        <w:left w:val="none" w:sz="0" w:space="0" w:color="auto"/>
        <w:bottom w:val="none" w:sz="0" w:space="0" w:color="auto"/>
        <w:right w:val="none" w:sz="0" w:space="0" w:color="auto"/>
      </w:divBdr>
    </w:div>
    <w:div w:id="744036248">
      <w:marLeft w:val="0"/>
      <w:marRight w:val="0"/>
      <w:marTop w:val="0"/>
      <w:marBottom w:val="0"/>
      <w:divBdr>
        <w:top w:val="none" w:sz="0" w:space="0" w:color="auto"/>
        <w:left w:val="none" w:sz="0" w:space="0" w:color="auto"/>
        <w:bottom w:val="none" w:sz="0" w:space="0" w:color="auto"/>
        <w:right w:val="none" w:sz="0" w:space="0" w:color="auto"/>
      </w:divBdr>
    </w:div>
    <w:div w:id="744036252">
      <w:marLeft w:val="0"/>
      <w:marRight w:val="0"/>
      <w:marTop w:val="0"/>
      <w:marBottom w:val="0"/>
      <w:divBdr>
        <w:top w:val="none" w:sz="0" w:space="0" w:color="auto"/>
        <w:left w:val="none" w:sz="0" w:space="0" w:color="auto"/>
        <w:bottom w:val="none" w:sz="0" w:space="0" w:color="auto"/>
        <w:right w:val="none" w:sz="0" w:space="0" w:color="auto"/>
      </w:divBdr>
    </w:div>
    <w:div w:id="744036256">
      <w:marLeft w:val="0"/>
      <w:marRight w:val="0"/>
      <w:marTop w:val="0"/>
      <w:marBottom w:val="0"/>
      <w:divBdr>
        <w:top w:val="none" w:sz="0" w:space="0" w:color="auto"/>
        <w:left w:val="none" w:sz="0" w:space="0" w:color="auto"/>
        <w:bottom w:val="none" w:sz="0" w:space="0" w:color="auto"/>
        <w:right w:val="none" w:sz="0" w:space="0" w:color="auto"/>
      </w:divBdr>
    </w:div>
    <w:div w:id="744036258">
      <w:marLeft w:val="0"/>
      <w:marRight w:val="0"/>
      <w:marTop w:val="0"/>
      <w:marBottom w:val="0"/>
      <w:divBdr>
        <w:top w:val="none" w:sz="0" w:space="0" w:color="auto"/>
        <w:left w:val="none" w:sz="0" w:space="0" w:color="auto"/>
        <w:bottom w:val="none" w:sz="0" w:space="0" w:color="auto"/>
        <w:right w:val="none" w:sz="0" w:space="0" w:color="auto"/>
      </w:divBdr>
    </w:div>
    <w:div w:id="744036259">
      <w:marLeft w:val="0"/>
      <w:marRight w:val="0"/>
      <w:marTop w:val="0"/>
      <w:marBottom w:val="0"/>
      <w:divBdr>
        <w:top w:val="none" w:sz="0" w:space="0" w:color="auto"/>
        <w:left w:val="none" w:sz="0" w:space="0" w:color="auto"/>
        <w:bottom w:val="none" w:sz="0" w:space="0" w:color="auto"/>
        <w:right w:val="none" w:sz="0" w:space="0" w:color="auto"/>
      </w:divBdr>
    </w:div>
    <w:div w:id="744036261">
      <w:marLeft w:val="0"/>
      <w:marRight w:val="0"/>
      <w:marTop w:val="0"/>
      <w:marBottom w:val="0"/>
      <w:divBdr>
        <w:top w:val="none" w:sz="0" w:space="0" w:color="auto"/>
        <w:left w:val="none" w:sz="0" w:space="0" w:color="auto"/>
        <w:bottom w:val="none" w:sz="0" w:space="0" w:color="auto"/>
        <w:right w:val="none" w:sz="0" w:space="0" w:color="auto"/>
      </w:divBdr>
    </w:div>
    <w:div w:id="744036262">
      <w:marLeft w:val="0"/>
      <w:marRight w:val="0"/>
      <w:marTop w:val="0"/>
      <w:marBottom w:val="0"/>
      <w:divBdr>
        <w:top w:val="none" w:sz="0" w:space="0" w:color="auto"/>
        <w:left w:val="none" w:sz="0" w:space="0" w:color="auto"/>
        <w:bottom w:val="none" w:sz="0" w:space="0" w:color="auto"/>
        <w:right w:val="none" w:sz="0" w:space="0" w:color="auto"/>
      </w:divBdr>
    </w:div>
    <w:div w:id="744036264">
      <w:marLeft w:val="0"/>
      <w:marRight w:val="0"/>
      <w:marTop w:val="0"/>
      <w:marBottom w:val="0"/>
      <w:divBdr>
        <w:top w:val="none" w:sz="0" w:space="0" w:color="auto"/>
        <w:left w:val="none" w:sz="0" w:space="0" w:color="auto"/>
        <w:bottom w:val="none" w:sz="0" w:space="0" w:color="auto"/>
        <w:right w:val="none" w:sz="0" w:space="0" w:color="auto"/>
      </w:divBdr>
    </w:div>
    <w:div w:id="744036267">
      <w:marLeft w:val="0"/>
      <w:marRight w:val="0"/>
      <w:marTop w:val="0"/>
      <w:marBottom w:val="0"/>
      <w:divBdr>
        <w:top w:val="none" w:sz="0" w:space="0" w:color="auto"/>
        <w:left w:val="none" w:sz="0" w:space="0" w:color="auto"/>
        <w:bottom w:val="none" w:sz="0" w:space="0" w:color="auto"/>
        <w:right w:val="none" w:sz="0" w:space="0" w:color="auto"/>
      </w:divBdr>
    </w:div>
    <w:div w:id="744036269">
      <w:marLeft w:val="0"/>
      <w:marRight w:val="0"/>
      <w:marTop w:val="0"/>
      <w:marBottom w:val="0"/>
      <w:divBdr>
        <w:top w:val="none" w:sz="0" w:space="0" w:color="auto"/>
        <w:left w:val="none" w:sz="0" w:space="0" w:color="auto"/>
        <w:bottom w:val="none" w:sz="0" w:space="0" w:color="auto"/>
        <w:right w:val="none" w:sz="0" w:space="0" w:color="auto"/>
      </w:divBdr>
    </w:div>
    <w:div w:id="744036270">
      <w:marLeft w:val="0"/>
      <w:marRight w:val="0"/>
      <w:marTop w:val="0"/>
      <w:marBottom w:val="0"/>
      <w:divBdr>
        <w:top w:val="none" w:sz="0" w:space="0" w:color="auto"/>
        <w:left w:val="none" w:sz="0" w:space="0" w:color="auto"/>
        <w:bottom w:val="none" w:sz="0" w:space="0" w:color="auto"/>
        <w:right w:val="none" w:sz="0" w:space="0" w:color="auto"/>
      </w:divBdr>
    </w:div>
    <w:div w:id="744036276">
      <w:marLeft w:val="0"/>
      <w:marRight w:val="0"/>
      <w:marTop w:val="0"/>
      <w:marBottom w:val="0"/>
      <w:divBdr>
        <w:top w:val="none" w:sz="0" w:space="0" w:color="auto"/>
        <w:left w:val="none" w:sz="0" w:space="0" w:color="auto"/>
        <w:bottom w:val="none" w:sz="0" w:space="0" w:color="auto"/>
        <w:right w:val="none" w:sz="0" w:space="0" w:color="auto"/>
      </w:divBdr>
    </w:div>
    <w:div w:id="744036277">
      <w:marLeft w:val="0"/>
      <w:marRight w:val="0"/>
      <w:marTop w:val="0"/>
      <w:marBottom w:val="0"/>
      <w:divBdr>
        <w:top w:val="none" w:sz="0" w:space="0" w:color="auto"/>
        <w:left w:val="none" w:sz="0" w:space="0" w:color="auto"/>
        <w:bottom w:val="none" w:sz="0" w:space="0" w:color="auto"/>
        <w:right w:val="none" w:sz="0" w:space="0" w:color="auto"/>
      </w:divBdr>
    </w:div>
    <w:div w:id="744036280">
      <w:marLeft w:val="0"/>
      <w:marRight w:val="0"/>
      <w:marTop w:val="0"/>
      <w:marBottom w:val="0"/>
      <w:divBdr>
        <w:top w:val="none" w:sz="0" w:space="0" w:color="auto"/>
        <w:left w:val="none" w:sz="0" w:space="0" w:color="auto"/>
        <w:bottom w:val="none" w:sz="0" w:space="0" w:color="auto"/>
        <w:right w:val="none" w:sz="0" w:space="0" w:color="auto"/>
      </w:divBdr>
    </w:div>
    <w:div w:id="744036281">
      <w:marLeft w:val="0"/>
      <w:marRight w:val="0"/>
      <w:marTop w:val="0"/>
      <w:marBottom w:val="0"/>
      <w:divBdr>
        <w:top w:val="none" w:sz="0" w:space="0" w:color="auto"/>
        <w:left w:val="none" w:sz="0" w:space="0" w:color="auto"/>
        <w:bottom w:val="none" w:sz="0" w:space="0" w:color="auto"/>
        <w:right w:val="none" w:sz="0" w:space="0" w:color="auto"/>
      </w:divBdr>
    </w:div>
    <w:div w:id="744036283">
      <w:marLeft w:val="0"/>
      <w:marRight w:val="0"/>
      <w:marTop w:val="0"/>
      <w:marBottom w:val="0"/>
      <w:divBdr>
        <w:top w:val="none" w:sz="0" w:space="0" w:color="auto"/>
        <w:left w:val="none" w:sz="0" w:space="0" w:color="auto"/>
        <w:bottom w:val="none" w:sz="0" w:space="0" w:color="auto"/>
        <w:right w:val="none" w:sz="0" w:space="0" w:color="auto"/>
      </w:divBdr>
    </w:div>
    <w:div w:id="744036288">
      <w:marLeft w:val="0"/>
      <w:marRight w:val="0"/>
      <w:marTop w:val="0"/>
      <w:marBottom w:val="0"/>
      <w:divBdr>
        <w:top w:val="none" w:sz="0" w:space="0" w:color="auto"/>
        <w:left w:val="none" w:sz="0" w:space="0" w:color="auto"/>
        <w:bottom w:val="none" w:sz="0" w:space="0" w:color="auto"/>
        <w:right w:val="none" w:sz="0" w:space="0" w:color="auto"/>
      </w:divBdr>
    </w:div>
    <w:div w:id="744036289">
      <w:marLeft w:val="0"/>
      <w:marRight w:val="0"/>
      <w:marTop w:val="0"/>
      <w:marBottom w:val="0"/>
      <w:divBdr>
        <w:top w:val="none" w:sz="0" w:space="0" w:color="auto"/>
        <w:left w:val="none" w:sz="0" w:space="0" w:color="auto"/>
        <w:bottom w:val="none" w:sz="0" w:space="0" w:color="auto"/>
        <w:right w:val="none" w:sz="0" w:space="0" w:color="auto"/>
      </w:divBdr>
    </w:div>
    <w:div w:id="744036290">
      <w:marLeft w:val="0"/>
      <w:marRight w:val="0"/>
      <w:marTop w:val="0"/>
      <w:marBottom w:val="0"/>
      <w:divBdr>
        <w:top w:val="none" w:sz="0" w:space="0" w:color="auto"/>
        <w:left w:val="none" w:sz="0" w:space="0" w:color="auto"/>
        <w:bottom w:val="none" w:sz="0" w:space="0" w:color="auto"/>
        <w:right w:val="none" w:sz="0" w:space="0" w:color="auto"/>
      </w:divBdr>
      <w:divsChild>
        <w:div w:id="744035731">
          <w:marLeft w:val="0"/>
          <w:marRight w:val="0"/>
          <w:marTop w:val="0"/>
          <w:marBottom w:val="0"/>
          <w:divBdr>
            <w:top w:val="none" w:sz="0" w:space="0" w:color="auto"/>
            <w:left w:val="none" w:sz="0" w:space="0" w:color="auto"/>
            <w:bottom w:val="none" w:sz="0" w:space="0" w:color="auto"/>
            <w:right w:val="none" w:sz="0" w:space="0" w:color="auto"/>
          </w:divBdr>
        </w:div>
      </w:divsChild>
    </w:div>
    <w:div w:id="744036292">
      <w:marLeft w:val="0"/>
      <w:marRight w:val="0"/>
      <w:marTop w:val="0"/>
      <w:marBottom w:val="0"/>
      <w:divBdr>
        <w:top w:val="none" w:sz="0" w:space="0" w:color="auto"/>
        <w:left w:val="none" w:sz="0" w:space="0" w:color="auto"/>
        <w:bottom w:val="none" w:sz="0" w:space="0" w:color="auto"/>
        <w:right w:val="none" w:sz="0" w:space="0" w:color="auto"/>
      </w:divBdr>
    </w:div>
    <w:div w:id="744036295">
      <w:marLeft w:val="0"/>
      <w:marRight w:val="0"/>
      <w:marTop w:val="0"/>
      <w:marBottom w:val="0"/>
      <w:divBdr>
        <w:top w:val="none" w:sz="0" w:space="0" w:color="auto"/>
        <w:left w:val="none" w:sz="0" w:space="0" w:color="auto"/>
        <w:bottom w:val="none" w:sz="0" w:space="0" w:color="auto"/>
        <w:right w:val="none" w:sz="0" w:space="0" w:color="auto"/>
      </w:divBdr>
    </w:div>
    <w:div w:id="744036296">
      <w:marLeft w:val="0"/>
      <w:marRight w:val="0"/>
      <w:marTop w:val="0"/>
      <w:marBottom w:val="0"/>
      <w:divBdr>
        <w:top w:val="none" w:sz="0" w:space="0" w:color="auto"/>
        <w:left w:val="none" w:sz="0" w:space="0" w:color="auto"/>
        <w:bottom w:val="none" w:sz="0" w:space="0" w:color="auto"/>
        <w:right w:val="none" w:sz="0" w:space="0" w:color="auto"/>
      </w:divBdr>
    </w:div>
    <w:div w:id="744036298">
      <w:marLeft w:val="0"/>
      <w:marRight w:val="0"/>
      <w:marTop w:val="0"/>
      <w:marBottom w:val="0"/>
      <w:divBdr>
        <w:top w:val="none" w:sz="0" w:space="0" w:color="auto"/>
        <w:left w:val="none" w:sz="0" w:space="0" w:color="auto"/>
        <w:bottom w:val="none" w:sz="0" w:space="0" w:color="auto"/>
        <w:right w:val="none" w:sz="0" w:space="0" w:color="auto"/>
      </w:divBdr>
    </w:div>
    <w:div w:id="744036299">
      <w:marLeft w:val="0"/>
      <w:marRight w:val="0"/>
      <w:marTop w:val="0"/>
      <w:marBottom w:val="0"/>
      <w:divBdr>
        <w:top w:val="none" w:sz="0" w:space="0" w:color="auto"/>
        <w:left w:val="none" w:sz="0" w:space="0" w:color="auto"/>
        <w:bottom w:val="none" w:sz="0" w:space="0" w:color="auto"/>
        <w:right w:val="none" w:sz="0" w:space="0" w:color="auto"/>
      </w:divBdr>
    </w:div>
    <w:div w:id="744036301">
      <w:marLeft w:val="0"/>
      <w:marRight w:val="0"/>
      <w:marTop w:val="0"/>
      <w:marBottom w:val="0"/>
      <w:divBdr>
        <w:top w:val="none" w:sz="0" w:space="0" w:color="auto"/>
        <w:left w:val="none" w:sz="0" w:space="0" w:color="auto"/>
        <w:bottom w:val="none" w:sz="0" w:space="0" w:color="auto"/>
        <w:right w:val="none" w:sz="0" w:space="0" w:color="auto"/>
      </w:divBdr>
    </w:div>
    <w:div w:id="744036307">
      <w:marLeft w:val="0"/>
      <w:marRight w:val="0"/>
      <w:marTop w:val="0"/>
      <w:marBottom w:val="0"/>
      <w:divBdr>
        <w:top w:val="none" w:sz="0" w:space="0" w:color="auto"/>
        <w:left w:val="none" w:sz="0" w:space="0" w:color="auto"/>
        <w:bottom w:val="none" w:sz="0" w:space="0" w:color="auto"/>
        <w:right w:val="none" w:sz="0" w:space="0" w:color="auto"/>
      </w:divBdr>
    </w:div>
    <w:div w:id="744036309">
      <w:marLeft w:val="0"/>
      <w:marRight w:val="0"/>
      <w:marTop w:val="0"/>
      <w:marBottom w:val="0"/>
      <w:divBdr>
        <w:top w:val="none" w:sz="0" w:space="0" w:color="auto"/>
        <w:left w:val="none" w:sz="0" w:space="0" w:color="auto"/>
        <w:bottom w:val="none" w:sz="0" w:space="0" w:color="auto"/>
        <w:right w:val="none" w:sz="0" w:space="0" w:color="auto"/>
      </w:divBdr>
    </w:div>
    <w:div w:id="744036310">
      <w:marLeft w:val="0"/>
      <w:marRight w:val="0"/>
      <w:marTop w:val="0"/>
      <w:marBottom w:val="0"/>
      <w:divBdr>
        <w:top w:val="none" w:sz="0" w:space="0" w:color="auto"/>
        <w:left w:val="none" w:sz="0" w:space="0" w:color="auto"/>
        <w:bottom w:val="none" w:sz="0" w:space="0" w:color="auto"/>
        <w:right w:val="none" w:sz="0" w:space="0" w:color="auto"/>
      </w:divBdr>
    </w:div>
    <w:div w:id="744036311">
      <w:marLeft w:val="0"/>
      <w:marRight w:val="0"/>
      <w:marTop w:val="0"/>
      <w:marBottom w:val="0"/>
      <w:divBdr>
        <w:top w:val="none" w:sz="0" w:space="0" w:color="auto"/>
        <w:left w:val="none" w:sz="0" w:space="0" w:color="auto"/>
        <w:bottom w:val="none" w:sz="0" w:space="0" w:color="auto"/>
        <w:right w:val="none" w:sz="0" w:space="0" w:color="auto"/>
      </w:divBdr>
    </w:div>
    <w:div w:id="744036312">
      <w:marLeft w:val="0"/>
      <w:marRight w:val="0"/>
      <w:marTop w:val="0"/>
      <w:marBottom w:val="0"/>
      <w:divBdr>
        <w:top w:val="none" w:sz="0" w:space="0" w:color="auto"/>
        <w:left w:val="none" w:sz="0" w:space="0" w:color="auto"/>
        <w:bottom w:val="none" w:sz="0" w:space="0" w:color="auto"/>
        <w:right w:val="none" w:sz="0" w:space="0" w:color="auto"/>
      </w:divBdr>
    </w:div>
    <w:div w:id="744036314">
      <w:marLeft w:val="0"/>
      <w:marRight w:val="0"/>
      <w:marTop w:val="0"/>
      <w:marBottom w:val="0"/>
      <w:divBdr>
        <w:top w:val="none" w:sz="0" w:space="0" w:color="auto"/>
        <w:left w:val="none" w:sz="0" w:space="0" w:color="auto"/>
        <w:bottom w:val="none" w:sz="0" w:space="0" w:color="auto"/>
        <w:right w:val="none" w:sz="0" w:space="0" w:color="auto"/>
      </w:divBdr>
    </w:div>
    <w:div w:id="744036315">
      <w:marLeft w:val="0"/>
      <w:marRight w:val="0"/>
      <w:marTop w:val="0"/>
      <w:marBottom w:val="0"/>
      <w:divBdr>
        <w:top w:val="none" w:sz="0" w:space="0" w:color="auto"/>
        <w:left w:val="none" w:sz="0" w:space="0" w:color="auto"/>
        <w:bottom w:val="none" w:sz="0" w:space="0" w:color="auto"/>
        <w:right w:val="none" w:sz="0" w:space="0" w:color="auto"/>
      </w:divBdr>
    </w:div>
    <w:div w:id="744036316">
      <w:marLeft w:val="0"/>
      <w:marRight w:val="0"/>
      <w:marTop w:val="0"/>
      <w:marBottom w:val="0"/>
      <w:divBdr>
        <w:top w:val="none" w:sz="0" w:space="0" w:color="auto"/>
        <w:left w:val="none" w:sz="0" w:space="0" w:color="auto"/>
        <w:bottom w:val="none" w:sz="0" w:space="0" w:color="auto"/>
        <w:right w:val="none" w:sz="0" w:space="0" w:color="auto"/>
      </w:divBdr>
    </w:div>
    <w:div w:id="744036318">
      <w:marLeft w:val="0"/>
      <w:marRight w:val="0"/>
      <w:marTop w:val="0"/>
      <w:marBottom w:val="0"/>
      <w:divBdr>
        <w:top w:val="none" w:sz="0" w:space="0" w:color="auto"/>
        <w:left w:val="none" w:sz="0" w:space="0" w:color="auto"/>
        <w:bottom w:val="none" w:sz="0" w:space="0" w:color="auto"/>
        <w:right w:val="none" w:sz="0" w:space="0" w:color="auto"/>
      </w:divBdr>
    </w:div>
    <w:div w:id="744036319">
      <w:marLeft w:val="0"/>
      <w:marRight w:val="0"/>
      <w:marTop w:val="0"/>
      <w:marBottom w:val="0"/>
      <w:divBdr>
        <w:top w:val="none" w:sz="0" w:space="0" w:color="auto"/>
        <w:left w:val="none" w:sz="0" w:space="0" w:color="auto"/>
        <w:bottom w:val="none" w:sz="0" w:space="0" w:color="auto"/>
        <w:right w:val="none" w:sz="0" w:space="0" w:color="auto"/>
      </w:divBdr>
    </w:div>
    <w:div w:id="744036324">
      <w:marLeft w:val="0"/>
      <w:marRight w:val="0"/>
      <w:marTop w:val="0"/>
      <w:marBottom w:val="0"/>
      <w:divBdr>
        <w:top w:val="none" w:sz="0" w:space="0" w:color="auto"/>
        <w:left w:val="none" w:sz="0" w:space="0" w:color="auto"/>
        <w:bottom w:val="none" w:sz="0" w:space="0" w:color="auto"/>
        <w:right w:val="none" w:sz="0" w:space="0" w:color="auto"/>
      </w:divBdr>
    </w:div>
    <w:div w:id="744036325">
      <w:marLeft w:val="0"/>
      <w:marRight w:val="0"/>
      <w:marTop w:val="0"/>
      <w:marBottom w:val="0"/>
      <w:divBdr>
        <w:top w:val="none" w:sz="0" w:space="0" w:color="auto"/>
        <w:left w:val="none" w:sz="0" w:space="0" w:color="auto"/>
        <w:bottom w:val="none" w:sz="0" w:space="0" w:color="auto"/>
        <w:right w:val="none" w:sz="0" w:space="0" w:color="auto"/>
      </w:divBdr>
    </w:div>
    <w:div w:id="744036326">
      <w:marLeft w:val="0"/>
      <w:marRight w:val="0"/>
      <w:marTop w:val="0"/>
      <w:marBottom w:val="0"/>
      <w:divBdr>
        <w:top w:val="none" w:sz="0" w:space="0" w:color="auto"/>
        <w:left w:val="none" w:sz="0" w:space="0" w:color="auto"/>
        <w:bottom w:val="none" w:sz="0" w:space="0" w:color="auto"/>
        <w:right w:val="none" w:sz="0" w:space="0" w:color="auto"/>
      </w:divBdr>
    </w:div>
    <w:div w:id="744036327">
      <w:marLeft w:val="0"/>
      <w:marRight w:val="0"/>
      <w:marTop w:val="0"/>
      <w:marBottom w:val="0"/>
      <w:divBdr>
        <w:top w:val="none" w:sz="0" w:space="0" w:color="auto"/>
        <w:left w:val="none" w:sz="0" w:space="0" w:color="auto"/>
        <w:bottom w:val="none" w:sz="0" w:space="0" w:color="auto"/>
        <w:right w:val="none" w:sz="0" w:space="0" w:color="auto"/>
      </w:divBdr>
    </w:div>
    <w:div w:id="744036329">
      <w:marLeft w:val="0"/>
      <w:marRight w:val="0"/>
      <w:marTop w:val="0"/>
      <w:marBottom w:val="0"/>
      <w:divBdr>
        <w:top w:val="none" w:sz="0" w:space="0" w:color="auto"/>
        <w:left w:val="none" w:sz="0" w:space="0" w:color="auto"/>
        <w:bottom w:val="none" w:sz="0" w:space="0" w:color="auto"/>
        <w:right w:val="none" w:sz="0" w:space="0" w:color="auto"/>
      </w:divBdr>
    </w:div>
    <w:div w:id="744036332">
      <w:marLeft w:val="0"/>
      <w:marRight w:val="0"/>
      <w:marTop w:val="0"/>
      <w:marBottom w:val="0"/>
      <w:divBdr>
        <w:top w:val="none" w:sz="0" w:space="0" w:color="auto"/>
        <w:left w:val="none" w:sz="0" w:space="0" w:color="auto"/>
        <w:bottom w:val="none" w:sz="0" w:space="0" w:color="auto"/>
        <w:right w:val="none" w:sz="0" w:space="0" w:color="auto"/>
      </w:divBdr>
    </w:div>
    <w:div w:id="744036333">
      <w:marLeft w:val="0"/>
      <w:marRight w:val="0"/>
      <w:marTop w:val="0"/>
      <w:marBottom w:val="0"/>
      <w:divBdr>
        <w:top w:val="none" w:sz="0" w:space="0" w:color="auto"/>
        <w:left w:val="none" w:sz="0" w:space="0" w:color="auto"/>
        <w:bottom w:val="none" w:sz="0" w:space="0" w:color="auto"/>
        <w:right w:val="none" w:sz="0" w:space="0" w:color="auto"/>
      </w:divBdr>
    </w:div>
    <w:div w:id="744036334">
      <w:marLeft w:val="0"/>
      <w:marRight w:val="0"/>
      <w:marTop w:val="0"/>
      <w:marBottom w:val="0"/>
      <w:divBdr>
        <w:top w:val="none" w:sz="0" w:space="0" w:color="auto"/>
        <w:left w:val="none" w:sz="0" w:space="0" w:color="auto"/>
        <w:bottom w:val="none" w:sz="0" w:space="0" w:color="auto"/>
        <w:right w:val="none" w:sz="0" w:space="0" w:color="auto"/>
      </w:divBdr>
    </w:div>
    <w:div w:id="744036339">
      <w:marLeft w:val="0"/>
      <w:marRight w:val="0"/>
      <w:marTop w:val="0"/>
      <w:marBottom w:val="0"/>
      <w:divBdr>
        <w:top w:val="none" w:sz="0" w:space="0" w:color="auto"/>
        <w:left w:val="none" w:sz="0" w:space="0" w:color="auto"/>
        <w:bottom w:val="none" w:sz="0" w:space="0" w:color="auto"/>
        <w:right w:val="none" w:sz="0" w:space="0" w:color="auto"/>
      </w:divBdr>
    </w:div>
    <w:div w:id="744036340">
      <w:marLeft w:val="0"/>
      <w:marRight w:val="0"/>
      <w:marTop w:val="0"/>
      <w:marBottom w:val="0"/>
      <w:divBdr>
        <w:top w:val="none" w:sz="0" w:space="0" w:color="auto"/>
        <w:left w:val="none" w:sz="0" w:space="0" w:color="auto"/>
        <w:bottom w:val="none" w:sz="0" w:space="0" w:color="auto"/>
        <w:right w:val="none" w:sz="0" w:space="0" w:color="auto"/>
      </w:divBdr>
    </w:div>
    <w:div w:id="744036341">
      <w:marLeft w:val="0"/>
      <w:marRight w:val="0"/>
      <w:marTop w:val="0"/>
      <w:marBottom w:val="0"/>
      <w:divBdr>
        <w:top w:val="none" w:sz="0" w:space="0" w:color="auto"/>
        <w:left w:val="none" w:sz="0" w:space="0" w:color="auto"/>
        <w:bottom w:val="none" w:sz="0" w:space="0" w:color="auto"/>
        <w:right w:val="none" w:sz="0" w:space="0" w:color="auto"/>
      </w:divBdr>
    </w:div>
    <w:div w:id="744036345">
      <w:marLeft w:val="0"/>
      <w:marRight w:val="0"/>
      <w:marTop w:val="0"/>
      <w:marBottom w:val="0"/>
      <w:divBdr>
        <w:top w:val="none" w:sz="0" w:space="0" w:color="auto"/>
        <w:left w:val="none" w:sz="0" w:space="0" w:color="auto"/>
        <w:bottom w:val="none" w:sz="0" w:space="0" w:color="auto"/>
        <w:right w:val="none" w:sz="0" w:space="0" w:color="auto"/>
      </w:divBdr>
    </w:div>
    <w:div w:id="744036346">
      <w:marLeft w:val="0"/>
      <w:marRight w:val="0"/>
      <w:marTop w:val="0"/>
      <w:marBottom w:val="0"/>
      <w:divBdr>
        <w:top w:val="none" w:sz="0" w:space="0" w:color="auto"/>
        <w:left w:val="none" w:sz="0" w:space="0" w:color="auto"/>
        <w:bottom w:val="none" w:sz="0" w:space="0" w:color="auto"/>
        <w:right w:val="none" w:sz="0" w:space="0" w:color="auto"/>
      </w:divBdr>
    </w:div>
    <w:div w:id="744036350">
      <w:marLeft w:val="0"/>
      <w:marRight w:val="0"/>
      <w:marTop w:val="0"/>
      <w:marBottom w:val="0"/>
      <w:divBdr>
        <w:top w:val="none" w:sz="0" w:space="0" w:color="auto"/>
        <w:left w:val="none" w:sz="0" w:space="0" w:color="auto"/>
        <w:bottom w:val="none" w:sz="0" w:space="0" w:color="auto"/>
        <w:right w:val="none" w:sz="0" w:space="0" w:color="auto"/>
      </w:divBdr>
    </w:div>
    <w:div w:id="744036351">
      <w:marLeft w:val="0"/>
      <w:marRight w:val="0"/>
      <w:marTop w:val="0"/>
      <w:marBottom w:val="0"/>
      <w:divBdr>
        <w:top w:val="none" w:sz="0" w:space="0" w:color="auto"/>
        <w:left w:val="none" w:sz="0" w:space="0" w:color="auto"/>
        <w:bottom w:val="none" w:sz="0" w:space="0" w:color="auto"/>
        <w:right w:val="none" w:sz="0" w:space="0" w:color="auto"/>
      </w:divBdr>
    </w:div>
    <w:div w:id="744036354">
      <w:marLeft w:val="0"/>
      <w:marRight w:val="0"/>
      <w:marTop w:val="0"/>
      <w:marBottom w:val="0"/>
      <w:divBdr>
        <w:top w:val="none" w:sz="0" w:space="0" w:color="auto"/>
        <w:left w:val="none" w:sz="0" w:space="0" w:color="auto"/>
        <w:bottom w:val="none" w:sz="0" w:space="0" w:color="auto"/>
        <w:right w:val="none" w:sz="0" w:space="0" w:color="auto"/>
      </w:divBdr>
    </w:div>
    <w:div w:id="744036355">
      <w:marLeft w:val="0"/>
      <w:marRight w:val="0"/>
      <w:marTop w:val="0"/>
      <w:marBottom w:val="0"/>
      <w:divBdr>
        <w:top w:val="none" w:sz="0" w:space="0" w:color="auto"/>
        <w:left w:val="none" w:sz="0" w:space="0" w:color="auto"/>
        <w:bottom w:val="none" w:sz="0" w:space="0" w:color="auto"/>
        <w:right w:val="none" w:sz="0" w:space="0" w:color="auto"/>
      </w:divBdr>
      <w:divsChild>
        <w:div w:id="744035762">
          <w:marLeft w:val="0"/>
          <w:marRight w:val="0"/>
          <w:marTop w:val="0"/>
          <w:marBottom w:val="960"/>
          <w:divBdr>
            <w:top w:val="none" w:sz="0" w:space="0" w:color="auto"/>
            <w:left w:val="none" w:sz="0" w:space="0" w:color="auto"/>
            <w:bottom w:val="none" w:sz="0" w:space="0" w:color="auto"/>
            <w:right w:val="none" w:sz="0" w:space="0" w:color="auto"/>
          </w:divBdr>
          <w:divsChild>
            <w:div w:id="744035932">
              <w:marLeft w:val="0"/>
              <w:marRight w:val="0"/>
              <w:marTop w:val="0"/>
              <w:marBottom w:val="0"/>
              <w:divBdr>
                <w:top w:val="none" w:sz="0" w:space="0" w:color="auto"/>
                <w:left w:val="none" w:sz="0" w:space="0" w:color="auto"/>
                <w:bottom w:val="none" w:sz="0" w:space="0" w:color="auto"/>
                <w:right w:val="none" w:sz="0" w:space="0" w:color="auto"/>
              </w:divBdr>
              <w:divsChild>
                <w:div w:id="744036106">
                  <w:marLeft w:val="0"/>
                  <w:marRight w:val="0"/>
                  <w:marTop w:val="0"/>
                  <w:marBottom w:val="0"/>
                  <w:divBdr>
                    <w:top w:val="none" w:sz="0" w:space="0" w:color="auto"/>
                    <w:left w:val="none" w:sz="0" w:space="0" w:color="auto"/>
                    <w:bottom w:val="none" w:sz="0" w:space="0" w:color="auto"/>
                    <w:right w:val="none" w:sz="0" w:space="0" w:color="auto"/>
                  </w:divBdr>
                  <w:divsChild>
                    <w:div w:id="744035791">
                      <w:marLeft w:val="-2571"/>
                      <w:marRight w:val="720"/>
                      <w:marTop w:val="0"/>
                      <w:marBottom w:val="432"/>
                      <w:divBdr>
                        <w:top w:val="none" w:sz="0" w:space="0" w:color="auto"/>
                        <w:left w:val="none" w:sz="0" w:space="0" w:color="auto"/>
                        <w:bottom w:val="none" w:sz="0" w:space="0" w:color="auto"/>
                        <w:right w:val="none" w:sz="0" w:space="0" w:color="auto"/>
                      </w:divBdr>
                    </w:div>
                  </w:divsChild>
                </w:div>
              </w:divsChild>
            </w:div>
          </w:divsChild>
        </w:div>
      </w:divsChild>
    </w:div>
    <w:div w:id="744036356">
      <w:marLeft w:val="0"/>
      <w:marRight w:val="0"/>
      <w:marTop w:val="0"/>
      <w:marBottom w:val="0"/>
      <w:divBdr>
        <w:top w:val="none" w:sz="0" w:space="0" w:color="auto"/>
        <w:left w:val="none" w:sz="0" w:space="0" w:color="auto"/>
        <w:bottom w:val="none" w:sz="0" w:space="0" w:color="auto"/>
        <w:right w:val="none" w:sz="0" w:space="0" w:color="auto"/>
      </w:divBdr>
    </w:div>
    <w:div w:id="744036358">
      <w:marLeft w:val="0"/>
      <w:marRight w:val="0"/>
      <w:marTop w:val="0"/>
      <w:marBottom w:val="0"/>
      <w:divBdr>
        <w:top w:val="none" w:sz="0" w:space="0" w:color="auto"/>
        <w:left w:val="none" w:sz="0" w:space="0" w:color="auto"/>
        <w:bottom w:val="none" w:sz="0" w:space="0" w:color="auto"/>
        <w:right w:val="none" w:sz="0" w:space="0" w:color="auto"/>
      </w:divBdr>
    </w:div>
    <w:div w:id="751707988">
      <w:bodyDiv w:val="1"/>
      <w:marLeft w:val="0"/>
      <w:marRight w:val="0"/>
      <w:marTop w:val="0"/>
      <w:marBottom w:val="0"/>
      <w:divBdr>
        <w:top w:val="none" w:sz="0" w:space="0" w:color="auto"/>
        <w:left w:val="none" w:sz="0" w:space="0" w:color="auto"/>
        <w:bottom w:val="none" w:sz="0" w:space="0" w:color="auto"/>
        <w:right w:val="none" w:sz="0" w:space="0" w:color="auto"/>
      </w:divBdr>
    </w:div>
    <w:div w:id="861086389">
      <w:bodyDiv w:val="1"/>
      <w:marLeft w:val="0"/>
      <w:marRight w:val="0"/>
      <w:marTop w:val="0"/>
      <w:marBottom w:val="0"/>
      <w:divBdr>
        <w:top w:val="none" w:sz="0" w:space="0" w:color="auto"/>
        <w:left w:val="none" w:sz="0" w:space="0" w:color="auto"/>
        <w:bottom w:val="none" w:sz="0" w:space="0" w:color="auto"/>
        <w:right w:val="none" w:sz="0" w:space="0" w:color="auto"/>
      </w:divBdr>
    </w:div>
    <w:div w:id="872303873">
      <w:bodyDiv w:val="1"/>
      <w:marLeft w:val="0"/>
      <w:marRight w:val="0"/>
      <w:marTop w:val="0"/>
      <w:marBottom w:val="0"/>
      <w:divBdr>
        <w:top w:val="none" w:sz="0" w:space="0" w:color="auto"/>
        <w:left w:val="none" w:sz="0" w:space="0" w:color="auto"/>
        <w:bottom w:val="none" w:sz="0" w:space="0" w:color="auto"/>
        <w:right w:val="none" w:sz="0" w:space="0" w:color="auto"/>
      </w:divBdr>
    </w:div>
    <w:div w:id="881743568">
      <w:bodyDiv w:val="1"/>
      <w:marLeft w:val="0"/>
      <w:marRight w:val="0"/>
      <w:marTop w:val="0"/>
      <w:marBottom w:val="0"/>
      <w:divBdr>
        <w:top w:val="none" w:sz="0" w:space="0" w:color="auto"/>
        <w:left w:val="none" w:sz="0" w:space="0" w:color="auto"/>
        <w:bottom w:val="none" w:sz="0" w:space="0" w:color="auto"/>
        <w:right w:val="none" w:sz="0" w:space="0" w:color="auto"/>
      </w:divBdr>
    </w:div>
    <w:div w:id="898177394">
      <w:bodyDiv w:val="1"/>
      <w:marLeft w:val="0"/>
      <w:marRight w:val="0"/>
      <w:marTop w:val="0"/>
      <w:marBottom w:val="0"/>
      <w:divBdr>
        <w:top w:val="none" w:sz="0" w:space="0" w:color="auto"/>
        <w:left w:val="none" w:sz="0" w:space="0" w:color="auto"/>
        <w:bottom w:val="none" w:sz="0" w:space="0" w:color="auto"/>
        <w:right w:val="none" w:sz="0" w:space="0" w:color="auto"/>
      </w:divBdr>
    </w:div>
    <w:div w:id="985360158">
      <w:bodyDiv w:val="1"/>
      <w:marLeft w:val="0"/>
      <w:marRight w:val="0"/>
      <w:marTop w:val="0"/>
      <w:marBottom w:val="0"/>
      <w:divBdr>
        <w:top w:val="none" w:sz="0" w:space="0" w:color="auto"/>
        <w:left w:val="none" w:sz="0" w:space="0" w:color="auto"/>
        <w:bottom w:val="none" w:sz="0" w:space="0" w:color="auto"/>
        <w:right w:val="none" w:sz="0" w:space="0" w:color="auto"/>
      </w:divBdr>
    </w:div>
    <w:div w:id="1053429748">
      <w:bodyDiv w:val="1"/>
      <w:marLeft w:val="0"/>
      <w:marRight w:val="0"/>
      <w:marTop w:val="0"/>
      <w:marBottom w:val="0"/>
      <w:divBdr>
        <w:top w:val="none" w:sz="0" w:space="0" w:color="auto"/>
        <w:left w:val="none" w:sz="0" w:space="0" w:color="auto"/>
        <w:bottom w:val="none" w:sz="0" w:space="0" w:color="auto"/>
        <w:right w:val="none" w:sz="0" w:space="0" w:color="auto"/>
      </w:divBdr>
    </w:div>
    <w:div w:id="1115439330">
      <w:bodyDiv w:val="1"/>
      <w:marLeft w:val="0"/>
      <w:marRight w:val="0"/>
      <w:marTop w:val="0"/>
      <w:marBottom w:val="0"/>
      <w:divBdr>
        <w:top w:val="none" w:sz="0" w:space="0" w:color="auto"/>
        <w:left w:val="none" w:sz="0" w:space="0" w:color="auto"/>
        <w:bottom w:val="none" w:sz="0" w:space="0" w:color="auto"/>
        <w:right w:val="none" w:sz="0" w:space="0" w:color="auto"/>
      </w:divBdr>
    </w:div>
    <w:div w:id="1149784088">
      <w:bodyDiv w:val="1"/>
      <w:marLeft w:val="0"/>
      <w:marRight w:val="0"/>
      <w:marTop w:val="0"/>
      <w:marBottom w:val="0"/>
      <w:divBdr>
        <w:top w:val="none" w:sz="0" w:space="0" w:color="auto"/>
        <w:left w:val="none" w:sz="0" w:space="0" w:color="auto"/>
        <w:bottom w:val="none" w:sz="0" w:space="0" w:color="auto"/>
        <w:right w:val="none" w:sz="0" w:space="0" w:color="auto"/>
      </w:divBdr>
    </w:div>
    <w:div w:id="1200630787">
      <w:bodyDiv w:val="1"/>
      <w:marLeft w:val="0"/>
      <w:marRight w:val="0"/>
      <w:marTop w:val="0"/>
      <w:marBottom w:val="0"/>
      <w:divBdr>
        <w:top w:val="none" w:sz="0" w:space="0" w:color="auto"/>
        <w:left w:val="none" w:sz="0" w:space="0" w:color="auto"/>
        <w:bottom w:val="none" w:sz="0" w:space="0" w:color="auto"/>
        <w:right w:val="none" w:sz="0" w:space="0" w:color="auto"/>
      </w:divBdr>
    </w:div>
    <w:div w:id="1243373729">
      <w:bodyDiv w:val="1"/>
      <w:marLeft w:val="0"/>
      <w:marRight w:val="0"/>
      <w:marTop w:val="0"/>
      <w:marBottom w:val="0"/>
      <w:divBdr>
        <w:top w:val="none" w:sz="0" w:space="0" w:color="auto"/>
        <w:left w:val="none" w:sz="0" w:space="0" w:color="auto"/>
        <w:bottom w:val="none" w:sz="0" w:space="0" w:color="auto"/>
        <w:right w:val="none" w:sz="0" w:space="0" w:color="auto"/>
      </w:divBdr>
    </w:div>
    <w:div w:id="1267427514">
      <w:bodyDiv w:val="1"/>
      <w:marLeft w:val="0"/>
      <w:marRight w:val="0"/>
      <w:marTop w:val="0"/>
      <w:marBottom w:val="0"/>
      <w:divBdr>
        <w:top w:val="none" w:sz="0" w:space="0" w:color="auto"/>
        <w:left w:val="none" w:sz="0" w:space="0" w:color="auto"/>
        <w:bottom w:val="none" w:sz="0" w:space="0" w:color="auto"/>
        <w:right w:val="none" w:sz="0" w:space="0" w:color="auto"/>
      </w:divBdr>
    </w:div>
    <w:div w:id="1319646770">
      <w:bodyDiv w:val="1"/>
      <w:marLeft w:val="0"/>
      <w:marRight w:val="0"/>
      <w:marTop w:val="0"/>
      <w:marBottom w:val="0"/>
      <w:divBdr>
        <w:top w:val="none" w:sz="0" w:space="0" w:color="auto"/>
        <w:left w:val="none" w:sz="0" w:space="0" w:color="auto"/>
        <w:bottom w:val="none" w:sz="0" w:space="0" w:color="auto"/>
        <w:right w:val="none" w:sz="0" w:space="0" w:color="auto"/>
      </w:divBdr>
    </w:div>
    <w:div w:id="1330986529">
      <w:bodyDiv w:val="1"/>
      <w:marLeft w:val="0"/>
      <w:marRight w:val="0"/>
      <w:marTop w:val="0"/>
      <w:marBottom w:val="0"/>
      <w:divBdr>
        <w:top w:val="none" w:sz="0" w:space="0" w:color="auto"/>
        <w:left w:val="none" w:sz="0" w:space="0" w:color="auto"/>
        <w:bottom w:val="none" w:sz="0" w:space="0" w:color="auto"/>
        <w:right w:val="none" w:sz="0" w:space="0" w:color="auto"/>
      </w:divBdr>
    </w:div>
    <w:div w:id="1377506126">
      <w:bodyDiv w:val="1"/>
      <w:marLeft w:val="0"/>
      <w:marRight w:val="0"/>
      <w:marTop w:val="0"/>
      <w:marBottom w:val="0"/>
      <w:divBdr>
        <w:top w:val="none" w:sz="0" w:space="0" w:color="auto"/>
        <w:left w:val="none" w:sz="0" w:space="0" w:color="auto"/>
        <w:bottom w:val="none" w:sz="0" w:space="0" w:color="auto"/>
        <w:right w:val="none" w:sz="0" w:space="0" w:color="auto"/>
      </w:divBdr>
    </w:div>
    <w:div w:id="1421174208">
      <w:bodyDiv w:val="1"/>
      <w:marLeft w:val="0"/>
      <w:marRight w:val="0"/>
      <w:marTop w:val="0"/>
      <w:marBottom w:val="0"/>
      <w:divBdr>
        <w:top w:val="none" w:sz="0" w:space="0" w:color="auto"/>
        <w:left w:val="none" w:sz="0" w:space="0" w:color="auto"/>
        <w:bottom w:val="none" w:sz="0" w:space="0" w:color="auto"/>
        <w:right w:val="none" w:sz="0" w:space="0" w:color="auto"/>
      </w:divBdr>
    </w:div>
    <w:div w:id="1475759215">
      <w:bodyDiv w:val="1"/>
      <w:marLeft w:val="0"/>
      <w:marRight w:val="0"/>
      <w:marTop w:val="0"/>
      <w:marBottom w:val="0"/>
      <w:divBdr>
        <w:top w:val="none" w:sz="0" w:space="0" w:color="auto"/>
        <w:left w:val="none" w:sz="0" w:space="0" w:color="auto"/>
        <w:bottom w:val="none" w:sz="0" w:space="0" w:color="auto"/>
        <w:right w:val="none" w:sz="0" w:space="0" w:color="auto"/>
      </w:divBdr>
    </w:div>
    <w:div w:id="1502550194">
      <w:bodyDiv w:val="1"/>
      <w:marLeft w:val="0"/>
      <w:marRight w:val="0"/>
      <w:marTop w:val="0"/>
      <w:marBottom w:val="0"/>
      <w:divBdr>
        <w:top w:val="none" w:sz="0" w:space="0" w:color="auto"/>
        <w:left w:val="none" w:sz="0" w:space="0" w:color="auto"/>
        <w:bottom w:val="none" w:sz="0" w:space="0" w:color="auto"/>
        <w:right w:val="none" w:sz="0" w:space="0" w:color="auto"/>
      </w:divBdr>
    </w:div>
    <w:div w:id="1558972746">
      <w:bodyDiv w:val="1"/>
      <w:marLeft w:val="0"/>
      <w:marRight w:val="0"/>
      <w:marTop w:val="0"/>
      <w:marBottom w:val="0"/>
      <w:divBdr>
        <w:top w:val="none" w:sz="0" w:space="0" w:color="auto"/>
        <w:left w:val="none" w:sz="0" w:space="0" w:color="auto"/>
        <w:bottom w:val="none" w:sz="0" w:space="0" w:color="auto"/>
        <w:right w:val="none" w:sz="0" w:space="0" w:color="auto"/>
      </w:divBdr>
    </w:div>
    <w:div w:id="1579553076">
      <w:bodyDiv w:val="1"/>
      <w:marLeft w:val="0"/>
      <w:marRight w:val="0"/>
      <w:marTop w:val="0"/>
      <w:marBottom w:val="0"/>
      <w:divBdr>
        <w:top w:val="none" w:sz="0" w:space="0" w:color="auto"/>
        <w:left w:val="none" w:sz="0" w:space="0" w:color="auto"/>
        <w:bottom w:val="none" w:sz="0" w:space="0" w:color="auto"/>
        <w:right w:val="none" w:sz="0" w:space="0" w:color="auto"/>
      </w:divBdr>
    </w:div>
    <w:div w:id="1627271731">
      <w:bodyDiv w:val="1"/>
      <w:marLeft w:val="0"/>
      <w:marRight w:val="0"/>
      <w:marTop w:val="0"/>
      <w:marBottom w:val="0"/>
      <w:divBdr>
        <w:top w:val="none" w:sz="0" w:space="0" w:color="auto"/>
        <w:left w:val="none" w:sz="0" w:space="0" w:color="auto"/>
        <w:bottom w:val="none" w:sz="0" w:space="0" w:color="auto"/>
        <w:right w:val="none" w:sz="0" w:space="0" w:color="auto"/>
      </w:divBdr>
    </w:div>
    <w:div w:id="1648509696">
      <w:bodyDiv w:val="1"/>
      <w:marLeft w:val="0"/>
      <w:marRight w:val="0"/>
      <w:marTop w:val="0"/>
      <w:marBottom w:val="0"/>
      <w:divBdr>
        <w:top w:val="none" w:sz="0" w:space="0" w:color="auto"/>
        <w:left w:val="none" w:sz="0" w:space="0" w:color="auto"/>
        <w:bottom w:val="none" w:sz="0" w:space="0" w:color="auto"/>
        <w:right w:val="none" w:sz="0" w:space="0" w:color="auto"/>
      </w:divBdr>
    </w:div>
    <w:div w:id="1663391750">
      <w:bodyDiv w:val="1"/>
      <w:marLeft w:val="0"/>
      <w:marRight w:val="0"/>
      <w:marTop w:val="0"/>
      <w:marBottom w:val="0"/>
      <w:divBdr>
        <w:top w:val="none" w:sz="0" w:space="0" w:color="auto"/>
        <w:left w:val="none" w:sz="0" w:space="0" w:color="auto"/>
        <w:bottom w:val="none" w:sz="0" w:space="0" w:color="auto"/>
        <w:right w:val="none" w:sz="0" w:space="0" w:color="auto"/>
      </w:divBdr>
    </w:div>
    <w:div w:id="1678648939">
      <w:bodyDiv w:val="1"/>
      <w:marLeft w:val="0"/>
      <w:marRight w:val="0"/>
      <w:marTop w:val="0"/>
      <w:marBottom w:val="0"/>
      <w:divBdr>
        <w:top w:val="none" w:sz="0" w:space="0" w:color="auto"/>
        <w:left w:val="none" w:sz="0" w:space="0" w:color="auto"/>
        <w:bottom w:val="none" w:sz="0" w:space="0" w:color="auto"/>
        <w:right w:val="none" w:sz="0" w:space="0" w:color="auto"/>
      </w:divBdr>
    </w:div>
    <w:div w:id="1691443461">
      <w:bodyDiv w:val="1"/>
      <w:marLeft w:val="0"/>
      <w:marRight w:val="0"/>
      <w:marTop w:val="0"/>
      <w:marBottom w:val="0"/>
      <w:divBdr>
        <w:top w:val="none" w:sz="0" w:space="0" w:color="auto"/>
        <w:left w:val="none" w:sz="0" w:space="0" w:color="auto"/>
        <w:bottom w:val="none" w:sz="0" w:space="0" w:color="auto"/>
        <w:right w:val="none" w:sz="0" w:space="0" w:color="auto"/>
      </w:divBdr>
    </w:div>
    <w:div w:id="1719936014">
      <w:bodyDiv w:val="1"/>
      <w:marLeft w:val="0"/>
      <w:marRight w:val="0"/>
      <w:marTop w:val="0"/>
      <w:marBottom w:val="0"/>
      <w:divBdr>
        <w:top w:val="none" w:sz="0" w:space="0" w:color="auto"/>
        <w:left w:val="none" w:sz="0" w:space="0" w:color="auto"/>
        <w:bottom w:val="none" w:sz="0" w:space="0" w:color="auto"/>
        <w:right w:val="none" w:sz="0" w:space="0" w:color="auto"/>
      </w:divBdr>
    </w:div>
    <w:div w:id="1764375428">
      <w:bodyDiv w:val="1"/>
      <w:marLeft w:val="0"/>
      <w:marRight w:val="0"/>
      <w:marTop w:val="0"/>
      <w:marBottom w:val="0"/>
      <w:divBdr>
        <w:top w:val="none" w:sz="0" w:space="0" w:color="auto"/>
        <w:left w:val="none" w:sz="0" w:space="0" w:color="auto"/>
        <w:bottom w:val="none" w:sz="0" w:space="0" w:color="auto"/>
        <w:right w:val="none" w:sz="0" w:space="0" w:color="auto"/>
      </w:divBdr>
    </w:div>
    <w:div w:id="1769963364">
      <w:bodyDiv w:val="1"/>
      <w:marLeft w:val="0"/>
      <w:marRight w:val="0"/>
      <w:marTop w:val="0"/>
      <w:marBottom w:val="0"/>
      <w:divBdr>
        <w:top w:val="none" w:sz="0" w:space="0" w:color="auto"/>
        <w:left w:val="none" w:sz="0" w:space="0" w:color="auto"/>
        <w:bottom w:val="none" w:sz="0" w:space="0" w:color="auto"/>
        <w:right w:val="none" w:sz="0" w:space="0" w:color="auto"/>
      </w:divBdr>
    </w:div>
    <w:div w:id="1770152298">
      <w:bodyDiv w:val="1"/>
      <w:marLeft w:val="0"/>
      <w:marRight w:val="0"/>
      <w:marTop w:val="0"/>
      <w:marBottom w:val="0"/>
      <w:divBdr>
        <w:top w:val="none" w:sz="0" w:space="0" w:color="auto"/>
        <w:left w:val="none" w:sz="0" w:space="0" w:color="auto"/>
        <w:bottom w:val="none" w:sz="0" w:space="0" w:color="auto"/>
        <w:right w:val="none" w:sz="0" w:space="0" w:color="auto"/>
      </w:divBdr>
    </w:div>
    <w:div w:id="1793741583">
      <w:bodyDiv w:val="1"/>
      <w:marLeft w:val="0"/>
      <w:marRight w:val="0"/>
      <w:marTop w:val="0"/>
      <w:marBottom w:val="0"/>
      <w:divBdr>
        <w:top w:val="none" w:sz="0" w:space="0" w:color="auto"/>
        <w:left w:val="none" w:sz="0" w:space="0" w:color="auto"/>
        <w:bottom w:val="none" w:sz="0" w:space="0" w:color="auto"/>
        <w:right w:val="none" w:sz="0" w:space="0" w:color="auto"/>
      </w:divBdr>
      <w:divsChild>
        <w:div w:id="1138301682">
          <w:marLeft w:val="0"/>
          <w:marRight w:val="0"/>
          <w:marTop w:val="0"/>
          <w:marBottom w:val="0"/>
          <w:divBdr>
            <w:top w:val="none" w:sz="0" w:space="0" w:color="auto"/>
            <w:left w:val="none" w:sz="0" w:space="0" w:color="auto"/>
            <w:bottom w:val="none" w:sz="0" w:space="0" w:color="auto"/>
            <w:right w:val="none" w:sz="0" w:space="0" w:color="auto"/>
          </w:divBdr>
        </w:div>
        <w:div w:id="1125539479">
          <w:marLeft w:val="0"/>
          <w:marRight w:val="0"/>
          <w:marTop w:val="0"/>
          <w:marBottom w:val="0"/>
          <w:divBdr>
            <w:top w:val="none" w:sz="0" w:space="0" w:color="auto"/>
            <w:left w:val="none" w:sz="0" w:space="0" w:color="auto"/>
            <w:bottom w:val="none" w:sz="0" w:space="0" w:color="auto"/>
            <w:right w:val="none" w:sz="0" w:space="0" w:color="auto"/>
          </w:divBdr>
        </w:div>
      </w:divsChild>
    </w:div>
    <w:div w:id="1802572705">
      <w:bodyDiv w:val="1"/>
      <w:marLeft w:val="0"/>
      <w:marRight w:val="0"/>
      <w:marTop w:val="0"/>
      <w:marBottom w:val="0"/>
      <w:divBdr>
        <w:top w:val="none" w:sz="0" w:space="0" w:color="auto"/>
        <w:left w:val="none" w:sz="0" w:space="0" w:color="auto"/>
        <w:bottom w:val="none" w:sz="0" w:space="0" w:color="auto"/>
        <w:right w:val="none" w:sz="0" w:space="0" w:color="auto"/>
      </w:divBdr>
    </w:div>
    <w:div w:id="1852378649">
      <w:bodyDiv w:val="1"/>
      <w:marLeft w:val="0"/>
      <w:marRight w:val="0"/>
      <w:marTop w:val="0"/>
      <w:marBottom w:val="0"/>
      <w:divBdr>
        <w:top w:val="none" w:sz="0" w:space="0" w:color="auto"/>
        <w:left w:val="none" w:sz="0" w:space="0" w:color="auto"/>
        <w:bottom w:val="none" w:sz="0" w:space="0" w:color="auto"/>
        <w:right w:val="none" w:sz="0" w:space="0" w:color="auto"/>
      </w:divBdr>
    </w:div>
    <w:div w:id="1955749495">
      <w:bodyDiv w:val="1"/>
      <w:marLeft w:val="0"/>
      <w:marRight w:val="0"/>
      <w:marTop w:val="0"/>
      <w:marBottom w:val="0"/>
      <w:divBdr>
        <w:top w:val="none" w:sz="0" w:space="0" w:color="auto"/>
        <w:left w:val="none" w:sz="0" w:space="0" w:color="auto"/>
        <w:bottom w:val="none" w:sz="0" w:space="0" w:color="auto"/>
        <w:right w:val="none" w:sz="0" w:space="0" w:color="auto"/>
      </w:divBdr>
    </w:div>
    <w:div w:id="2066446790">
      <w:bodyDiv w:val="1"/>
      <w:marLeft w:val="0"/>
      <w:marRight w:val="0"/>
      <w:marTop w:val="0"/>
      <w:marBottom w:val="0"/>
      <w:divBdr>
        <w:top w:val="none" w:sz="0" w:space="0" w:color="auto"/>
        <w:left w:val="none" w:sz="0" w:space="0" w:color="auto"/>
        <w:bottom w:val="none" w:sz="0" w:space="0" w:color="auto"/>
        <w:right w:val="none" w:sz="0" w:space="0" w:color="auto"/>
      </w:divBdr>
    </w:div>
    <w:div w:id="211388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file:///\\wcc\dfs\groups\fingroups\Account\Brendan\Annual%20Reports\Annual%20Report%202023-2024\Draft%20Financial%20Statements%202023-24.xlsx!Note%2021A%20-%20Associates%20summaries!R2C1:R33C3" TargetMode="External"/><Relationship Id="rId21" Type="http://schemas.openxmlformats.org/officeDocument/2006/relationships/image" Target="media/image8.emf"/><Relationship Id="rId42" Type="http://schemas.openxmlformats.org/officeDocument/2006/relationships/oleObject" Target="file:///\\wcc\dfs\groups\fingroups\Account\Brendan\Annual%20Reports\Annual%20Report%202023-2024\Draft%20Financial%20Statements%202023-24.xlsx!Note%2010%20-%20Tax!R4C1:R25C5" TargetMode="External"/><Relationship Id="rId63" Type="http://schemas.openxmlformats.org/officeDocument/2006/relationships/image" Target="media/image29.emf"/><Relationship Id="rId84" Type="http://schemas.openxmlformats.org/officeDocument/2006/relationships/oleObject" Target="file:///\\wcc\dfs\groups\fingroups\Account\Brendan\Annual%20Reports\Annual%20Report%202023-2024\Draft%20Financial%20Statements%202023-24.xlsx!Note%2019A%20-%20PP&amp;E!R245C1:R247C5" TargetMode="External"/><Relationship Id="rId138" Type="http://schemas.openxmlformats.org/officeDocument/2006/relationships/image" Target="media/image63.emf"/><Relationship Id="rId159" Type="http://schemas.openxmlformats.org/officeDocument/2006/relationships/oleObject" Target="file:///\\wcc\dfs\groups\fingroups\Account\Brendan\Annual%20Reports\Annual%20Report%202023-2024\Draft%20Financial%20Statements%202023-24.xlsx!Note%2029%20-%20Hedging%20!R4C1:R18C5" TargetMode="External"/><Relationship Id="rId170" Type="http://schemas.openxmlformats.org/officeDocument/2006/relationships/image" Target="media/image79.emf"/><Relationship Id="rId191" Type="http://schemas.openxmlformats.org/officeDocument/2006/relationships/oleObject" Target="file:///\\wcc\dfs\groups\fingroups\Account\Brendan\Annual%20Reports\Annual%20Report%202023-2024\Draft%20Financial%20Statements%202023-24.xlsx!Note%2033G%20-%20%20WEIR!R2C1:R17C5" TargetMode="External"/><Relationship Id="rId205" Type="http://schemas.openxmlformats.org/officeDocument/2006/relationships/oleObject" Target="file:///\\wcc\dfs\groups\fingroups\Account\Brendan\Annual%20Reports\Annual%20Report%202023-2024\Draft%20Financial%20Statements%202023-24.xlsx!Note%2036%20-%20JOs!R3C2:R13C5" TargetMode="External"/><Relationship Id="rId226" Type="http://schemas.openxmlformats.org/officeDocument/2006/relationships/image" Target="media/image107.emf"/><Relationship Id="rId247" Type="http://schemas.openxmlformats.org/officeDocument/2006/relationships/theme" Target="theme/theme1.xml"/><Relationship Id="rId107" Type="http://schemas.microsoft.com/office/2018/08/relationships/commentsExtensible" Target="commentsExtensible.xml"/><Relationship Id="rId11" Type="http://schemas.openxmlformats.org/officeDocument/2006/relationships/oleObject" Target="file:///\\wcc\dfs\groups\fingroups\Account\Brendan\Annual%20Reports\Annual%20Report%202023-2024\Draft%20Financial%20Statements%202023-24.xlsx!SCRE!R4C1:R45C7" TargetMode="External"/><Relationship Id="rId32" Type="http://schemas.openxmlformats.org/officeDocument/2006/relationships/oleObject" Target="file:///\\wcc\DFS\groups\fingroups\Account\Brendan\Annual%20Reports\Annual%20Report%202023-2024\Draft%20Financial%20Statements%202023-24.xlsx!Note%207%20-%20Exp%20from%20Op%20activities!R47C1:R57C5" TargetMode="External"/><Relationship Id="rId53" Type="http://schemas.openxmlformats.org/officeDocument/2006/relationships/image" Target="media/image24.emf"/><Relationship Id="rId74" Type="http://schemas.openxmlformats.org/officeDocument/2006/relationships/oleObject" Target="file:///\\wcc\dfs\groups\fingroups\Account\Brendan\Annual%20Reports\Annual%20Report%202023-2024\Draft%20Financial%20Statements%202023-24.xlsx!Note%2017%20-%20Intangibles!R41C1:R50C5" TargetMode="External"/><Relationship Id="rId128" Type="http://schemas.openxmlformats.org/officeDocument/2006/relationships/image" Target="media/image58.emf"/><Relationship Id="rId149" Type="http://schemas.openxmlformats.org/officeDocument/2006/relationships/oleObject" Target="file:///\\wcc\dfs\groups\fingroups\Account\Brendan\Annual%20Reports\Annual%20Report%202023-2024\Draft%20Financial%20Statements%202023-24.xlsx!SCIE!R4C1:R48C7" TargetMode="External"/><Relationship Id="rId5" Type="http://schemas.openxmlformats.org/officeDocument/2006/relationships/webSettings" Target="webSettings.xml"/><Relationship Id="rId95" Type="http://schemas.openxmlformats.org/officeDocument/2006/relationships/image" Target="media/image44.emf"/><Relationship Id="rId160" Type="http://schemas.openxmlformats.org/officeDocument/2006/relationships/image" Target="media/image74.emf"/><Relationship Id="rId181" Type="http://schemas.openxmlformats.org/officeDocument/2006/relationships/oleObject" Target="file:///\\wcc\dfs\groups\fingroups\Account\Brendan\Annual%20Reports\Annual%20Report%202023-2024\Draft%20Financial%20Statements%202023-24.xlsx!Note%2033B%20-%20Credit%20risk!R22C1:R41C5" TargetMode="External"/><Relationship Id="rId216" Type="http://schemas.openxmlformats.org/officeDocument/2006/relationships/image" Target="media/image102.emf"/><Relationship Id="rId237" Type="http://schemas.openxmlformats.org/officeDocument/2006/relationships/chart" Target="charts/chart7.xml"/><Relationship Id="rId22" Type="http://schemas.openxmlformats.org/officeDocument/2006/relationships/oleObject" Target="file:///\\wcc\dfs\groups\fingroups\Account\Brendan\Annual%20Reports\Annual%20Report%202023-2024\Draft%20Financial%20Statements%202023-24.xlsx!Note%203%20-%20Investment%20Revenue!R4C1:R12C5" TargetMode="External"/><Relationship Id="rId43" Type="http://schemas.openxmlformats.org/officeDocument/2006/relationships/image" Target="media/image19.emf"/><Relationship Id="rId64" Type="http://schemas.openxmlformats.org/officeDocument/2006/relationships/oleObject" Target="file:///\\wcc\dfs\groups\fingroups\Account\Brendan\Annual%20Reports\Annual%20Report%202023-2024\Draft%20Financial%20Statements%202023-24.xlsx!Note%20-%2014%20Prepayments!R5C1:R18C5" TargetMode="External"/><Relationship Id="rId118" Type="http://schemas.openxmlformats.org/officeDocument/2006/relationships/image" Target="media/image53.emf"/><Relationship Id="rId139" Type="http://schemas.openxmlformats.org/officeDocument/2006/relationships/oleObject" Target="file:///\\wcc\dfs\groups\fingroups\Account\Brendan\Annual%20Reports\Annual%20Report%202023-2024\Draft%20Financial%20Statements%202023-24.xlsx!Note%2026%20-%20Other%20provisions!R25C1:R34C5" TargetMode="External"/><Relationship Id="rId85" Type="http://schemas.openxmlformats.org/officeDocument/2006/relationships/image" Target="media/image40.emf"/><Relationship Id="rId150" Type="http://schemas.openxmlformats.org/officeDocument/2006/relationships/image" Target="media/image69.emf"/><Relationship Id="rId171" Type="http://schemas.openxmlformats.org/officeDocument/2006/relationships/oleObject" Target="file:///\\wcc\dfs\groups\fingroups\Account\Brendan\Annual%20Reports\Annual%20Report%202023-2024\Draft%20Financial%20Statements%202023-24.xlsx!Note%2032A%20-%20Financing%20%20!R22C2:R58C6" TargetMode="External"/><Relationship Id="rId192" Type="http://schemas.openxmlformats.org/officeDocument/2006/relationships/image" Target="media/image90.emf"/><Relationship Id="rId206" Type="http://schemas.openxmlformats.org/officeDocument/2006/relationships/image" Target="media/image97.emf"/><Relationship Id="rId227" Type="http://schemas.openxmlformats.org/officeDocument/2006/relationships/oleObject" Target="file:///\\wcc\dfs\groups\fingroups\Account\Brendan\Annual%20Reports\Annual%20Report%202023-2024\Draft%20Financial%20Statements%202023-24.xlsx!Note%2038C%20-%20Employee%20no.%20-%20Bands!R14C1:R34C3" TargetMode="External"/><Relationship Id="rId12" Type="http://schemas.openxmlformats.org/officeDocument/2006/relationships/image" Target="media/image4.emf"/><Relationship Id="rId33" Type="http://schemas.openxmlformats.org/officeDocument/2006/relationships/image" Target="media/image14.emf"/><Relationship Id="rId108" Type="http://schemas.openxmlformats.org/officeDocument/2006/relationships/image" Target="media/image48.emf"/><Relationship Id="rId129" Type="http://schemas.openxmlformats.org/officeDocument/2006/relationships/oleObject" Target="file:///\\wcc\dfs\groups\fingroups\Account\Brendan\Annual%20Reports\Annual%20Report%202023-2024\Draft%20Financial%20Statements%202023-24.xlsx!Note%2024%20-%20Borrowings!R4C1:R25C5" TargetMode="External"/><Relationship Id="rId54" Type="http://schemas.openxmlformats.org/officeDocument/2006/relationships/oleObject" Target="file:///\\wcc\dfs\groups\fingroups\Account\Brendan\Annual%20Reports\Annual%20Report%202023-2024\Draft%20Financial%20Statements%202023-24.xlsx!Note%2012%20-%20Derivatives!R4C1:R19C5" TargetMode="External"/><Relationship Id="rId75" Type="http://schemas.openxmlformats.org/officeDocument/2006/relationships/image" Target="media/image35.emf"/><Relationship Id="rId96" Type="http://schemas.openxmlformats.org/officeDocument/2006/relationships/oleObject" Target="file:///\\wcc\dfs\groups\fingroups\Account\Brendan\Annual%20Reports\Annual%20Report%202023-2024\Draft%20Financial%20Statements%202023-24.xlsx!Note%2019A%20-%20PP&amp;E!R177C1:R212C5" TargetMode="External"/><Relationship Id="rId140" Type="http://schemas.openxmlformats.org/officeDocument/2006/relationships/image" Target="media/image64.emf"/><Relationship Id="rId161" Type="http://schemas.openxmlformats.org/officeDocument/2006/relationships/oleObject" Target="file:///\\wcc\dfs\groups\fingroups\Account\Brendan\Annual%20Reports\Annual%20Report%202023-2024\Draft%20Financial%20Statements%202023-24.xlsx!Note%2030%20-%20FVTOCRE!R4C1:R16C5" TargetMode="External"/><Relationship Id="rId182" Type="http://schemas.openxmlformats.org/officeDocument/2006/relationships/image" Target="media/image85.emf"/><Relationship Id="rId217" Type="http://schemas.openxmlformats.org/officeDocument/2006/relationships/oleObject" Target="file:///\\wcc\dfs\groups\fingroups\Account\Brendan\Annual%20Reports\Annual%20Report%202023-2024\Draft%20Financial%20Statements%202023-24.xlsx!Note%2037B%20-%20Related%20parties!R62C1:R80C4" TargetMode="External"/><Relationship Id="rId6" Type="http://schemas.openxmlformats.org/officeDocument/2006/relationships/footnotes" Target="footnotes.xml"/><Relationship Id="rId238" Type="http://schemas.openxmlformats.org/officeDocument/2006/relationships/chart" Target="charts/chart8.xml"/><Relationship Id="rId23" Type="http://schemas.openxmlformats.org/officeDocument/2006/relationships/image" Target="media/image9.emf"/><Relationship Id="rId119" Type="http://schemas.openxmlformats.org/officeDocument/2006/relationships/oleObject" Target="file:///\\wcc\dfs\groups\fingroups\Account\Brendan\Annual%20Reports\Annual%20Report%202023-2024\Draft%20Financial%20Statements%202023-24.xlsx!Note%2021A%20-%20Associates%20summaries!R36C1:R70C3" TargetMode="External"/><Relationship Id="rId44" Type="http://schemas.openxmlformats.org/officeDocument/2006/relationships/oleObject" Target="file:///\\wcc\dfs\groups\fingroups\Account\Brendan\Annual%20Reports\Annual%20Report%202023-2024\Draft%20Financial%20Statements%202023-24.xlsx!Note%2010%20-%20Tax!R27C1:R43C5" TargetMode="External"/><Relationship Id="rId65" Type="http://schemas.openxmlformats.org/officeDocument/2006/relationships/image" Target="media/image30.emf"/><Relationship Id="rId86" Type="http://schemas.openxmlformats.org/officeDocument/2006/relationships/oleObject" Target="file:///\\wcc\dfs\groups\fingroups\Account\Brendan\Annual%20Reports\Annual%20Report%202023-2024\Draft%20Financial%20Statements%202023-24.xlsx!Note%2019A%20-%20PP&amp;E!R49C1:R89C5" TargetMode="External"/><Relationship Id="rId130" Type="http://schemas.openxmlformats.org/officeDocument/2006/relationships/image" Target="media/image59.emf"/><Relationship Id="rId151" Type="http://schemas.openxmlformats.org/officeDocument/2006/relationships/oleObject" Target="file:///\\wcc\DFS\groups\fingroups\Account\Brendan\Annual%20Reports\Annual%20Report%202023-2024\Draft%20Financial%20Statements%202023-24.xlsx!SCIE!R72C1:R75C7" TargetMode="External"/><Relationship Id="rId172" Type="http://schemas.openxmlformats.org/officeDocument/2006/relationships/image" Target="media/image80.emf"/><Relationship Id="rId193" Type="http://schemas.openxmlformats.org/officeDocument/2006/relationships/oleObject" Target="file:///\\wcc\dfs\groups\fingroups\Account\Brendan\Annual%20Reports\Annual%20Report%202023-2024\Draft%20Financial%20Statements%202023-24.xlsx!Note%2033H%20-%20Sensitivity!R2C1:R20C6" TargetMode="External"/><Relationship Id="rId207" Type="http://schemas.openxmlformats.org/officeDocument/2006/relationships/oleObject" Target="file:///\\wcc\dfs\groups\fingroups\Account\Brendan\Annual%20Reports\Annual%20Report%202023-2024\Draft%20Financial%20Statements%202023-24.xlsx!Note%2037%20-%20KMP%20Rem!R4C1:R17C3" TargetMode="External"/><Relationship Id="rId228" Type="http://schemas.openxmlformats.org/officeDocument/2006/relationships/image" Target="media/image108.emf"/><Relationship Id="rId13" Type="http://schemas.openxmlformats.org/officeDocument/2006/relationships/oleObject" Target="file:///\\wcc\dfs\groups\fingroups\Account\Brendan\Annual%20Reports\Annual%20Report%202023-2024\Draft%20Financial%20Statements%202023-24.xlsx!SCRE!R49C1:R83C7" TargetMode="External"/><Relationship Id="rId109" Type="http://schemas.openxmlformats.org/officeDocument/2006/relationships/oleObject" Target="file:///\\wcc\dfs\groups\fingroups\Account\Brendan\Annual%20Reports\Annual%20Report%202023-2024\Draft%20Financial%20Statements%202023-24.xlsx!Note%2020%20-%20Investmt%20in%20CE!R4C1:R11C3" TargetMode="External"/><Relationship Id="rId34" Type="http://schemas.openxmlformats.org/officeDocument/2006/relationships/oleObject" Target="file:///\\wcc\dfs\groups\fingroups\Account\Brendan\Annual%20Reports\Annual%20Report%202023-2024\Draft%20Financial%20Statements%202023-24.xlsx!Note%208%20-%20Depreciation%20&amp;%20Amortis!R4C1:R23C5" TargetMode="External"/><Relationship Id="rId55" Type="http://schemas.openxmlformats.org/officeDocument/2006/relationships/image" Target="media/image25.emf"/><Relationship Id="rId76" Type="http://schemas.openxmlformats.org/officeDocument/2006/relationships/oleObject" Target="file:///\\wcc\dfs\groups\fingroups\Account\Brendan\Annual%20Reports\Annual%20Report%202023-2024\Draft%20Financial%20Statements%202023-24.xlsx!Note%2018%20-%20Investment%20Prpty!R4C1:R23C5" TargetMode="External"/><Relationship Id="rId97" Type="http://schemas.openxmlformats.org/officeDocument/2006/relationships/oleObject" Target="file:///\\wcc\dfs\groups\fingroups\Account\Brendan\Annual%20Reports\Annual%20Report%202023-2024\Draft%20Financial%20Statements%202023-24.xlsx!Note%2019A%20-%20PP&amp;E!R245C1:R247C5" TargetMode="External"/><Relationship Id="rId120" Type="http://schemas.openxmlformats.org/officeDocument/2006/relationships/image" Target="media/image54.emf"/><Relationship Id="rId141" Type="http://schemas.openxmlformats.org/officeDocument/2006/relationships/oleObject" Target="file:///\\wcc\dfs\groups\fingroups\Account\Brendan\Annual%20Reports\Annual%20Report%202023-2024\Draft%20Financial%20Statements%202023-24.xlsx!Note%2026%20-%20Other%20provisions!R39C1:R48C5" TargetMode="External"/><Relationship Id="rId7" Type="http://schemas.openxmlformats.org/officeDocument/2006/relationships/endnotes" Target="endnotes.xml"/><Relationship Id="rId162" Type="http://schemas.openxmlformats.org/officeDocument/2006/relationships/image" Target="media/image75.emf"/><Relationship Id="rId183" Type="http://schemas.openxmlformats.org/officeDocument/2006/relationships/oleObject" Target="file:///\\wcc\dfs\groups\fingroups\Account\Brendan\Annual%20Reports\Annual%20Report%202023-2024\Draft%20Financial%20Statements%202023-24.xlsx!Note%2033C%20-%20Contractual%20maturity!R4C1:R18C5" TargetMode="External"/><Relationship Id="rId218" Type="http://schemas.openxmlformats.org/officeDocument/2006/relationships/image" Target="media/image103.emf"/><Relationship Id="rId239" Type="http://schemas.openxmlformats.org/officeDocument/2006/relationships/chart" Target="charts/chart9.xml"/><Relationship Id="rId24" Type="http://schemas.openxmlformats.org/officeDocument/2006/relationships/oleObject" Target="file:///\\wcc\dfs\groups\fingroups\Account\Brendan\Annual%20Reports\Annual%20Report%202023-2024\Draft%20Financial%20Statements%202023-24.xlsx!Note%204%20-%20Vested%20Assets%20&amp;%20Other%20!R4C1:R11C5" TargetMode="External"/><Relationship Id="rId45" Type="http://schemas.openxmlformats.org/officeDocument/2006/relationships/image" Target="media/image20.emf"/><Relationship Id="rId66" Type="http://schemas.openxmlformats.org/officeDocument/2006/relationships/oleObject" Target="file:///\\wcc\dfs\groups\fingroups\Account\Brendan\Annual%20Reports\Annual%20Report%202023-2024\Draft%20Financial%20Statements%202023-24.xlsx!Note%2015%20-%20Other%20Fin%20Assets!R4C1:R30C5" TargetMode="External"/><Relationship Id="rId87" Type="http://schemas.openxmlformats.org/officeDocument/2006/relationships/oleObject" Target="file:///\\wcc\dfs\groups\fingroups\Account\Brendan\Annual%20Reports\Annual%20Report%202023-2024\Draft%20Financial%20Statements%202023-24.xlsx!Note%2019A%20-%20PP&amp;E!R245C1:R247C5" TargetMode="External"/><Relationship Id="rId110" Type="http://schemas.openxmlformats.org/officeDocument/2006/relationships/image" Target="media/image49.emf"/><Relationship Id="rId131" Type="http://schemas.openxmlformats.org/officeDocument/2006/relationships/oleObject" Target="file:///\\wcc\dfs\groups\fingroups\Account\Brendan\Annual%20Reports\Annual%20Report%202023-2024\Draft%20Financial%20Statements%202023-24.xlsx!Note%2024%20-%20Borrowings!R29C1:R39C5" TargetMode="External"/><Relationship Id="rId152" Type="http://schemas.openxmlformats.org/officeDocument/2006/relationships/image" Target="media/image70.emf"/><Relationship Id="rId173" Type="http://schemas.openxmlformats.org/officeDocument/2006/relationships/oleObject" Target="file:///\\wcc\dfs\groups\fingroups\Account\Brendan\Annual%20Reports\Annual%20Report%202023-2024\Draft%20Financial%20Statements%202023-24.xlsx!Note%2033%20-%20FI%20Categories!R4C1:R46C5" TargetMode="External"/><Relationship Id="rId194" Type="http://schemas.openxmlformats.org/officeDocument/2006/relationships/image" Target="media/image91.emf"/><Relationship Id="rId208" Type="http://schemas.openxmlformats.org/officeDocument/2006/relationships/image" Target="media/image98.emf"/><Relationship Id="rId229" Type="http://schemas.openxmlformats.org/officeDocument/2006/relationships/oleObject" Target="file:///\\wcc\dfs\groups\fingroups\Account\Brendan\Annual%20Reports\Annual%20Report%202023-2024\Draft%20Financial%20Statements%202023-24.xlsx!Note%2038C%20-%20Employee%20no.%20-%20Bands!R38C1:R58C3" TargetMode="External"/><Relationship Id="rId240" Type="http://schemas.openxmlformats.org/officeDocument/2006/relationships/chart" Target="charts/chart10.xml"/><Relationship Id="rId14" Type="http://schemas.openxmlformats.org/officeDocument/2006/relationships/image" Target="media/image5.emf"/><Relationship Id="rId35" Type="http://schemas.openxmlformats.org/officeDocument/2006/relationships/image" Target="media/image15.emf"/><Relationship Id="rId56" Type="http://schemas.openxmlformats.org/officeDocument/2006/relationships/oleObject" Target="file:///\\wcc\dfs\groups\fingroups\Account\Brendan\Annual%20Reports\Annual%20Report%202023-2024\Draft%20Financial%20Statements%202023-24.xlsx!Note%2012A%20-%20Derivatives%20Timing!R4C1:R14C9" TargetMode="External"/><Relationship Id="rId77" Type="http://schemas.openxmlformats.org/officeDocument/2006/relationships/image" Target="media/image36.emf"/><Relationship Id="rId100" Type="http://schemas.openxmlformats.org/officeDocument/2006/relationships/image" Target="media/image46.emf"/><Relationship Id="rId8" Type="http://schemas.openxmlformats.org/officeDocument/2006/relationships/image" Target="media/image1.jpg"/><Relationship Id="rId98" Type="http://schemas.openxmlformats.org/officeDocument/2006/relationships/image" Target="media/image45.emf"/><Relationship Id="rId121" Type="http://schemas.openxmlformats.org/officeDocument/2006/relationships/oleObject" Target="file:///\\wcc\dfs\groups\fingroups\Account\Brendan\Annual%20Reports\Annual%20Report%202023-2024\Draft%20Financial%20Statements%202023-24.xlsx!Note%2021A%20-%20Associates%20summaries!R73C1:R120C3" TargetMode="External"/><Relationship Id="rId142" Type="http://schemas.openxmlformats.org/officeDocument/2006/relationships/image" Target="media/image65.emf"/><Relationship Id="rId163" Type="http://schemas.openxmlformats.org/officeDocument/2006/relationships/oleObject" Target="file:///\\wcc\dfs\groups\fingroups\Account\Brendan\Annual%20Reports\Annual%20Report%202023-2024\Draft%20Financial%20Statements%202023-24.xlsx!Note%2031%20-%20Restricted%20funds!R4C1:R11C5" TargetMode="External"/><Relationship Id="rId184" Type="http://schemas.openxmlformats.org/officeDocument/2006/relationships/image" Target="media/image86.emf"/><Relationship Id="rId219" Type="http://schemas.openxmlformats.org/officeDocument/2006/relationships/oleObject" Target="file:///\\wcc\dfs\groups\fingroups\Account\Brendan\Annual%20Reports\Annual%20Report%202023-2024\Draft%20Financial%20Statements%202023-24.xlsx!Note%2038%20-%20Councillor%20REM!R4C1:R27C5" TargetMode="External"/><Relationship Id="rId230" Type="http://schemas.openxmlformats.org/officeDocument/2006/relationships/image" Target="media/image109.emf"/><Relationship Id="rId25" Type="http://schemas.openxmlformats.org/officeDocument/2006/relationships/image" Target="media/image10.emf"/><Relationship Id="rId46" Type="http://schemas.openxmlformats.org/officeDocument/2006/relationships/oleObject" Target="file:///\\wcc\dfs\groups\fingroups\Account\Brendan\Annual%20Reports\Annual%20Report%202023-2024\Draft%20Financial%20Statements%202023-24.xlsx!SFPos!R4C1:R54C7" TargetMode="External"/><Relationship Id="rId67" Type="http://schemas.openxmlformats.org/officeDocument/2006/relationships/image" Target="media/image31.emf"/><Relationship Id="rId88" Type="http://schemas.openxmlformats.org/officeDocument/2006/relationships/image" Target="media/image41.emf"/><Relationship Id="rId111" Type="http://schemas.openxmlformats.org/officeDocument/2006/relationships/oleObject" Target="file:///\\wcc\dfs\groups\fingroups\Account\Brendan\Annual%20Reports\Annual%20Report%202023-2024\Draft%20Financial%20Statements%202023-24.xlsx!Note%2021%20-%20Associates!R4C1:R12C3" TargetMode="External"/><Relationship Id="rId132" Type="http://schemas.openxmlformats.org/officeDocument/2006/relationships/image" Target="media/image60.emf"/><Relationship Id="rId153" Type="http://schemas.openxmlformats.org/officeDocument/2006/relationships/oleObject" Target="file:///\\wcc\DFS\groups\fingroups\Account\Brendan\Annual%20Reports\Annual%20Report%202023-2024\Draft%20Financial%20Statements%202023-24.xlsx!SCIE!R50C1:R63C7" TargetMode="External"/><Relationship Id="rId174" Type="http://schemas.openxmlformats.org/officeDocument/2006/relationships/image" Target="media/image81.emf"/><Relationship Id="rId195" Type="http://schemas.openxmlformats.org/officeDocument/2006/relationships/oleObject" Target="file:///\\wcc\dfs\groups\fingroups\Account\Brendan\Annual%20Reports\Annual%20Report%202023-2024\Draft%20Financial%20Statements%202023-24.xlsx!Note%2033H%20-%20Sensitivity!R28C1:R46C6" TargetMode="External"/><Relationship Id="rId209" Type="http://schemas.openxmlformats.org/officeDocument/2006/relationships/oleObject" Target="file:///\\wcc\dfs\groups\fingroups\Account\Brendan\Annual%20Reports\Annual%20Report%202023-2024\Draft%20Financial%20Statements%202023-24.xlsx!Note%2037A%20-%20Unstructured%20entity!R2C1:R12C3" TargetMode="External"/><Relationship Id="rId220" Type="http://schemas.openxmlformats.org/officeDocument/2006/relationships/image" Target="media/image104.emf"/><Relationship Id="rId241" Type="http://schemas.openxmlformats.org/officeDocument/2006/relationships/chart" Target="charts/chart11.xml"/><Relationship Id="rId15" Type="http://schemas.openxmlformats.org/officeDocument/2006/relationships/oleObject" Target="file:///\\wcc\dfs\groups\fingroups\Account\Brendan\Annual%20Reports\Annual%20Report%202023-2024\Draft%20Financial%20Statements%202023-24.xlsx!Note%201%20-Rates%20!R4C1:R13C5" TargetMode="External"/><Relationship Id="rId36" Type="http://schemas.openxmlformats.org/officeDocument/2006/relationships/oleObject" Target="file:///\\wcc\dfs\groups\fingroups\Account\Brendan\Annual%20Reports\Annual%20Report%202023-2024\Draft%20Financial%20Statements%202023-24.xlsx!Useful%20lives!R3C1:R33C2" TargetMode="External"/><Relationship Id="rId57" Type="http://schemas.openxmlformats.org/officeDocument/2006/relationships/image" Target="media/image26.emf"/><Relationship Id="rId10" Type="http://schemas.openxmlformats.org/officeDocument/2006/relationships/image" Target="media/image3.emf"/><Relationship Id="rId31" Type="http://schemas.openxmlformats.org/officeDocument/2006/relationships/image" Target="media/image13.emf"/><Relationship Id="rId52" Type="http://schemas.openxmlformats.org/officeDocument/2006/relationships/oleObject" Target="file:///\\wcc\dfs\groups\fingroups\Account\Brendan\Annual%20Reports\Annual%20Report%202023-2024\Draft%20Financial%20Statements%202023-24.xlsx!Note%2011%20-%20Cash%20&amp;%20CE!R4C1:R13C5" TargetMode="External"/><Relationship Id="rId73" Type="http://schemas.openxmlformats.org/officeDocument/2006/relationships/image" Target="media/image34.emf"/><Relationship Id="rId78" Type="http://schemas.openxmlformats.org/officeDocument/2006/relationships/oleObject" Target="file:///\\wcc\dfs\groups\fingroups\Account\Brendan\Annual%20Reports\Annual%20Report%202023-2024\Draft%20Financial%20Statements%202023-24.xlsx!Note%2018%20-%20Investment%20Prpty!R26C1:R33C5" TargetMode="External"/><Relationship Id="rId94" Type="http://schemas.openxmlformats.org/officeDocument/2006/relationships/oleObject" Target="file:///\\wcc\dfs\groups\fingroups\Account\Brendan\Annual%20Reports\Annual%20Report%202023-2024\Draft%20Financial%20Statements%202023-24.xlsx!Note%2019A%20-%20PP&amp;E!R245C1:R247C5" TargetMode="External"/><Relationship Id="rId99" Type="http://schemas.openxmlformats.org/officeDocument/2006/relationships/oleObject" Target="file:///\\wcc\dfs\groups\fingroups\Account\Brendan\Annual%20Reports\Annual%20Report%202023-2024\Draft%20Financial%20Statements%202023-24.xlsx!Note%2019A%20-%20PP&amp;E!R214C1:R225C5" TargetMode="External"/><Relationship Id="rId101" Type="http://schemas.openxmlformats.org/officeDocument/2006/relationships/oleObject" Target="file:///\\wcc\dfs\groups\fingroups\Account\Brendan\Annual%20Reports\Annual%20Report%202023-2024\Draft%20Financial%20Statements%202023-24.xlsx!Note%2019B%20-%20Core%20assets!R3C1:R43C5" TargetMode="External"/><Relationship Id="rId122" Type="http://schemas.openxmlformats.org/officeDocument/2006/relationships/image" Target="media/image55.emf"/><Relationship Id="rId143" Type="http://schemas.openxmlformats.org/officeDocument/2006/relationships/oleObject" Target="file:///\\wcc\dfs\groups\fingroups\Account\Brendan\Annual%20Reports\Annual%20Report%202023-2024\Draft%20Financial%20Statements%202023-24.xlsx!Note%2026A%20-%20W-tight%20sensitivity!R2C1:R15C5" TargetMode="External"/><Relationship Id="rId148" Type="http://schemas.openxmlformats.org/officeDocument/2006/relationships/image" Target="media/image68.emf"/><Relationship Id="rId164" Type="http://schemas.openxmlformats.org/officeDocument/2006/relationships/image" Target="media/image76.emf"/><Relationship Id="rId169" Type="http://schemas.openxmlformats.org/officeDocument/2006/relationships/oleObject" Target="file:///\\wcc\dfs\groups\fingroups\Account\Brendan\Annual%20Reports\Annual%20Report%202023-2024\Draft%20Financial%20Statements%202023-24.xlsx!Note%2032%20-%20Recon%20Net%20Cash!R4C1:R49C5" TargetMode="External"/><Relationship Id="rId185" Type="http://schemas.openxmlformats.org/officeDocument/2006/relationships/oleObject" Target="file:///\\wcc\dfs\groups\fingroups\Account\Brendan\Annual%20Reports\Annual%20Report%202023-2024\Draft%20Financial%20Statements%202023-24.xlsx!Note%2033D%20-%20Policy%20limits!R2C2:R9C6" TargetMode="Externa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image" Target="media/image84.emf"/><Relationship Id="rId210" Type="http://schemas.openxmlformats.org/officeDocument/2006/relationships/image" Target="media/image99.emf"/><Relationship Id="rId215" Type="http://schemas.openxmlformats.org/officeDocument/2006/relationships/oleObject" Target="file:///\\wcc\dfs\groups\fingroups\Account\Brendan\Annual%20Reports\Annual%20Report%202023-2024\Draft%20Financial%20Statements%202023-24.xlsx!Note%2037B%20-%20Related%20parties!R16C1:R59C4" TargetMode="External"/><Relationship Id="rId236" Type="http://schemas.openxmlformats.org/officeDocument/2006/relationships/chart" Target="charts/chart6.xml"/><Relationship Id="rId26" Type="http://schemas.openxmlformats.org/officeDocument/2006/relationships/oleObject" Target="file:///\\wcc\dfs\groups\fingroups\Account\Brendan\Annual%20Reports\Annual%20Report%202023-2024\Draft%20Financial%20Statements%202023-24.xlsx!Note%205%20-%20Fair%20value%20movements!R4C1:R23C5" TargetMode="External"/><Relationship Id="rId231" Type="http://schemas.openxmlformats.org/officeDocument/2006/relationships/oleObject" Target="file:///\\wcc\DFS\groups\fingroups\Account\Brendan\Annual%20Reports\Annual%20Report%202023-2024\Draft%20Financial%20Statements%202023-24.xlsx!Note%2038C%20-%20Employee%20no.%20-%20Bands!R3C7:R8C11" TargetMode="External"/><Relationship Id="rId47" Type="http://schemas.openxmlformats.org/officeDocument/2006/relationships/image" Target="media/image21.emf"/><Relationship Id="rId68" Type="http://schemas.openxmlformats.org/officeDocument/2006/relationships/oleObject" Target="file:///\\wcc\dfs\groups\fingroups\Account\Brendan\Annual%20Reports\Annual%20Report%202023-2024\Draft%20Financial%20Statements%202023-24.xlsx!Note%2015A%20-%20Loans!R4C1:R29C5" TargetMode="External"/><Relationship Id="rId89" Type="http://schemas.openxmlformats.org/officeDocument/2006/relationships/oleObject" Target="file:///\\wcc\dfs\groups\fingroups\Account\Brendan\Annual%20Reports\Annual%20Report%202023-2024\Draft%20Financial%20Statements%202023-24.xlsx!Note%2019A%20-%20PP&amp;E!R91C1:R130C5" TargetMode="External"/><Relationship Id="rId112" Type="http://schemas.openxmlformats.org/officeDocument/2006/relationships/image" Target="media/image50.emf"/><Relationship Id="rId133" Type="http://schemas.openxmlformats.org/officeDocument/2006/relationships/oleObject" Target="file:///\\wcc\dfs\groups\fingroups\Account\Brendan\Annual%20Reports\Annual%20Report%202023-2024\Draft%20Financial%20Statements%202023-24.xlsx!Note%2024A%20-%20Facilities!R2C1:R14C5" TargetMode="External"/><Relationship Id="rId154" Type="http://schemas.openxmlformats.org/officeDocument/2006/relationships/image" Target="media/image71.emf"/><Relationship Id="rId175" Type="http://schemas.openxmlformats.org/officeDocument/2006/relationships/oleObject" Target="file:///\\wcc\dfs\groups\fingroups\Account\Brendan\Annual%20Reports\Annual%20Report%202023-2024\Draft%20Financial%20Statements%202023-24.xlsx!Note%2033A%20-%20Hierarchy!R4C1:R12C8" TargetMode="External"/><Relationship Id="rId196" Type="http://schemas.openxmlformats.org/officeDocument/2006/relationships/image" Target="media/image92.emf"/><Relationship Id="rId200" Type="http://schemas.openxmlformats.org/officeDocument/2006/relationships/image" Target="media/image94.emf"/><Relationship Id="rId16" Type="http://schemas.openxmlformats.org/officeDocument/2006/relationships/image" Target="media/image6.emf"/><Relationship Id="rId221" Type="http://schemas.openxmlformats.org/officeDocument/2006/relationships/oleObject" Target="file:///\\wcc\dfs\groups\fingroups\Account\Brendan\Annual%20Reports\Annual%20Report%202023-2024\Draft%20Financial%20Statements%202023-24.xlsx!Note%2038A%20-%20Com%20Board%20REM!R3C1:R27C4" TargetMode="External"/><Relationship Id="rId242" Type="http://schemas.openxmlformats.org/officeDocument/2006/relationships/chart" Target="charts/chart12.xml"/><Relationship Id="rId37" Type="http://schemas.openxmlformats.org/officeDocument/2006/relationships/image" Target="media/image16.emf"/><Relationship Id="rId58" Type="http://schemas.openxmlformats.org/officeDocument/2006/relationships/oleObject" Target="file:///\\wcc\dfs\groups\fingroups\Account\Brendan\Annual%20Reports\Annual%20Report%202023-2024\Draft%20Financial%20Statements%202023-24.xlsx!Note%2013%20-%20Receivables!R4C1:R20C5" TargetMode="External"/><Relationship Id="rId79" Type="http://schemas.openxmlformats.org/officeDocument/2006/relationships/image" Target="media/image37.emf"/><Relationship Id="rId102" Type="http://schemas.openxmlformats.org/officeDocument/2006/relationships/image" Target="media/image47.emf"/><Relationship Id="rId123" Type="http://schemas.openxmlformats.org/officeDocument/2006/relationships/oleObject" Target="file:///\\wcc\dfs\groups\fingroups\Account\Brendan\Annual%20Reports\Annual%20Report%202023-2024\Draft%20Financial%20Statements%202023-24.xlsx!Note%2022%20-%20Exchange%20payables!R4C1:R15C5" TargetMode="External"/><Relationship Id="rId144" Type="http://schemas.openxmlformats.org/officeDocument/2006/relationships/image" Target="media/image66.emf"/><Relationship Id="rId90" Type="http://schemas.openxmlformats.org/officeDocument/2006/relationships/image" Target="media/image42.emf"/><Relationship Id="rId165" Type="http://schemas.openxmlformats.org/officeDocument/2006/relationships/oleObject" Target="file:///\\wcc\dfs\groups\fingroups\Account\Brendan\Annual%20Reports\Annual%20Report%202023-2024\Draft%20Financial%20Statements%202023-24.xlsx!Note%2031%20-%20Restricted%20funds!R15C1:R28C5" TargetMode="External"/><Relationship Id="rId186" Type="http://schemas.openxmlformats.org/officeDocument/2006/relationships/image" Target="media/image87.emf"/><Relationship Id="rId211" Type="http://schemas.openxmlformats.org/officeDocument/2006/relationships/oleObject" Target="file:///\\wcc\dfs\groups\fingroups\Account\Brendan\Annual%20Reports\Annual%20Report%202023-2024\Draft%20Financial%20Statements%202023-24.xlsx!Note%2037A%20-%20Unstructured%20entity!R15C1:R25C3" TargetMode="External"/><Relationship Id="rId232" Type="http://schemas.openxmlformats.org/officeDocument/2006/relationships/chart" Target="charts/chart2.xml"/><Relationship Id="rId27" Type="http://schemas.openxmlformats.org/officeDocument/2006/relationships/image" Target="media/image11.emf"/><Relationship Id="rId48" Type="http://schemas.openxmlformats.org/officeDocument/2006/relationships/oleObject" Target="file:///\\wcc\dfs\groups\fingroups\Account\Brendan\Annual%20Reports\Annual%20Report%202023-2024\Draft%20Financial%20Statements%202023-24.xlsx!SFPos!R4C1:R7C7" TargetMode="External"/><Relationship Id="rId69" Type="http://schemas.openxmlformats.org/officeDocument/2006/relationships/image" Target="media/image32.emf"/><Relationship Id="rId113" Type="http://schemas.openxmlformats.org/officeDocument/2006/relationships/oleObject" Target="file:///\\wcc\dfs\groups\fingroups\Account\Brendan\Annual%20Reports\Annual%20Report%202023-2024\Draft%20Financial%20Statements%202023-24.xlsx!Note%2021%20-%20Associates!R12C7:R20C10" TargetMode="External"/><Relationship Id="rId134" Type="http://schemas.openxmlformats.org/officeDocument/2006/relationships/image" Target="media/image61.emf"/><Relationship Id="rId80" Type="http://schemas.openxmlformats.org/officeDocument/2006/relationships/oleObject" Target="file:///\\wcc\dfs\groups\fingroups\Account\Brendan\Annual%20Reports\Annual%20Report%202023-2024\Draft%20Financial%20Statements%202023-24.xlsx!Note%2019%20-%20PP&amp;E%20Summary!R4C1:R19C5" TargetMode="External"/><Relationship Id="rId155" Type="http://schemas.openxmlformats.org/officeDocument/2006/relationships/oleObject" Target="file:///\\wcc\dfs\groups\fingroups\Account\Brendan\Annual%20Reports\Annual%20Report%202023-2024\Draft%20Financial%20Statements%202023-24.xlsx!Note%2028%20-%20Revaluations!R4C1:R46C5" TargetMode="External"/><Relationship Id="rId176" Type="http://schemas.openxmlformats.org/officeDocument/2006/relationships/image" Target="media/image82.emf"/><Relationship Id="rId197" Type="http://schemas.openxmlformats.org/officeDocument/2006/relationships/oleObject" Target="file:///\\wcc\dfs\groups\fingroups\Account\Brendan\Annual%20Reports\Annual%20Report%202023-2024\Draft%20Financial%20Statements%202023-24.xlsx!Note%2034%20-%20Commitments!R4C1:R15C5" TargetMode="External"/><Relationship Id="rId201" Type="http://schemas.openxmlformats.org/officeDocument/2006/relationships/oleObject" Target="file:///\\wcc\dfs\groups\fingroups\Account\Brendan\Annual%20Reports\Annual%20Report%202023-2024\Draft%20Financial%20Statements%202023-24.xlsx!Note%2034%20-%20Commitments!R35C1:R49C5" TargetMode="External"/><Relationship Id="rId222" Type="http://schemas.openxmlformats.org/officeDocument/2006/relationships/image" Target="media/image105.emf"/><Relationship Id="rId243" Type="http://schemas.openxmlformats.org/officeDocument/2006/relationships/header" Target="header1.xml"/><Relationship Id="rId17" Type="http://schemas.openxmlformats.org/officeDocument/2006/relationships/oleObject" Target="file:///\\wcc\dfs\groups\fingroups\Account\Brendan\Annual%20Reports\Annual%20Report%202023-2024\Draft%20Financial%20Statements%202023-24.xlsx!Note%201%20-Rates%20!R17C1:R22C5" TargetMode="External"/><Relationship Id="rId38" Type="http://schemas.openxmlformats.org/officeDocument/2006/relationships/oleObject" Target="file:///\\wcc\dfs\groups\fingroups\Account\Brendan\Annual%20Reports\Annual%20Report%202023-2024\Draft%20Financial%20Statements%202023-24.xlsx!Useful%20lives!R37C1:R41C2" TargetMode="External"/><Relationship Id="rId59" Type="http://schemas.openxmlformats.org/officeDocument/2006/relationships/image" Target="media/image27.emf"/><Relationship Id="rId103" Type="http://schemas.openxmlformats.org/officeDocument/2006/relationships/oleObject" Target="file:///\\wcc\dfs\groups\fingroups\Account\Brendan\Annual%20Reports\Annual%20Report%202023-2024\Draft%20Financial%20Statements%202023-24.xlsx!Note%2019C%20-%20Insurance!R3C1:R14C3" TargetMode="External"/><Relationship Id="rId124" Type="http://schemas.openxmlformats.org/officeDocument/2006/relationships/image" Target="media/image56.emf"/><Relationship Id="rId70" Type="http://schemas.openxmlformats.org/officeDocument/2006/relationships/oleObject" Target="file:///\\wcc\dfs\groups\fingroups\Account\Brendan\Annual%20Reports\Annual%20Report%202023-2024\Draft%20Financial%20Statements%202023-24.xlsx!Note%2016%20-%20NCAHFS!R4C1:R11C5" TargetMode="External"/><Relationship Id="rId91" Type="http://schemas.openxmlformats.org/officeDocument/2006/relationships/oleObject" Target="file:///\\wcc\dfs\groups\fingroups\Account\Brendan\Annual%20Reports\Annual%20Report%202023-2024\Draft%20Financial%20Statements%202023-24.xlsx!Note%2019A%20-%20PP&amp;E!R245C1:R247C5" TargetMode="External"/><Relationship Id="rId145" Type="http://schemas.openxmlformats.org/officeDocument/2006/relationships/oleObject" Target="file:///\\wcc\dfs\groups\fingroups\Account\Brendan\Annual%20Reports\Annual%20Report%202023-2024\Draft%20Financial%20Statements%202023-24.xlsx!%20Note%2026B%20-%20W-tight%20funding!R2C1:R11C5" TargetMode="External"/><Relationship Id="rId166" Type="http://schemas.openxmlformats.org/officeDocument/2006/relationships/image" Target="media/image77.emf"/><Relationship Id="rId187" Type="http://schemas.openxmlformats.org/officeDocument/2006/relationships/oleObject" Target="file:///\\wcc\dfs\groups\fingroups\Account\Brendan\Annual%20Reports\Annual%20Report%202023-2024\Draft%20Financial%20Statements%202023-24.xlsx!Note%2033E%20-%20Volatility!R4C1:R20C5" TargetMode="External"/><Relationship Id="rId1" Type="http://schemas.openxmlformats.org/officeDocument/2006/relationships/customXml" Target="../customXml/item1.xml"/><Relationship Id="rId212" Type="http://schemas.openxmlformats.org/officeDocument/2006/relationships/image" Target="media/image100.emf"/><Relationship Id="rId233" Type="http://schemas.openxmlformats.org/officeDocument/2006/relationships/chart" Target="charts/chart3.xml"/><Relationship Id="rId28" Type="http://schemas.openxmlformats.org/officeDocument/2006/relationships/oleObject" Target="file:///\\wcc\dfs\groups\fingroups\Account\Brendan\Annual%20Reports\Annual%20Report%202023-2024\Draft%20Financial%20Statements%202023-24.xlsx!Note%206%20-%20Finance!R4C1:R24C5" TargetMode="External"/><Relationship Id="rId49" Type="http://schemas.openxmlformats.org/officeDocument/2006/relationships/image" Target="media/image22.emf"/><Relationship Id="rId114" Type="http://schemas.openxmlformats.org/officeDocument/2006/relationships/image" Target="media/image51.emf"/><Relationship Id="rId60" Type="http://schemas.openxmlformats.org/officeDocument/2006/relationships/oleObject" Target="file:///\\wcc\dfs\groups\fingroups\Account\Brendan\Annual%20Reports\Annual%20Report%202023-2024\Draft%20Financial%20Statements%202023-24.xlsx!Note%2013%20-%20Receivables!R23C1:R31C5" TargetMode="External"/><Relationship Id="rId81" Type="http://schemas.openxmlformats.org/officeDocument/2006/relationships/image" Target="media/image38.emf"/><Relationship Id="rId135" Type="http://schemas.openxmlformats.org/officeDocument/2006/relationships/oleObject" Target="file:///\\wcc\dfs\groups\fingroups\Account\Brendan\Annual%20Reports\Annual%20Report%202023-2024\Draft%20Financial%20Statements%202023-24.xlsx!Note%2025%20Employee%20provisions!R4C1:R28C5" TargetMode="External"/><Relationship Id="rId156" Type="http://schemas.openxmlformats.org/officeDocument/2006/relationships/image" Target="media/image72.emf"/><Relationship Id="rId177" Type="http://schemas.openxmlformats.org/officeDocument/2006/relationships/oleObject" Target="file:///\\wcc\dfs\groups\fingroups\Account\Brendan\Annual%20Reports\Annual%20Report%202023-2024\Draft%20Financial%20Statements%202023-24.xlsx!Note%2033A%20-%20Hierarchy!R20C1:R34C7" TargetMode="External"/><Relationship Id="rId198" Type="http://schemas.openxmlformats.org/officeDocument/2006/relationships/image" Target="media/image93.emf"/><Relationship Id="rId202" Type="http://schemas.openxmlformats.org/officeDocument/2006/relationships/image" Target="media/image95.emf"/><Relationship Id="rId223" Type="http://schemas.openxmlformats.org/officeDocument/2006/relationships/oleObject" Target="file:///\\wcc\dfs\groups\fingroups\Account\Brendan\Annual%20Reports\Annual%20Report%202023-2024\Draft%20Financial%20Statements%202023-24.xlsx!Note%2038B%20-%20CE%20REM!R3C1:R11C3" TargetMode="External"/><Relationship Id="rId244" Type="http://schemas.openxmlformats.org/officeDocument/2006/relationships/footer" Target="footer1.xml"/><Relationship Id="rId18" Type="http://schemas.openxmlformats.org/officeDocument/2006/relationships/image" Target="media/image7.emf"/><Relationship Id="rId39" Type="http://schemas.openxmlformats.org/officeDocument/2006/relationships/image" Target="media/image17.emf"/><Relationship Id="rId50" Type="http://schemas.openxmlformats.org/officeDocument/2006/relationships/oleObject" Target="file:///\\wcc\dfs\groups\fingroups\Account\Brendan\Annual%20Reports\Annual%20Report%202023-2024\Draft%20Financial%20Statements%202023-24.xlsx!SFPos!R56C1:R68C7" TargetMode="External"/><Relationship Id="rId104" Type="http://schemas.openxmlformats.org/officeDocument/2006/relationships/comments" Target="comments.xml"/><Relationship Id="rId125" Type="http://schemas.openxmlformats.org/officeDocument/2006/relationships/oleObject" Target="file:///\\wcc\dfs\groups\fingroups\Account\Brendan\Annual%20Reports\Annual%20Report%202023-2024\Draft%20Financial%20Statements%202023-24.xlsx!Note%2022%20-%20Exchange%20payables!R17C1:R46C5" TargetMode="External"/><Relationship Id="rId146" Type="http://schemas.openxmlformats.org/officeDocument/2006/relationships/image" Target="media/image67.emf"/><Relationship Id="rId167" Type="http://schemas.openxmlformats.org/officeDocument/2006/relationships/oleObject" Target="file:///\\wcc\DFS\groups\fingroups\Account\Brendan\Annual%20Reports\Annual%20Report%202023-2024\Draft%20Financial%20Statements%202023-24.xlsx!SCFlows!R5C1:R54C6" TargetMode="External"/><Relationship Id="rId188" Type="http://schemas.openxmlformats.org/officeDocument/2006/relationships/image" Target="media/image88.emf"/><Relationship Id="rId71" Type="http://schemas.openxmlformats.org/officeDocument/2006/relationships/image" Target="media/image33.emf"/><Relationship Id="rId92" Type="http://schemas.openxmlformats.org/officeDocument/2006/relationships/image" Target="media/image43.emf"/><Relationship Id="rId213" Type="http://schemas.openxmlformats.org/officeDocument/2006/relationships/oleObject" Target="file:///\\wcc\dfs\groups\fingroups\Account\Brendan\Annual%20Reports\Annual%20Report%202023-2024\Draft%20Financial%20Statements%202023-24.xlsx!Note%2037B%20-%20Related%20parties!R2C1:R12C4" TargetMode="External"/><Relationship Id="rId234" Type="http://schemas.openxmlformats.org/officeDocument/2006/relationships/chart" Target="charts/chart4.xml"/><Relationship Id="rId2" Type="http://schemas.openxmlformats.org/officeDocument/2006/relationships/numbering" Target="numbering.xml"/><Relationship Id="rId29" Type="http://schemas.openxmlformats.org/officeDocument/2006/relationships/image" Target="media/image12.emf"/><Relationship Id="rId40" Type="http://schemas.openxmlformats.org/officeDocument/2006/relationships/oleObject" Target="file:///\\wcc\dfs\groups\fingroups\Account\Brendan\Annual%20Reports\Annual%20Report%202023-2024\Draft%20Financial%20Statements%202023-24.xlsx!Note%209%20-%20Share%20of%20Surplus%20-%20Ass!R4C1:R15C3" TargetMode="External"/><Relationship Id="rId115" Type="http://schemas.openxmlformats.org/officeDocument/2006/relationships/oleObject" Target="file:///\\wcc\dfs\groups\fingroups\Account\Brendan\Annual%20Reports\Annual%20Report%202023-2024\Draft%20Financial%20Statements%202023-24.xlsx!Note%2021%20-%20Associates!R15C1:R42C3" TargetMode="External"/><Relationship Id="rId136" Type="http://schemas.openxmlformats.org/officeDocument/2006/relationships/image" Target="media/image62.emf"/><Relationship Id="rId157" Type="http://schemas.openxmlformats.org/officeDocument/2006/relationships/oleObject" Target="file:///\\wcc\dfs\groups\fingroups\Account\Brendan\Annual%20Reports\Annual%20Report%202023-2024\Draft%20Financial%20Statements%202023-24.xlsx!Note%2028%20-%20Revaluations!R48C1:R56C5" TargetMode="External"/><Relationship Id="rId178" Type="http://schemas.openxmlformats.org/officeDocument/2006/relationships/image" Target="media/image83.emf"/><Relationship Id="rId61" Type="http://schemas.openxmlformats.org/officeDocument/2006/relationships/image" Target="media/image28.emf"/><Relationship Id="rId82" Type="http://schemas.openxmlformats.org/officeDocument/2006/relationships/oleObject" Target="file:///\\wcc\dfs\groups\fingroups\Account\Brendan\Annual%20Reports\Annual%20Report%202023-2024\Draft%20Financial%20Statements%202023-24.xlsx!Note%2019A%20-%20PP&amp;E!R4C1:R47C5" TargetMode="External"/><Relationship Id="rId199" Type="http://schemas.openxmlformats.org/officeDocument/2006/relationships/oleObject" Target="file:///\\wcc\dfs\groups\fingroups\Account\Brendan\Annual%20Reports\Annual%20Report%202023-2024\Draft%20Financial%20Statements%202023-24.xlsx!Note%2034%20-%20Commitments!R18C1:R32C5" TargetMode="External"/><Relationship Id="rId203" Type="http://schemas.openxmlformats.org/officeDocument/2006/relationships/oleObject" Target="file:///\\wcc\dfs\groups\fingroups\Account\Brendan\Annual%20Reports\Annual%20Report%202023-2024\Draft%20Financial%20Statements%202023-24.xlsx!Note%2035%20-%20Contingencies!R4C1:R13C5" TargetMode="External"/><Relationship Id="rId19" Type="http://schemas.openxmlformats.org/officeDocument/2006/relationships/oleObject" Target="file:///\\wcc\dfs\groups\fingroups\Account\Brendan\Annual%20Reports\Annual%20Report%202023-2024\Draft%20Financial%20Statements%202023-24.xlsx!Note%202%20-%20Rev%20from%20Op%20Activities!R4C1:R21C5" TargetMode="External"/><Relationship Id="rId224" Type="http://schemas.openxmlformats.org/officeDocument/2006/relationships/image" Target="media/image106.emf"/><Relationship Id="rId245" Type="http://schemas.openxmlformats.org/officeDocument/2006/relationships/fontTable" Target="fontTable.xml"/><Relationship Id="rId30" Type="http://schemas.openxmlformats.org/officeDocument/2006/relationships/oleObject" Target="file:///\\wcc\dfs\groups\fingroups\Account\Brendan\Annual%20Reports\Annual%20Report%202023-2024\Draft%20Financial%20Statements%202023-24.xlsx!Note%207%20-%20Exp%20from%20Op%20activities!R4C1:R42C5" TargetMode="External"/><Relationship Id="rId105" Type="http://schemas.microsoft.com/office/2011/relationships/commentsExtended" Target="commentsExtended.xml"/><Relationship Id="rId126" Type="http://schemas.openxmlformats.org/officeDocument/2006/relationships/image" Target="media/image57.emf"/><Relationship Id="rId147" Type="http://schemas.openxmlformats.org/officeDocument/2006/relationships/oleObject" Target="file:///\\wcc\dfs\groups\fingroups\Account\Brendan\Annual%20Reports\Annual%20Report%202023-2024\Draft%20Financial%20Statements%202023-24.xlsx!Note%2027%20-%20Deferred%20tax!R4C1:R32C3" TargetMode="External"/><Relationship Id="rId168" Type="http://schemas.openxmlformats.org/officeDocument/2006/relationships/image" Target="media/image78.emf"/><Relationship Id="rId51" Type="http://schemas.openxmlformats.org/officeDocument/2006/relationships/image" Target="media/image23.emf"/><Relationship Id="rId72" Type="http://schemas.openxmlformats.org/officeDocument/2006/relationships/oleObject" Target="file:///\\wcc\dfs\groups\fingroups\Account\Brendan\Annual%20Reports\Annual%20Report%202023-2024\Draft%20Financial%20Statements%202023-24.xlsx!Note%2017%20-%20Intangibles!R4C1:R36C5" TargetMode="External"/><Relationship Id="rId93" Type="http://schemas.openxmlformats.org/officeDocument/2006/relationships/oleObject" Target="file:///\\wcc\DFS\groups\fingroups\Account\Brendan\Annual%20Reports\Annual%20Report%202023-2024\Draft%20Financial%20Statements%202023-24.xlsx!Note%2019A%20-%20PP&amp;E!R132C1:R175C5" TargetMode="External"/><Relationship Id="rId189" Type="http://schemas.openxmlformats.org/officeDocument/2006/relationships/oleObject" Target="file:///\\wcc\dfs\groups\fingroups\Account\Brendan\Annual%20Reports\Annual%20Report%202023-2024\Draft%20Financial%20Statements%202023-24.xlsx!Note%2033F%20-%20Effectiveness!R6C1:R11C5" TargetMode="External"/><Relationship Id="rId3" Type="http://schemas.openxmlformats.org/officeDocument/2006/relationships/styles" Target="styles.xml"/><Relationship Id="rId214" Type="http://schemas.openxmlformats.org/officeDocument/2006/relationships/image" Target="media/image101.emf"/><Relationship Id="rId235" Type="http://schemas.openxmlformats.org/officeDocument/2006/relationships/chart" Target="charts/chart5.xml"/><Relationship Id="rId116" Type="http://schemas.openxmlformats.org/officeDocument/2006/relationships/image" Target="media/image52.emf"/><Relationship Id="rId137" Type="http://schemas.openxmlformats.org/officeDocument/2006/relationships/oleObject" Target="file:///\\wcc\dfs\groups\fingroups\Account\Brendan\Annual%20Reports\Annual%20Report%202023-2024\Draft%20Financial%20Statements%202023-24.xlsx!Note%2026%20-%20Other%20provisions!R4C1:R20C5" TargetMode="External"/><Relationship Id="rId158" Type="http://schemas.openxmlformats.org/officeDocument/2006/relationships/image" Target="media/image73.emf"/><Relationship Id="rId20" Type="http://schemas.openxmlformats.org/officeDocument/2006/relationships/chart" Target="charts/chart1.xml"/><Relationship Id="rId41" Type="http://schemas.openxmlformats.org/officeDocument/2006/relationships/image" Target="media/image18.emf"/><Relationship Id="rId62" Type="http://schemas.openxmlformats.org/officeDocument/2006/relationships/oleObject" Target="file:///\\wcc\dfs\groups\fingroups\Account\Brendan\Annual%20Reports\Annual%20Report%202023-2024\Draft%20Financial%20Statements%202023-24.xlsx!Note%2013A%20-%20Aging!R4C1:R28C9" TargetMode="External"/><Relationship Id="rId83" Type="http://schemas.openxmlformats.org/officeDocument/2006/relationships/image" Target="media/image39.emf"/><Relationship Id="rId179" Type="http://schemas.openxmlformats.org/officeDocument/2006/relationships/oleObject" Target="file:///\\wcc\dfs\groups\fingroups\Account\Brendan\Annual%20Reports\Annual%20Report%202023-2024\Draft%20Financial%20Statements%202023-24.xlsx!Note%2033B%20-%20Credit%20risk!R4C1:R19C5" TargetMode="External"/><Relationship Id="rId190" Type="http://schemas.openxmlformats.org/officeDocument/2006/relationships/image" Target="media/image89.emf"/><Relationship Id="rId204" Type="http://schemas.openxmlformats.org/officeDocument/2006/relationships/image" Target="media/image96.emf"/><Relationship Id="rId225" Type="http://schemas.openxmlformats.org/officeDocument/2006/relationships/oleObject" Target="file:///\\wcc\dfs\groups\fingroups\Account\Brendan\Annual%20Reports\Annual%20Report%202023-2024\Draft%20Financial%20Statements%202023-24.xlsx!Note%2038C%20-%20Employee%20no.%20-%20Bands!R4C1:R9C3" TargetMode="External"/><Relationship Id="rId246" Type="http://schemas.microsoft.com/office/2011/relationships/people" Target="people.xml"/><Relationship Id="rId106" Type="http://schemas.microsoft.com/office/2016/09/relationships/commentsIds" Target="commentsIds.xml"/><Relationship Id="rId127" Type="http://schemas.openxmlformats.org/officeDocument/2006/relationships/oleObject" Target="file:///\\wcc\dfs\groups\fingroups\Account\Brendan\Annual%20Reports\Annual%20Report%202023-2024\Draft%20Financial%20Statements%202023-24.xlsx!Note%2023%20-%20Deferred%20Revenue%20!R4C1:R23C5"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wcc\DFS\groups\fingroups\Account\Brendan\Annual%20Reports\Annual%20Report%202023-2024\Draft%20Financial%20Statements%202023-24.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https://wccgovtnz.sharepoint.com/sites/spot/Internal%20Management/Financial%20Management/Financial%20Accounting/Wellington%20City%20Council/Annual%20Report%20(secured)/Annual%20Report%20Financial%20Statements%202023-24/Financial%20Statements/Financial%20Benchmarks/2024%20Benchmarks%20-%20fi"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wccgovtnz.sharepoint.com/sites/spot/Internal%20Management/Financial%20Management/Financial%20Accounting/Wellington%20City%20Council/Annual%20Report%20(secured)/Annual%20Report%20Financial%20Statements%202023-24/Financial%20Statements/Financial%20Benchmarks/2024%20Benchmark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ttps://wccgovtnz.sharepoint.com/sites/spot/Internal%20Management/Financial%20Management/Financial%20Accounting/Wellington%20City%20Council/Annual%20Report%20(secured)/Annual%20Report%20Financial%20Statements%202023-24/Financial%20Statements/Financial%20Benchmarks/2024%20Benchmark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wccgovtnz.sharepoint.com/sites/spot/Internal%20Management/Financial%20Management/Financial%20Accounting/Wellington%20City%20Council/Annual%20Report%20(secured)/Annual%20Report%20Financial%20Statements%202023-24/Financial%20Statements/Financial%20Benchmarks/2024%20Benchmark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wccgovtnz.sharepoint.com/sites/spot/Internal%20Management/Financial%20Management/Financial%20Accounting/Wellington%20City%20Council/Annual%20Report%20(secured)/Annual%20Report%20Financial%20Statements%202023-24/Financial%20Statements/Financial%20Benchmarks/2024%20Benchmark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wccgovtnz.sharepoint.com/sites/spot/Internal%20Management/Financial%20Management/Financial%20Accounting/Wellington%20City%20Council/Annual%20Report%20(secured)/Annual%20Report%20Financial%20Statements%202023-24/Financial%20Statements/Financial%20Benchmarks/2024%20Benchmark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wccgovtnz.sharepoint.com/sites/spot/Internal%20Management/Financial%20Management/Financial%20Accounting/Wellington%20City%20Council/Annual%20Report%20(secured)/Annual%20Report%20Financial%20Statements%202023-24/Financial%20Statements/Financial%20Benchmarks/2024%20Benchmark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wccgovtnz.sharepoint.com/sites/spot/Internal%20Management/Financial%20Management/Financial%20Accounting/Wellington%20City%20Council/Annual%20Report%20(secured)/Annual%20Report%20Financial%20Statements%202023-24/Financial%20Statements/Financial%20Benchmarks/2024%20Benchmark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wccgovtnz.sharepoint.com/sites/spot/Internal%20Management/Financial%20Management/Financial%20Accounting/Wellington%20City%20Council/Annual%20Report%20(secured)/Annual%20Report%20Financial%20Statements%202023-24/Financial%20Statements/Financial%20Benchmarks/2024%20Benchmark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wccgovtnz.sharepoint.com/sites/spot/Internal%20Management/Financial%20Management/Financial%20Accounting/Wellington%20City%20Council/Annual%20Report%20(secured)/Annual%20Report%20Financial%20Statements%202023-24/Financial%20Statements/Financial%20Benchmarks/2024%20Benchmark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wccgovtnz.sharepoint.com/sites/spot/Internal%20Management/Financial%20Management/Financial%20Accounting/Wellington%20City%20Council/Annual%20Report%20(secured)/Annual%20Report%20Financial%20Statements%202023-24/Financial%20Statements/Financial%20Benchmarks/2024%20Benchmark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6712721238712"/>
          <c:y val="8.5417749177291918E-2"/>
          <c:w val="0.59788146243871931"/>
          <c:h val="0.7986023955127437"/>
        </c:manualLayout>
      </c:layout>
      <c:barChart>
        <c:barDir val="col"/>
        <c:grouping val="clustered"/>
        <c:varyColors val="0"/>
        <c:ser>
          <c:idx val="0"/>
          <c:order val="0"/>
          <c:tx>
            <c:strRef>
              <c:f>'Note 2 - Graph'!$L$7</c:f>
              <c:strCache>
                <c:ptCount val="1"/>
                <c:pt idx="0">
                  <c:v>City Housing </c:v>
                </c:pt>
              </c:strCache>
            </c:strRef>
          </c:tx>
          <c:invertIfNegative val="0"/>
          <c:cat>
            <c:strRef>
              <c:f>'Note 2 - Graph'!$M$6:$Q$6</c:f>
              <c:strCache>
                <c:ptCount val="5"/>
                <c:pt idx="0">
                  <c:v>2019/20</c:v>
                </c:pt>
                <c:pt idx="1">
                  <c:v>2020/21</c:v>
                </c:pt>
                <c:pt idx="2">
                  <c:v>2021/22</c:v>
                </c:pt>
                <c:pt idx="3">
                  <c:v>2022/23</c:v>
                </c:pt>
                <c:pt idx="4">
                  <c:v>2023/24</c:v>
                </c:pt>
              </c:strCache>
            </c:strRef>
          </c:cat>
          <c:val>
            <c:numRef>
              <c:f>'Note 2 - Graph'!$M$7:$Q$7</c:f>
              <c:numCache>
                <c:formatCode>"$"#,##0_);\("$"#,##0\)</c:formatCode>
                <c:ptCount val="5"/>
                <c:pt idx="0">
                  <c:v>26470</c:v>
                </c:pt>
                <c:pt idx="1">
                  <c:v>25553</c:v>
                </c:pt>
                <c:pt idx="2">
                  <c:v>27416</c:v>
                </c:pt>
                <c:pt idx="3">
                  <c:v>26988</c:v>
                </c:pt>
              </c:numCache>
            </c:numRef>
          </c:val>
          <c:extLst xmlns:c15="http://schemas.microsoft.com/office/drawing/2012/chart">
            <c:ext xmlns:c16="http://schemas.microsoft.com/office/drawing/2014/chart" uri="{C3380CC4-5D6E-409C-BE32-E72D297353CC}">
              <c16:uniqueId val="{00000000-654C-4D7F-B491-CB78155E07BB}"/>
            </c:ext>
          </c:extLst>
        </c:ser>
        <c:ser>
          <c:idx val="1"/>
          <c:order val="1"/>
          <c:tx>
            <c:strRef>
              <c:f>'Note 2 - Graph'!$L$8</c:f>
              <c:strCache>
                <c:ptCount val="1"/>
                <c:pt idx="0">
                  <c:v>Lease revenue</c:v>
                </c:pt>
              </c:strCache>
            </c:strRef>
          </c:tx>
          <c:invertIfNegative val="0"/>
          <c:cat>
            <c:strRef>
              <c:f>'Note 2 - Graph'!$M$6:$Q$6</c:f>
              <c:strCache>
                <c:ptCount val="5"/>
                <c:pt idx="0">
                  <c:v>2019/20</c:v>
                </c:pt>
                <c:pt idx="1">
                  <c:v>2020/21</c:v>
                </c:pt>
                <c:pt idx="2">
                  <c:v>2021/22</c:v>
                </c:pt>
                <c:pt idx="3">
                  <c:v>2022/23</c:v>
                </c:pt>
                <c:pt idx="4">
                  <c:v>2023/24</c:v>
                </c:pt>
              </c:strCache>
            </c:strRef>
          </c:cat>
          <c:val>
            <c:numRef>
              <c:f>'Note 2 - Graph'!$M$8:$Q$8</c:f>
              <c:numCache>
                <c:formatCode>General</c:formatCode>
                <c:ptCount val="5"/>
                <c:pt idx="2" formatCode="&quot;$&quot;#,##0_);\(&quot;$&quot;#,##0\)">
                  <c:v>0</c:v>
                </c:pt>
                <c:pt idx="3" formatCode="&quot;$&quot;#,##0_);\(&quot;$&quot;#,##0\)">
                  <c:v>0</c:v>
                </c:pt>
                <c:pt idx="4" formatCode="&quot;$&quot;#,##0_);\(&quot;$&quot;#,##0\)">
                  <c:v>29400</c:v>
                </c:pt>
              </c:numCache>
            </c:numRef>
          </c:val>
          <c:extLst>
            <c:ext xmlns:c16="http://schemas.microsoft.com/office/drawing/2014/chart" uri="{C3380CC4-5D6E-409C-BE32-E72D297353CC}">
              <c16:uniqueId val="{00000001-654C-4D7F-B491-CB78155E07BB}"/>
            </c:ext>
          </c:extLst>
        </c:ser>
        <c:ser>
          <c:idx val="2"/>
          <c:order val="2"/>
          <c:tx>
            <c:strRef>
              <c:f>'Note 2 - Graph'!$L$9</c:f>
              <c:strCache>
                <c:ptCount val="1"/>
                <c:pt idx="0">
                  <c:v>Landfill operations and recycling</c:v>
                </c:pt>
              </c:strCache>
            </c:strRef>
          </c:tx>
          <c:invertIfNegative val="0"/>
          <c:cat>
            <c:strRef>
              <c:f>'Note 2 - Graph'!$M$6:$Q$6</c:f>
              <c:strCache>
                <c:ptCount val="5"/>
                <c:pt idx="0">
                  <c:v>2019/20</c:v>
                </c:pt>
                <c:pt idx="1">
                  <c:v>2020/21</c:v>
                </c:pt>
                <c:pt idx="2">
                  <c:v>2021/22</c:v>
                </c:pt>
                <c:pt idx="3">
                  <c:v>2022/23</c:v>
                </c:pt>
                <c:pt idx="4">
                  <c:v>2023/24</c:v>
                </c:pt>
              </c:strCache>
            </c:strRef>
          </c:cat>
          <c:val>
            <c:numRef>
              <c:f>'Note 2 - Graph'!$M$9:$Q$9</c:f>
              <c:numCache>
                <c:formatCode>"$"#,##0_);\("$"#,##0\)</c:formatCode>
                <c:ptCount val="5"/>
                <c:pt idx="0">
                  <c:v>16328</c:v>
                </c:pt>
                <c:pt idx="1">
                  <c:v>19089</c:v>
                </c:pt>
                <c:pt idx="2">
                  <c:v>23654</c:v>
                </c:pt>
                <c:pt idx="3">
                  <c:v>31120</c:v>
                </c:pt>
                <c:pt idx="4">
                  <c:v>34391</c:v>
                </c:pt>
              </c:numCache>
            </c:numRef>
          </c:val>
          <c:extLst>
            <c:ext xmlns:c16="http://schemas.microsoft.com/office/drawing/2014/chart" uri="{C3380CC4-5D6E-409C-BE32-E72D297353CC}">
              <c16:uniqueId val="{00000002-654C-4D7F-B491-CB78155E07BB}"/>
            </c:ext>
          </c:extLst>
        </c:ser>
        <c:ser>
          <c:idx val="3"/>
          <c:order val="3"/>
          <c:tx>
            <c:strRef>
              <c:f>'Note 2 - Graph'!$L$10</c:f>
              <c:strCache>
                <c:ptCount val="1"/>
                <c:pt idx="0">
                  <c:v>Parking fees and permits</c:v>
                </c:pt>
              </c:strCache>
            </c:strRef>
          </c:tx>
          <c:invertIfNegative val="0"/>
          <c:cat>
            <c:strRef>
              <c:f>'Note 2 - Graph'!$M$6:$Q$6</c:f>
              <c:strCache>
                <c:ptCount val="5"/>
                <c:pt idx="0">
                  <c:v>2019/20</c:v>
                </c:pt>
                <c:pt idx="1">
                  <c:v>2020/21</c:v>
                </c:pt>
                <c:pt idx="2">
                  <c:v>2021/22</c:v>
                </c:pt>
                <c:pt idx="3">
                  <c:v>2022/23</c:v>
                </c:pt>
                <c:pt idx="4">
                  <c:v>2023/24</c:v>
                </c:pt>
              </c:strCache>
            </c:strRef>
          </c:cat>
          <c:val>
            <c:numRef>
              <c:f>'Note 2 - Graph'!$M$10:$Q$10</c:f>
              <c:numCache>
                <c:formatCode>"$"#,##0_);\("$"#,##0\)</c:formatCode>
                <c:ptCount val="5"/>
                <c:pt idx="0">
                  <c:v>20326</c:v>
                </c:pt>
                <c:pt idx="1">
                  <c:v>23293</c:v>
                </c:pt>
                <c:pt idx="2">
                  <c:v>21360</c:v>
                </c:pt>
                <c:pt idx="3">
                  <c:v>24412</c:v>
                </c:pt>
                <c:pt idx="4">
                  <c:v>23434.250830000001</c:v>
                </c:pt>
              </c:numCache>
            </c:numRef>
          </c:val>
          <c:extLst>
            <c:ext xmlns:c16="http://schemas.microsoft.com/office/drawing/2014/chart" uri="{C3380CC4-5D6E-409C-BE32-E72D297353CC}">
              <c16:uniqueId val="{00000003-654C-4D7F-B491-CB78155E07BB}"/>
            </c:ext>
          </c:extLst>
        </c:ser>
        <c:ser>
          <c:idx val="4"/>
          <c:order val="4"/>
          <c:tx>
            <c:strRef>
              <c:f>'Note 2 - Graph'!$L$11</c:f>
              <c:strCache>
                <c:ptCount val="1"/>
                <c:pt idx="0">
                  <c:v>Consents and licensing services</c:v>
                </c:pt>
              </c:strCache>
            </c:strRef>
          </c:tx>
          <c:invertIfNegative val="0"/>
          <c:cat>
            <c:strRef>
              <c:f>'Note 2 - Graph'!$M$6:$Q$6</c:f>
              <c:strCache>
                <c:ptCount val="5"/>
                <c:pt idx="0">
                  <c:v>2019/20</c:v>
                </c:pt>
                <c:pt idx="1">
                  <c:v>2020/21</c:v>
                </c:pt>
                <c:pt idx="2">
                  <c:v>2021/22</c:v>
                </c:pt>
                <c:pt idx="3">
                  <c:v>2022/23</c:v>
                </c:pt>
                <c:pt idx="4">
                  <c:v>2023/24</c:v>
                </c:pt>
              </c:strCache>
            </c:strRef>
          </c:cat>
          <c:val>
            <c:numRef>
              <c:f>'Note 2 - Graph'!$M$11:$Q$11</c:f>
              <c:numCache>
                <c:formatCode>"$"#,##0_);\("$"#,##0\)</c:formatCode>
                <c:ptCount val="5"/>
                <c:pt idx="0">
                  <c:v>13551</c:v>
                </c:pt>
                <c:pt idx="1">
                  <c:v>16116</c:v>
                </c:pt>
                <c:pt idx="2">
                  <c:v>18284</c:v>
                </c:pt>
                <c:pt idx="3">
                  <c:v>17461</c:v>
                </c:pt>
                <c:pt idx="4">
                  <c:v>18009</c:v>
                </c:pt>
              </c:numCache>
            </c:numRef>
          </c:val>
          <c:extLst>
            <c:ext xmlns:c16="http://schemas.microsoft.com/office/drawing/2014/chart" uri="{C3380CC4-5D6E-409C-BE32-E72D297353CC}">
              <c16:uniqueId val="{00000004-654C-4D7F-B491-CB78155E07BB}"/>
            </c:ext>
          </c:extLst>
        </c:ser>
        <c:ser>
          <c:idx val="5"/>
          <c:order val="5"/>
          <c:tx>
            <c:strRef>
              <c:f>'Note 2 - Graph'!$L$12</c:f>
              <c:strCache>
                <c:ptCount val="1"/>
                <c:pt idx="0">
                  <c:v>Convention and conference centres</c:v>
                </c:pt>
              </c:strCache>
            </c:strRef>
          </c:tx>
          <c:invertIfNegative val="0"/>
          <c:cat>
            <c:strRef>
              <c:f>'Note 2 - Graph'!$M$6:$Q$6</c:f>
              <c:strCache>
                <c:ptCount val="5"/>
                <c:pt idx="0">
                  <c:v>2019/20</c:v>
                </c:pt>
                <c:pt idx="1">
                  <c:v>2020/21</c:v>
                </c:pt>
                <c:pt idx="2">
                  <c:v>2021/22</c:v>
                </c:pt>
                <c:pt idx="3">
                  <c:v>2022/23</c:v>
                </c:pt>
                <c:pt idx="4">
                  <c:v>2023/24</c:v>
                </c:pt>
              </c:strCache>
            </c:strRef>
          </c:cat>
          <c:val>
            <c:numRef>
              <c:f>'Note 2 - Graph'!$M$12:$Q$12</c:f>
              <c:numCache>
                <c:formatCode>"$"#,##0_);\("$"#,##0\)</c:formatCode>
                <c:ptCount val="5"/>
                <c:pt idx="0">
                  <c:v>8460</c:v>
                </c:pt>
                <c:pt idx="1">
                  <c:v>8259</c:v>
                </c:pt>
                <c:pt idx="2">
                  <c:v>6246</c:v>
                </c:pt>
                <c:pt idx="3">
                  <c:v>15913</c:v>
                </c:pt>
                <c:pt idx="4">
                  <c:v>15254</c:v>
                </c:pt>
              </c:numCache>
            </c:numRef>
          </c:val>
          <c:extLst>
            <c:ext xmlns:c16="http://schemas.microsoft.com/office/drawing/2014/chart" uri="{C3380CC4-5D6E-409C-BE32-E72D297353CC}">
              <c16:uniqueId val="{00000005-654C-4D7F-B491-CB78155E07BB}"/>
            </c:ext>
          </c:extLst>
        </c:ser>
        <c:dLbls>
          <c:showLegendKey val="0"/>
          <c:showVal val="0"/>
          <c:showCatName val="0"/>
          <c:showSerName val="0"/>
          <c:showPercent val="0"/>
          <c:showBubbleSize val="0"/>
        </c:dLbls>
        <c:gapWidth val="120"/>
        <c:axId val="248238848"/>
        <c:axId val="248240384"/>
        <c:extLst/>
      </c:barChart>
      <c:catAx>
        <c:axId val="248238848"/>
        <c:scaling>
          <c:orientation val="minMax"/>
        </c:scaling>
        <c:delete val="0"/>
        <c:axPos val="b"/>
        <c:title>
          <c:tx>
            <c:rich>
              <a:bodyPr/>
              <a:lstStyle/>
              <a:p>
                <a:pPr>
                  <a:defRPr/>
                </a:pPr>
                <a:r>
                  <a:rPr lang="en-NZ"/>
                  <a:t>Year</a:t>
                </a:r>
              </a:p>
            </c:rich>
          </c:tx>
          <c:layout>
            <c:manualLayout>
              <c:xMode val="edge"/>
              <c:yMode val="edge"/>
              <c:x val="0.39770616453192786"/>
              <c:y val="0.94733483225496062"/>
            </c:manualLayout>
          </c:layout>
          <c:overlay val="0"/>
        </c:title>
        <c:numFmt formatCode="General" sourceLinked="1"/>
        <c:majorTickMark val="out"/>
        <c:minorTickMark val="none"/>
        <c:tickLblPos val="nextTo"/>
        <c:crossAx val="248240384"/>
        <c:crosses val="autoZero"/>
        <c:auto val="1"/>
        <c:lblAlgn val="ctr"/>
        <c:lblOffset val="100"/>
        <c:noMultiLvlLbl val="0"/>
      </c:catAx>
      <c:valAx>
        <c:axId val="248240384"/>
        <c:scaling>
          <c:orientation val="minMax"/>
          <c:max val="35000"/>
          <c:min val="1000"/>
        </c:scaling>
        <c:delete val="0"/>
        <c:axPos val="l"/>
        <c:majorGridlines/>
        <c:title>
          <c:tx>
            <c:rich>
              <a:bodyPr/>
              <a:lstStyle/>
              <a:p>
                <a:pPr>
                  <a:defRPr/>
                </a:pPr>
                <a:r>
                  <a:rPr lang="en-NZ"/>
                  <a:t>$000</a:t>
                </a:r>
              </a:p>
            </c:rich>
          </c:tx>
          <c:overlay val="0"/>
        </c:title>
        <c:numFmt formatCode="_(* #,##0_);_(* \(#,##0\);_(* &quot;-&quot;_);_(@_)" sourceLinked="0"/>
        <c:majorTickMark val="out"/>
        <c:minorTickMark val="none"/>
        <c:tickLblPos val="nextTo"/>
        <c:crossAx val="248238848"/>
        <c:crossesAt val="1"/>
        <c:crossBetween val="between"/>
        <c:majorUnit val="5000"/>
        <c:minorUnit val="400"/>
      </c:valAx>
    </c:plotArea>
    <c:legend>
      <c:legendPos val="r"/>
      <c:layout>
        <c:manualLayout>
          <c:xMode val="edge"/>
          <c:yMode val="edge"/>
          <c:x val="0.75225964397452116"/>
          <c:y val="8.2478092456184926E-2"/>
          <c:w val="0.22827564080294757"/>
          <c:h val="0.89060452120904243"/>
        </c:manualLayout>
      </c:layout>
      <c:overlay val="0"/>
      <c:txPr>
        <a:bodyPr/>
        <a:lstStyle/>
        <a:p>
          <a:pPr>
            <a:defRPr sz="1200" b="1" i="0" baseline="0">
              <a:solidFill>
                <a:schemeClr val="tx1"/>
              </a:solidFill>
            </a:defRPr>
          </a:pPr>
          <a:endParaRPr lang="en-US"/>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'[2024 Benchmarks - final to auditors.xlsx]oGraphs'!$A$305</c:f>
              <c:strCache>
                <c:ptCount val="1"/>
                <c:pt idx="0">
                  <c:v>Benchmark met</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'[2024 Benchmarks - final to auditors.xlsx]oGraphs'!$D$295:$H$295</c:f>
              <c:strCache>
                <c:ptCount val="5"/>
                <c:pt idx="0">
                  <c:v>2019/20</c:v>
                </c:pt>
                <c:pt idx="1">
                  <c:v>2020/21</c:v>
                </c:pt>
                <c:pt idx="2">
                  <c:v>2021/22</c:v>
                </c:pt>
                <c:pt idx="3">
                  <c:v>2022/23</c:v>
                </c:pt>
                <c:pt idx="4">
                  <c:v>2023/24</c:v>
                </c:pt>
              </c:strCache>
            </c:strRef>
          </c:cat>
          <c:val>
            <c:numRef>
              <c:f>'[2024 Benchmarks - final to auditors.xlsx]oGraphs'!$D$305:$H$305</c:f>
              <c:numCache>
                <c:formatCode>0.0%</c:formatCode>
                <c:ptCount val="5"/>
                <c:pt idx="0">
                  <c:v>4.5135142341637707E-2</c:v>
                </c:pt>
                <c:pt idx="1">
                  <c:v>4.4683483107723805E-2</c:v>
                </c:pt>
                <c:pt idx="2">
                  <c:v>4.6183428299257326E-2</c:v>
                </c:pt>
                <c:pt idx="3">
                  <c:v>7.5593854076950434E-2</c:v>
                </c:pt>
                <c:pt idx="4">
                  <c:v>8.9671298448305833E-2</c:v>
                </c:pt>
              </c:numCache>
            </c:numRef>
          </c:val>
          <c:extLst>
            <c:ext xmlns:c16="http://schemas.microsoft.com/office/drawing/2014/chart" uri="{C3380CC4-5D6E-409C-BE32-E72D297353CC}">
              <c16:uniqueId val="{00000000-BFFC-43C0-96F7-91E24E75491D}"/>
            </c:ext>
          </c:extLst>
        </c:ser>
        <c:ser>
          <c:idx val="2"/>
          <c:order val="1"/>
          <c:tx>
            <c:strRef>
              <c:f>'[2024 Benchmarks - final to auditors.xlsx]oGraphs'!$A$306</c:f>
              <c:strCache>
                <c:ptCount val="1"/>
                <c:pt idx="0">
                  <c:v>Benchmark not met</c:v>
                </c:pt>
              </c:strCache>
            </c:strRef>
          </c:tx>
          <c:spPr>
            <a:solidFill>
              <a:srgbClr val="FFC000"/>
            </a:solidFill>
          </c:spPr>
          <c:invertIfNegative val="0"/>
          <c:cat>
            <c:strRef>
              <c:f>'[2024 Benchmarks - final to auditors.xlsx]oGraphs'!$D$295:$H$295</c:f>
              <c:strCache>
                <c:ptCount val="5"/>
                <c:pt idx="0">
                  <c:v>2019/20</c:v>
                </c:pt>
                <c:pt idx="1">
                  <c:v>2020/21</c:v>
                </c:pt>
                <c:pt idx="2">
                  <c:v>2021/22</c:v>
                </c:pt>
                <c:pt idx="3">
                  <c:v>2022/23</c:v>
                </c:pt>
                <c:pt idx="4">
                  <c:v>2023/24</c:v>
                </c:pt>
              </c:strCache>
            </c:strRef>
          </c:cat>
          <c:val>
            <c:numRef>
              <c:f>'[2024 Benchmarks - final to auditors.xlsx]oGraphs'!$D$306:$H$306</c:f>
              <c:numCache>
                <c:formatCode>0%</c:formatCode>
                <c:ptCount val="5"/>
                <c:pt idx="1">
                  <c:v>0</c:v>
                </c:pt>
                <c:pt idx="2">
                  <c:v>0</c:v>
                </c:pt>
                <c:pt idx="3">
                  <c:v>0</c:v>
                </c:pt>
                <c:pt idx="4">
                  <c:v>0</c:v>
                </c:pt>
              </c:numCache>
            </c:numRef>
          </c:val>
          <c:extLst>
            <c:ext xmlns:c16="http://schemas.microsoft.com/office/drawing/2014/chart" uri="{C3380CC4-5D6E-409C-BE32-E72D297353CC}">
              <c16:uniqueId val="{00000001-BFFC-43C0-96F7-91E24E75491D}"/>
            </c:ext>
          </c:extLst>
        </c:ser>
        <c:dLbls>
          <c:showLegendKey val="0"/>
          <c:showVal val="0"/>
          <c:showCatName val="0"/>
          <c:showSerName val="0"/>
          <c:showPercent val="0"/>
          <c:showBubbleSize val="0"/>
        </c:dLbls>
        <c:gapWidth val="150"/>
        <c:axId val="290243712"/>
        <c:axId val="290245632"/>
      </c:barChart>
      <c:scatterChart>
        <c:scatterStyle val="lineMarker"/>
        <c:varyColors val="0"/>
        <c:ser>
          <c:idx val="0"/>
          <c:order val="2"/>
          <c:tx>
            <c:strRef>
              <c:f>'[2024 Benchmarks - final to auditors.xlsx]oGraphs'!$D$312</c:f>
              <c:strCache>
                <c:ptCount val="1"/>
                <c:pt idx="0">
                  <c:v>Benchmark</c:v>
                </c:pt>
              </c:strCache>
            </c:strRef>
          </c:tx>
          <c:spPr>
            <a:ln>
              <a:solidFill>
                <a:schemeClr val="tx1"/>
              </a:solidFill>
            </a:ln>
          </c:spPr>
          <c:marker>
            <c:symbol val="none"/>
          </c:marker>
          <c:xVal>
            <c:numRef>
              <c:f>'[2024 Benchmarks - final to auditors.xlsx]oGraphs'!$C$313:$C$314</c:f>
              <c:numCache>
                <c:formatCode>_(* #,##0.00_);_(* \(#,##0.00\);_(* "-"??_);_(@_)</c:formatCode>
                <c:ptCount val="2"/>
                <c:pt idx="0">
                  <c:v>0</c:v>
                </c:pt>
                <c:pt idx="1">
                  <c:v>1</c:v>
                </c:pt>
              </c:numCache>
            </c:numRef>
          </c:xVal>
          <c:yVal>
            <c:numRef>
              <c:f>'[2024 Benchmarks - final to auditors.xlsx]oGraphs'!$D$313:$D$314</c:f>
              <c:numCache>
                <c:formatCode>0%</c:formatCode>
                <c:ptCount val="2"/>
                <c:pt idx="0">
                  <c:v>0.1</c:v>
                </c:pt>
                <c:pt idx="1">
                  <c:v>0.1</c:v>
                </c:pt>
              </c:numCache>
            </c:numRef>
          </c:yVal>
          <c:smooth val="0"/>
          <c:extLst>
            <c:ext xmlns:c16="http://schemas.microsoft.com/office/drawing/2014/chart" uri="{C3380CC4-5D6E-409C-BE32-E72D297353CC}">
              <c16:uniqueId val="{00000002-BFFC-43C0-96F7-91E24E75491D}"/>
            </c:ext>
          </c:extLst>
        </c:ser>
        <c:dLbls>
          <c:showLegendKey val="0"/>
          <c:showVal val="0"/>
          <c:showCatName val="0"/>
          <c:showSerName val="0"/>
          <c:showPercent val="0"/>
          <c:showBubbleSize val="0"/>
        </c:dLbls>
        <c:axId val="290257536"/>
        <c:axId val="290256000"/>
      </c:scatterChart>
      <c:catAx>
        <c:axId val="290243712"/>
        <c:scaling>
          <c:orientation val="minMax"/>
        </c:scaling>
        <c:delete val="0"/>
        <c:axPos val="b"/>
        <c:title>
          <c:tx>
            <c:rich>
              <a:bodyPr/>
              <a:lstStyle/>
              <a:p>
                <a:pPr>
                  <a:defRPr/>
                </a:pPr>
                <a:r>
                  <a:rPr lang="en-NZ"/>
                  <a:t>Year</a:t>
                </a:r>
              </a:p>
            </c:rich>
          </c:tx>
          <c:overlay val="0"/>
        </c:title>
        <c:numFmt formatCode="General" sourceLinked="1"/>
        <c:majorTickMark val="out"/>
        <c:minorTickMark val="none"/>
        <c:tickLblPos val="nextTo"/>
        <c:crossAx val="290245632"/>
        <c:crosses val="autoZero"/>
        <c:auto val="1"/>
        <c:lblAlgn val="ctr"/>
        <c:lblOffset val="100"/>
        <c:noMultiLvlLbl val="0"/>
      </c:catAx>
      <c:valAx>
        <c:axId val="290245632"/>
        <c:scaling>
          <c:orientation val="minMax"/>
        </c:scaling>
        <c:delete val="0"/>
        <c:axPos val="l"/>
        <c:majorGridlines>
          <c:spPr>
            <a:ln>
              <a:solidFill>
                <a:schemeClr val="tx1"/>
              </a:solidFill>
            </a:ln>
          </c:spPr>
        </c:majorGridlines>
        <c:title>
          <c:tx>
            <c:rich>
              <a:bodyPr rot="-5400000" vert="horz"/>
              <a:lstStyle/>
              <a:p>
                <a:pPr>
                  <a:defRPr/>
                </a:pPr>
                <a:r>
                  <a:rPr lang="en-NZ"/>
                  <a:t>Borrowing</a:t>
                </a:r>
                <a:r>
                  <a:rPr lang="en-NZ" baseline="0"/>
                  <a:t> costs/revenue (%)</a:t>
                </a:r>
                <a:endParaRPr lang="en-NZ"/>
              </a:p>
            </c:rich>
          </c:tx>
          <c:overlay val="0"/>
        </c:title>
        <c:numFmt formatCode="0.0%" sourceLinked="1"/>
        <c:majorTickMark val="out"/>
        <c:minorTickMark val="none"/>
        <c:tickLblPos val="nextTo"/>
        <c:crossAx val="290243712"/>
        <c:crosses val="autoZero"/>
        <c:crossBetween val="between"/>
      </c:valAx>
      <c:valAx>
        <c:axId val="290256000"/>
        <c:scaling>
          <c:orientation val="minMax"/>
          <c:max val="1.4"/>
          <c:min val="0"/>
        </c:scaling>
        <c:delete val="1"/>
        <c:axPos val="r"/>
        <c:numFmt formatCode="0%" sourceLinked="1"/>
        <c:majorTickMark val="none"/>
        <c:minorTickMark val="none"/>
        <c:tickLblPos val="none"/>
        <c:crossAx val="290257536"/>
        <c:crosses val="max"/>
        <c:crossBetween val="midCat"/>
      </c:valAx>
      <c:valAx>
        <c:axId val="290257536"/>
        <c:scaling>
          <c:orientation val="minMax"/>
          <c:max val="1"/>
          <c:min val="0"/>
        </c:scaling>
        <c:delete val="0"/>
        <c:axPos val="t"/>
        <c:numFmt formatCode="_(* #,##0.00_);_(* \(#,##0.00\);_(* &quot;-&quot;??_);_(@_)" sourceLinked="1"/>
        <c:majorTickMark val="out"/>
        <c:minorTickMark val="none"/>
        <c:tickLblPos val="none"/>
        <c:crossAx val="290256000"/>
        <c:crosses val="max"/>
        <c:crossBetween val="midCat"/>
      </c:valAx>
    </c:plotArea>
    <c:legend>
      <c:legendPos val="r"/>
      <c:overlay val="0"/>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'[2024 Benchmarks.xlsx]oGraphs'!$A$372</c:f>
              <c:strCache>
                <c:ptCount val="1"/>
                <c:pt idx="0">
                  <c:v>Benchmark met</c:v>
                </c:pt>
              </c:strCache>
            </c:strRef>
          </c:tx>
          <c:spPr>
            <a:solidFill>
              <a:srgbClr val="00B050"/>
            </a:solidFill>
          </c:spPr>
          <c:invertIfNegative val="0"/>
          <c:dLbls>
            <c:dLbl>
              <c:idx val="0"/>
              <c:layout>
                <c:manualLayout>
                  <c:x val="2.8188871654957555E-3"/>
                  <c:y val="1.42222222222222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5E-4F46-A461-7A036228B12B}"/>
                </c:ext>
              </c:extLst>
            </c:dLbl>
            <c:dLbl>
              <c:idx val="1"/>
              <c:layout>
                <c:manualLayout>
                  <c:x val="-3.7807677724477024E-17"/>
                  <c:y val="-2.8173136839565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5E-4F46-A461-7A036228B12B}"/>
                </c:ext>
              </c:extLst>
            </c:dLbl>
            <c:dLbl>
              <c:idx val="2"/>
              <c:layout>
                <c:manualLayout>
                  <c:x val="0"/>
                  <c:y val="-2.48888888888889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5E-4F46-A461-7A036228B12B}"/>
                </c:ext>
              </c:extLst>
            </c:dLbl>
            <c:dLbl>
              <c:idx val="3"/>
              <c:layout>
                <c:manualLayout>
                  <c:x val="-1.0335800206771794E-16"/>
                  <c:y val="-2.8444444444444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5E-4F46-A461-7A036228B12B}"/>
                </c:ext>
              </c:extLst>
            </c:dLbl>
            <c:dLbl>
              <c:idx val="4"/>
              <c:layout>
                <c:manualLayout>
                  <c:x val="7.5615355448954048E-17"/>
                  <c:y val="1.02598571375483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25E-4F46-A461-7A036228B12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'[2024 Benchmarks.xlsx]oGraphs'!$D$329:$H$329</c:f>
              <c:strCache>
                <c:ptCount val="5"/>
                <c:pt idx="0">
                  <c:v>2019/20</c:v>
                </c:pt>
                <c:pt idx="1">
                  <c:v>2020/21</c:v>
                </c:pt>
                <c:pt idx="2">
                  <c:v>2021/22</c:v>
                </c:pt>
                <c:pt idx="3">
                  <c:v>2022/23</c:v>
                </c:pt>
                <c:pt idx="4">
                  <c:v>2023/24</c:v>
                </c:pt>
              </c:strCache>
            </c:strRef>
          </c:cat>
          <c:val>
            <c:numRef>
              <c:f>'[2024 Benchmarks.xlsx]oGraphs'!$D$372:$H$372</c:f>
              <c:numCache>
                <c:formatCode>0%</c:formatCode>
                <c:ptCount val="5"/>
                <c:pt idx="1">
                  <c:v>0.93181644404765618</c:v>
                </c:pt>
                <c:pt idx="2">
                  <c:v>0.78356653604954973</c:v>
                </c:pt>
                <c:pt idx="3">
                  <c:v>0.83354330270711707</c:v>
                </c:pt>
                <c:pt idx="4">
                  <c:v>0.93753755010761086</c:v>
                </c:pt>
              </c:numCache>
            </c:numRef>
          </c:val>
          <c:extLst>
            <c:ext xmlns:c16="http://schemas.microsoft.com/office/drawing/2014/chart" uri="{C3380CC4-5D6E-409C-BE32-E72D297353CC}">
              <c16:uniqueId val="{00000005-D25E-4F46-A461-7A036228B12B}"/>
            </c:ext>
          </c:extLst>
        </c:ser>
        <c:ser>
          <c:idx val="2"/>
          <c:order val="1"/>
          <c:tx>
            <c:strRef>
              <c:f>'[2024 Benchmarks.xlsx]oGraphs'!$A$373</c:f>
              <c:strCache>
                <c:ptCount val="1"/>
                <c:pt idx="0">
                  <c:v>Benchmark not met</c:v>
                </c:pt>
              </c:strCache>
            </c:strRef>
          </c:tx>
          <c:spPr>
            <a:solidFill>
              <a:srgbClr val="FFC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'[2024 Benchmarks.xlsx]oGraphs'!$D$329:$H$329</c:f>
              <c:strCache>
                <c:ptCount val="5"/>
                <c:pt idx="0">
                  <c:v>2019/20</c:v>
                </c:pt>
                <c:pt idx="1">
                  <c:v>2020/21</c:v>
                </c:pt>
                <c:pt idx="2">
                  <c:v>2021/22</c:v>
                </c:pt>
                <c:pt idx="3">
                  <c:v>2022/23</c:v>
                </c:pt>
                <c:pt idx="4">
                  <c:v>2023/24</c:v>
                </c:pt>
              </c:strCache>
            </c:strRef>
          </c:cat>
          <c:val>
            <c:numRef>
              <c:f>'[2024 Benchmarks.xlsx]oGraphs'!$D$373</c:f>
              <c:numCache>
                <c:formatCode>0%</c:formatCode>
                <c:ptCount val="1"/>
                <c:pt idx="0">
                  <c:v>1.011329128119574</c:v>
                </c:pt>
              </c:numCache>
            </c:numRef>
          </c:val>
          <c:extLst>
            <c:ext xmlns:c16="http://schemas.microsoft.com/office/drawing/2014/chart" uri="{C3380CC4-5D6E-409C-BE32-E72D297353CC}">
              <c16:uniqueId val="{00000006-D25E-4F46-A461-7A036228B12B}"/>
            </c:ext>
          </c:extLst>
        </c:ser>
        <c:dLbls>
          <c:showLegendKey val="0"/>
          <c:showVal val="0"/>
          <c:showCatName val="0"/>
          <c:showSerName val="0"/>
          <c:showPercent val="0"/>
          <c:showBubbleSize val="0"/>
        </c:dLbls>
        <c:gapWidth val="150"/>
        <c:axId val="285934720"/>
        <c:axId val="285936640"/>
      </c:barChart>
      <c:scatterChart>
        <c:scatterStyle val="lineMarker"/>
        <c:varyColors val="0"/>
        <c:ser>
          <c:idx val="3"/>
          <c:order val="2"/>
          <c:tx>
            <c:strRef>
              <c:f>'[2024 Benchmarks.xlsx]oGraphs'!$D$379</c:f>
              <c:strCache>
                <c:ptCount val="1"/>
                <c:pt idx="0">
                  <c:v>Benchmark</c:v>
                </c:pt>
              </c:strCache>
            </c:strRef>
          </c:tx>
          <c:spPr>
            <a:ln>
              <a:solidFill>
                <a:schemeClr val="tx1"/>
              </a:solidFill>
            </a:ln>
          </c:spPr>
          <c:marker>
            <c:symbol val="none"/>
          </c:marker>
          <c:xVal>
            <c:numRef>
              <c:f>'[2024 Benchmarks.xlsx]oGraphs'!$C$380:$C$381</c:f>
              <c:numCache>
                <c:formatCode>_(* #,##0.00_);_(* \(#,##0.00\);_(* "-"??_);_(@_)</c:formatCode>
                <c:ptCount val="2"/>
                <c:pt idx="0">
                  <c:v>0</c:v>
                </c:pt>
                <c:pt idx="1">
                  <c:v>1</c:v>
                </c:pt>
              </c:numCache>
            </c:numRef>
          </c:xVal>
          <c:yVal>
            <c:numRef>
              <c:f>'[2024 Benchmarks.xlsx]oGraphs'!$D$380:$D$381</c:f>
              <c:numCache>
                <c:formatCode>_(* #,##0.00_);_(* \(#,##0.00\);_(* "-"??_);_(@_)</c:formatCode>
                <c:ptCount val="2"/>
                <c:pt idx="0">
                  <c:v>1</c:v>
                </c:pt>
                <c:pt idx="1">
                  <c:v>1</c:v>
                </c:pt>
              </c:numCache>
            </c:numRef>
          </c:yVal>
          <c:smooth val="0"/>
          <c:extLst>
            <c:ext xmlns:c16="http://schemas.microsoft.com/office/drawing/2014/chart" uri="{C3380CC4-5D6E-409C-BE32-E72D297353CC}">
              <c16:uniqueId val="{00000007-D25E-4F46-A461-7A036228B12B}"/>
            </c:ext>
          </c:extLst>
        </c:ser>
        <c:dLbls>
          <c:showLegendKey val="0"/>
          <c:showVal val="0"/>
          <c:showCatName val="0"/>
          <c:showSerName val="0"/>
          <c:showPercent val="0"/>
          <c:showBubbleSize val="0"/>
        </c:dLbls>
        <c:axId val="285960832"/>
        <c:axId val="285959296"/>
      </c:scatterChart>
      <c:catAx>
        <c:axId val="285934720"/>
        <c:scaling>
          <c:orientation val="minMax"/>
        </c:scaling>
        <c:delete val="0"/>
        <c:axPos val="b"/>
        <c:title>
          <c:tx>
            <c:rich>
              <a:bodyPr/>
              <a:lstStyle/>
              <a:p>
                <a:pPr>
                  <a:defRPr/>
                </a:pPr>
                <a:r>
                  <a:rPr lang="en-NZ"/>
                  <a:t>Year</a:t>
                </a:r>
              </a:p>
            </c:rich>
          </c:tx>
          <c:overlay val="0"/>
        </c:title>
        <c:numFmt formatCode="General" sourceLinked="1"/>
        <c:majorTickMark val="out"/>
        <c:minorTickMark val="none"/>
        <c:tickLblPos val="nextTo"/>
        <c:crossAx val="285936640"/>
        <c:crosses val="autoZero"/>
        <c:auto val="1"/>
        <c:lblAlgn val="ctr"/>
        <c:lblOffset val="100"/>
        <c:noMultiLvlLbl val="0"/>
      </c:catAx>
      <c:valAx>
        <c:axId val="285936640"/>
        <c:scaling>
          <c:orientation val="minMax"/>
          <c:min val="0"/>
        </c:scaling>
        <c:delete val="0"/>
        <c:axPos val="l"/>
        <c:majorGridlines>
          <c:spPr>
            <a:ln>
              <a:solidFill>
                <a:schemeClr val="tx1"/>
              </a:solidFill>
            </a:ln>
          </c:spPr>
        </c:majorGridlines>
        <c:title>
          <c:tx>
            <c:rich>
              <a:bodyPr rot="-5400000" vert="horz"/>
              <a:lstStyle/>
              <a:p>
                <a:pPr>
                  <a:defRPr/>
                </a:pPr>
                <a:r>
                  <a:rPr lang="en-NZ"/>
                  <a:t>Actual/budgeted net debt (%)</a:t>
                </a:r>
              </a:p>
            </c:rich>
          </c:tx>
          <c:overlay val="0"/>
        </c:title>
        <c:numFmt formatCode="0%" sourceLinked="1"/>
        <c:majorTickMark val="out"/>
        <c:minorTickMark val="none"/>
        <c:tickLblPos val="nextTo"/>
        <c:crossAx val="285934720"/>
        <c:crosses val="autoZero"/>
        <c:crossBetween val="between"/>
      </c:valAx>
      <c:valAx>
        <c:axId val="285959296"/>
        <c:scaling>
          <c:orientation val="minMax"/>
          <c:max val="1.4"/>
          <c:min val="0"/>
        </c:scaling>
        <c:delete val="1"/>
        <c:axPos val="r"/>
        <c:numFmt formatCode="_(* #,##0.00_);_(* \(#,##0.00\);_(* &quot;-&quot;??_);_(@_)" sourceLinked="1"/>
        <c:majorTickMark val="none"/>
        <c:minorTickMark val="none"/>
        <c:tickLblPos val="none"/>
        <c:crossAx val="285960832"/>
        <c:crosses val="max"/>
        <c:crossBetween val="midCat"/>
      </c:valAx>
      <c:valAx>
        <c:axId val="285960832"/>
        <c:scaling>
          <c:orientation val="minMax"/>
          <c:max val="1"/>
          <c:min val="0"/>
        </c:scaling>
        <c:delete val="0"/>
        <c:axPos val="t"/>
        <c:numFmt formatCode="_(* #,##0.00_);_(* \(#,##0.00\);_(* &quot;-&quot;??_);_(@_)" sourceLinked="1"/>
        <c:majorTickMark val="out"/>
        <c:minorTickMark val="none"/>
        <c:tickLblPos val="none"/>
        <c:crossAx val="285959296"/>
        <c:crosses val="max"/>
        <c:crossBetween val="midCat"/>
      </c:valAx>
    </c:plotArea>
    <c:legend>
      <c:legendPos val="r"/>
      <c:overlay val="0"/>
    </c:legend>
    <c:plotVisOnly val="1"/>
    <c:dispBlanksAs val="gap"/>
    <c:showDLblsOverMax val="0"/>
  </c:chart>
  <c:txPr>
    <a:bodyPr/>
    <a:lstStyle/>
    <a:p>
      <a:pPr>
        <a:defRPr lang="en-US" sz="1000" b="0" i="0" u="none" strike="noStrike" kern="1200" baseline="0">
          <a:solidFill>
            <a:schemeClr val="tx1"/>
          </a:solidFill>
          <a:latin typeface="+mn-lt"/>
          <a:ea typeface="+mn-ea"/>
          <a:cs typeface="+mn-cs"/>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'[2024 Benchmarks.xlsx]oGraphs'!$A$401</c:f>
              <c:strCache>
                <c:ptCount val="1"/>
                <c:pt idx="0">
                  <c:v>Benchmark not met</c:v>
                </c:pt>
              </c:strCache>
            </c:strRef>
          </c:tx>
          <c:spPr>
            <a:solidFill>
              <a:srgbClr val="FFC000"/>
            </a:solidFill>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3438-4885-A4A6-73A27DD5639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'[2024 Benchmarks.xlsx]oGraphs'!$D$394:$H$394</c:f>
              <c:strCache>
                <c:ptCount val="5"/>
                <c:pt idx="0">
                  <c:v>2019/20</c:v>
                </c:pt>
                <c:pt idx="1">
                  <c:v>2020/21</c:v>
                </c:pt>
                <c:pt idx="2">
                  <c:v>2021/22</c:v>
                </c:pt>
                <c:pt idx="3">
                  <c:v>2022/23</c:v>
                </c:pt>
                <c:pt idx="4">
                  <c:v>2023/24</c:v>
                </c:pt>
              </c:strCache>
            </c:strRef>
          </c:cat>
          <c:val>
            <c:numRef>
              <c:f>'[2024 Benchmarks.xlsx]oGraphs'!$D$401:$H$401</c:f>
              <c:numCache>
                <c:formatCode>0%</c:formatCode>
                <c:ptCount val="5"/>
                <c:pt idx="0">
                  <c:v>0.82126909337275222</c:v>
                </c:pt>
                <c:pt idx="1">
                  <c:v>0</c:v>
                </c:pt>
                <c:pt idx="2">
                  <c:v>0.78495461119332754</c:v>
                </c:pt>
                <c:pt idx="3">
                  <c:v>0.9861339896125999</c:v>
                </c:pt>
                <c:pt idx="4">
                  <c:v>0.95617137318457268</c:v>
                </c:pt>
              </c:numCache>
            </c:numRef>
          </c:val>
          <c:extLst>
            <c:ext xmlns:c16="http://schemas.microsoft.com/office/drawing/2014/chart" uri="{C3380CC4-5D6E-409C-BE32-E72D297353CC}">
              <c16:uniqueId val="{00000001-3438-4885-A4A6-73A27DD56392}"/>
            </c:ext>
          </c:extLst>
        </c:ser>
        <c:ser>
          <c:idx val="2"/>
          <c:order val="1"/>
          <c:tx>
            <c:strRef>
              <c:f>'[2024 Benchmarks.xlsx]oGraphs'!$A$402</c:f>
              <c:strCache>
                <c:ptCount val="1"/>
                <c:pt idx="0">
                  <c:v>Benchmark  met</c:v>
                </c:pt>
              </c:strCache>
            </c:strRef>
          </c:tx>
          <c:spPr>
            <a:solidFill>
              <a:srgbClr val="00B050"/>
            </a:solidFill>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2-3438-4885-A4A6-73A27DD56392}"/>
                </c:ext>
              </c:extLst>
            </c:dLbl>
            <c:dLbl>
              <c:idx val="3"/>
              <c:delete val="1"/>
              <c:extLst>
                <c:ext xmlns:c15="http://schemas.microsoft.com/office/drawing/2012/chart" uri="{CE6537A1-D6FC-4f65-9D91-7224C49458BB}"/>
                <c:ext xmlns:c16="http://schemas.microsoft.com/office/drawing/2014/chart" uri="{C3380CC4-5D6E-409C-BE32-E72D297353CC}">
                  <c16:uniqueId val="{00000003-3438-4885-A4A6-73A27DD5639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'[2024 Benchmarks.xlsx]oGraphs'!$D$394:$H$394</c:f>
              <c:strCache>
                <c:ptCount val="5"/>
                <c:pt idx="0">
                  <c:v>2019/20</c:v>
                </c:pt>
                <c:pt idx="1">
                  <c:v>2020/21</c:v>
                </c:pt>
                <c:pt idx="2">
                  <c:v>2021/22</c:v>
                </c:pt>
                <c:pt idx="3">
                  <c:v>2022/23</c:v>
                </c:pt>
                <c:pt idx="4">
                  <c:v>2023/24</c:v>
                </c:pt>
              </c:strCache>
            </c:strRef>
          </c:cat>
          <c:val>
            <c:numRef>
              <c:f>'[2024 Benchmarks.xlsx]oGraphs'!$D$402:$H$402</c:f>
              <c:numCache>
                <c:formatCode>0%</c:formatCode>
                <c:ptCount val="5"/>
                <c:pt idx="1">
                  <c:v>1.1893359179081213</c:v>
                </c:pt>
                <c:pt idx="2">
                  <c:v>0</c:v>
                </c:pt>
                <c:pt idx="3">
                  <c:v>0</c:v>
                </c:pt>
              </c:numCache>
            </c:numRef>
          </c:val>
          <c:extLst>
            <c:ext xmlns:c16="http://schemas.microsoft.com/office/drawing/2014/chart" uri="{C3380CC4-5D6E-409C-BE32-E72D297353CC}">
              <c16:uniqueId val="{00000004-3438-4885-A4A6-73A27DD56392}"/>
            </c:ext>
          </c:extLst>
        </c:ser>
        <c:dLbls>
          <c:showLegendKey val="0"/>
          <c:showVal val="0"/>
          <c:showCatName val="0"/>
          <c:showSerName val="0"/>
          <c:showPercent val="0"/>
          <c:showBubbleSize val="0"/>
        </c:dLbls>
        <c:gapWidth val="150"/>
        <c:axId val="290536448"/>
        <c:axId val="290559104"/>
      </c:barChart>
      <c:scatterChart>
        <c:scatterStyle val="lineMarker"/>
        <c:varyColors val="0"/>
        <c:ser>
          <c:idx val="3"/>
          <c:order val="2"/>
          <c:tx>
            <c:strRef>
              <c:f>'[2024 Benchmarks.xlsx]oGraphs'!$D$406</c:f>
              <c:strCache>
                <c:ptCount val="1"/>
                <c:pt idx="0">
                  <c:v>Benchmark</c:v>
                </c:pt>
              </c:strCache>
            </c:strRef>
          </c:tx>
          <c:spPr>
            <a:ln>
              <a:solidFill>
                <a:schemeClr val="tx1"/>
              </a:solidFill>
            </a:ln>
          </c:spPr>
          <c:marker>
            <c:symbol val="none"/>
          </c:marker>
          <c:xVal>
            <c:numRef>
              <c:f>'[2024 Benchmarks.xlsx]oGraphs'!$C$407:$C$408</c:f>
              <c:numCache>
                <c:formatCode>_(* #,##0.00_);_(* \(#,##0.00\);_(* "-"??_);_(@_)</c:formatCode>
                <c:ptCount val="2"/>
                <c:pt idx="0">
                  <c:v>0</c:v>
                </c:pt>
                <c:pt idx="1">
                  <c:v>1</c:v>
                </c:pt>
              </c:numCache>
            </c:numRef>
          </c:xVal>
          <c:yVal>
            <c:numRef>
              <c:f>'[2024 Benchmarks.xlsx]oGraphs'!$D$407:$D$408</c:f>
              <c:numCache>
                <c:formatCode>0%</c:formatCode>
                <c:ptCount val="2"/>
                <c:pt idx="0">
                  <c:v>1</c:v>
                </c:pt>
                <c:pt idx="1">
                  <c:v>1</c:v>
                </c:pt>
              </c:numCache>
            </c:numRef>
          </c:yVal>
          <c:smooth val="0"/>
          <c:extLst>
            <c:ext xmlns:c16="http://schemas.microsoft.com/office/drawing/2014/chart" uri="{C3380CC4-5D6E-409C-BE32-E72D297353CC}">
              <c16:uniqueId val="{00000005-3438-4885-A4A6-73A27DD56392}"/>
            </c:ext>
          </c:extLst>
        </c:ser>
        <c:dLbls>
          <c:showLegendKey val="0"/>
          <c:showVal val="0"/>
          <c:showCatName val="0"/>
          <c:showSerName val="0"/>
          <c:showPercent val="0"/>
          <c:showBubbleSize val="0"/>
        </c:dLbls>
        <c:axId val="290562816"/>
        <c:axId val="290561024"/>
      </c:scatterChart>
      <c:catAx>
        <c:axId val="290536448"/>
        <c:scaling>
          <c:orientation val="minMax"/>
        </c:scaling>
        <c:delete val="0"/>
        <c:axPos val="b"/>
        <c:title>
          <c:tx>
            <c:rich>
              <a:bodyPr/>
              <a:lstStyle/>
              <a:p>
                <a:pPr>
                  <a:defRPr/>
                </a:pPr>
                <a:r>
                  <a:rPr lang="en-NZ"/>
                  <a:t>Year</a:t>
                </a:r>
              </a:p>
            </c:rich>
          </c:tx>
          <c:overlay val="0"/>
        </c:title>
        <c:numFmt formatCode="General" sourceLinked="1"/>
        <c:majorTickMark val="out"/>
        <c:minorTickMark val="none"/>
        <c:tickLblPos val="nextTo"/>
        <c:crossAx val="290559104"/>
        <c:crosses val="autoZero"/>
        <c:auto val="1"/>
        <c:lblAlgn val="ctr"/>
        <c:lblOffset val="100"/>
        <c:noMultiLvlLbl val="0"/>
      </c:catAx>
      <c:valAx>
        <c:axId val="290559104"/>
        <c:scaling>
          <c:orientation val="minMax"/>
          <c:min val="0"/>
        </c:scaling>
        <c:delete val="0"/>
        <c:axPos val="l"/>
        <c:majorGridlines>
          <c:spPr>
            <a:ln>
              <a:solidFill>
                <a:schemeClr val="tx1"/>
              </a:solidFill>
            </a:ln>
          </c:spPr>
        </c:majorGridlines>
        <c:title>
          <c:tx>
            <c:rich>
              <a:bodyPr rot="-5400000" vert="horz"/>
              <a:lstStyle/>
              <a:p>
                <a:pPr>
                  <a:defRPr/>
                </a:pPr>
                <a:r>
                  <a:rPr lang="en-NZ"/>
                  <a:t>Actual/budget net cash</a:t>
                </a:r>
                <a:r>
                  <a:rPr lang="en-NZ" baseline="0"/>
                  <a:t> flow from operations (%)</a:t>
                </a:r>
                <a:endParaRPr lang="en-NZ"/>
              </a:p>
            </c:rich>
          </c:tx>
          <c:overlay val="0"/>
        </c:title>
        <c:numFmt formatCode="0%" sourceLinked="1"/>
        <c:majorTickMark val="out"/>
        <c:minorTickMark val="none"/>
        <c:tickLblPos val="nextTo"/>
        <c:crossAx val="290536448"/>
        <c:crosses val="autoZero"/>
        <c:crossBetween val="between"/>
      </c:valAx>
      <c:valAx>
        <c:axId val="290561024"/>
        <c:scaling>
          <c:orientation val="minMax"/>
          <c:max val="1.4"/>
          <c:min val="0"/>
        </c:scaling>
        <c:delete val="1"/>
        <c:axPos val="r"/>
        <c:numFmt formatCode="0%" sourceLinked="1"/>
        <c:majorTickMark val="none"/>
        <c:minorTickMark val="none"/>
        <c:tickLblPos val="none"/>
        <c:crossAx val="290562816"/>
        <c:crosses val="max"/>
        <c:crossBetween val="midCat"/>
      </c:valAx>
      <c:valAx>
        <c:axId val="290562816"/>
        <c:scaling>
          <c:orientation val="minMax"/>
          <c:max val="1"/>
          <c:min val="0"/>
        </c:scaling>
        <c:delete val="0"/>
        <c:axPos val="t"/>
        <c:numFmt formatCode="_(* #,##0.00_);_(* \(#,##0.00\);_(* &quot;-&quot;??_);_(@_)" sourceLinked="1"/>
        <c:majorTickMark val="out"/>
        <c:minorTickMark val="none"/>
        <c:tickLblPos val="none"/>
        <c:crossAx val="290561024"/>
        <c:crosses val="max"/>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'[2024 Benchmarks.xlsx]oGraphs'!$A$71</c:f>
              <c:strCache>
                <c:ptCount val="1"/>
                <c:pt idx="0">
                  <c:v>Quantified limit on rates revenue</c:v>
                </c:pt>
              </c:strCache>
            </c:strRef>
          </c:tx>
          <c:spPr>
            <a:solidFill>
              <a:schemeClr val="tx1"/>
            </a:solidFill>
          </c:spPr>
          <c:invertIfNegative val="0"/>
          <c:cat>
            <c:strRef>
              <c:f>'[2024 Benchmarks.xlsx]oGraphs'!$D$1:$H$1</c:f>
              <c:strCache>
                <c:ptCount val="5"/>
                <c:pt idx="0">
                  <c:v>2019/20</c:v>
                </c:pt>
                <c:pt idx="1">
                  <c:v>2020/21</c:v>
                </c:pt>
                <c:pt idx="2">
                  <c:v>2021/22</c:v>
                </c:pt>
                <c:pt idx="3">
                  <c:v>2022/23</c:v>
                </c:pt>
                <c:pt idx="4">
                  <c:v>2023/24</c:v>
                </c:pt>
              </c:strCache>
            </c:strRef>
          </c:cat>
          <c:val>
            <c:numRef>
              <c:f>'[2024 Benchmarks.xlsx]oGraphs'!$D$71:$H$71</c:f>
              <c:numCache>
                <c:formatCode>_(* #,##0_);_(* \(#,##0\);_(* "-"_);_(@_)</c:formatCode>
                <c:ptCount val="5"/>
                <c:pt idx="0">
                  <c:v>350000</c:v>
                </c:pt>
                <c:pt idx="1">
                  <c:v>350000</c:v>
                </c:pt>
                <c:pt idx="2">
                  <c:v>475000</c:v>
                </c:pt>
                <c:pt idx="3">
                  <c:v>475000</c:v>
                </c:pt>
                <c:pt idx="4">
                  <c:v>475000</c:v>
                </c:pt>
              </c:numCache>
            </c:numRef>
          </c:val>
          <c:extLst>
            <c:ext xmlns:c16="http://schemas.microsoft.com/office/drawing/2014/chart" uri="{C3380CC4-5D6E-409C-BE32-E72D297353CC}">
              <c16:uniqueId val="{00000000-EBBF-459B-9E56-C9653BB37EE0}"/>
            </c:ext>
          </c:extLst>
        </c:ser>
        <c:ser>
          <c:idx val="1"/>
          <c:order val="1"/>
          <c:tx>
            <c:strRef>
              <c:f>'[2024 Benchmarks.xlsx]oGraphs'!$A$72</c:f>
              <c:strCache>
                <c:ptCount val="1"/>
                <c:pt idx="0">
                  <c:v>Actual rates revenue (at or within limit)</c:v>
                </c:pt>
              </c:strCache>
            </c:strRef>
          </c:tx>
          <c:spPr>
            <a:solidFill>
              <a:srgbClr val="00B050"/>
            </a:solidFill>
          </c:spPr>
          <c:invertIfNegative val="0"/>
          <c:cat>
            <c:strRef>
              <c:f>'[2024 Benchmarks.xlsx]oGraphs'!$D$1:$H$1</c:f>
              <c:strCache>
                <c:ptCount val="5"/>
                <c:pt idx="0">
                  <c:v>2019/20</c:v>
                </c:pt>
                <c:pt idx="1">
                  <c:v>2020/21</c:v>
                </c:pt>
                <c:pt idx="2">
                  <c:v>2021/22</c:v>
                </c:pt>
                <c:pt idx="3">
                  <c:v>2022/23</c:v>
                </c:pt>
                <c:pt idx="4">
                  <c:v>2023/24</c:v>
                </c:pt>
              </c:strCache>
            </c:strRef>
          </c:cat>
          <c:val>
            <c:numRef>
              <c:f>'[2024 Benchmarks.xlsx]oGraphs'!$D$72:$H$72</c:f>
              <c:numCache>
                <c:formatCode>_(* #,##0_);_(* \(#,##0\);_(* "-"_);_(@_)</c:formatCode>
                <c:ptCount val="5"/>
                <c:pt idx="0">
                  <c:v>322021</c:v>
                </c:pt>
                <c:pt idx="1">
                  <c:v>341914</c:v>
                </c:pt>
                <c:pt idx="2">
                  <c:v>388176</c:v>
                </c:pt>
                <c:pt idx="3">
                  <c:v>424990</c:v>
                </c:pt>
                <c:pt idx="4">
                  <c:v>0</c:v>
                </c:pt>
              </c:numCache>
            </c:numRef>
          </c:val>
          <c:extLst>
            <c:ext xmlns:c16="http://schemas.microsoft.com/office/drawing/2014/chart" uri="{C3380CC4-5D6E-409C-BE32-E72D297353CC}">
              <c16:uniqueId val="{00000001-EBBF-459B-9E56-C9653BB37EE0}"/>
            </c:ext>
          </c:extLst>
        </c:ser>
        <c:ser>
          <c:idx val="2"/>
          <c:order val="2"/>
          <c:tx>
            <c:strRef>
              <c:f>'[2024 Benchmarks.xlsx]oGraphs'!$A$73</c:f>
              <c:strCache>
                <c:ptCount val="1"/>
                <c:pt idx="0">
                  <c:v>Actual rates revenue (exceeds limit)</c:v>
                </c:pt>
              </c:strCache>
            </c:strRef>
          </c:tx>
          <c:spPr>
            <a:solidFill>
              <a:srgbClr val="FFC000"/>
            </a:solidFill>
          </c:spPr>
          <c:invertIfNegative val="0"/>
          <c:cat>
            <c:strRef>
              <c:f>'[2024 Benchmarks.xlsx]oGraphs'!$D$1:$H$1</c:f>
              <c:strCache>
                <c:ptCount val="5"/>
                <c:pt idx="0">
                  <c:v>2019/20</c:v>
                </c:pt>
                <c:pt idx="1">
                  <c:v>2020/21</c:v>
                </c:pt>
                <c:pt idx="2">
                  <c:v>2021/22</c:v>
                </c:pt>
                <c:pt idx="3">
                  <c:v>2022/23</c:v>
                </c:pt>
                <c:pt idx="4">
                  <c:v>2023/24</c:v>
                </c:pt>
              </c:strCache>
            </c:strRef>
          </c:cat>
          <c:val>
            <c:numRef>
              <c:f>'[2024 Benchmarks.xlsx]oGraphs'!$D$73:$H$73</c:f>
              <c:numCache>
                <c:formatCode>_(* #,##0_);_(* \(#,##0\);_(* "-"_);_(@_)</c:formatCode>
                <c:ptCount val="5"/>
                <c:pt idx="0">
                  <c:v>0</c:v>
                </c:pt>
                <c:pt idx="1">
                  <c:v>0</c:v>
                </c:pt>
                <c:pt idx="2">
                  <c:v>0</c:v>
                </c:pt>
                <c:pt idx="3">
                  <c:v>0</c:v>
                </c:pt>
                <c:pt idx="4">
                  <c:v>483252</c:v>
                </c:pt>
              </c:numCache>
            </c:numRef>
          </c:val>
          <c:extLst>
            <c:ext xmlns:c16="http://schemas.microsoft.com/office/drawing/2014/chart" uri="{C3380CC4-5D6E-409C-BE32-E72D297353CC}">
              <c16:uniqueId val="{00000002-EBBF-459B-9E56-C9653BB37EE0}"/>
            </c:ext>
          </c:extLst>
        </c:ser>
        <c:dLbls>
          <c:showLegendKey val="0"/>
          <c:showVal val="0"/>
          <c:showCatName val="0"/>
          <c:showSerName val="0"/>
          <c:showPercent val="0"/>
          <c:showBubbleSize val="0"/>
        </c:dLbls>
        <c:gapWidth val="150"/>
        <c:axId val="272909056"/>
        <c:axId val="272910976"/>
      </c:barChart>
      <c:catAx>
        <c:axId val="272909056"/>
        <c:scaling>
          <c:orientation val="minMax"/>
        </c:scaling>
        <c:delete val="0"/>
        <c:axPos val="b"/>
        <c:title>
          <c:tx>
            <c:rich>
              <a:bodyPr/>
              <a:lstStyle/>
              <a:p>
                <a:pPr>
                  <a:defRPr/>
                </a:pPr>
                <a:r>
                  <a:rPr lang="en-NZ"/>
                  <a:t>Year</a:t>
                </a:r>
              </a:p>
            </c:rich>
          </c:tx>
          <c:overlay val="0"/>
        </c:title>
        <c:numFmt formatCode="General" sourceLinked="1"/>
        <c:majorTickMark val="out"/>
        <c:minorTickMark val="none"/>
        <c:tickLblPos val="nextTo"/>
        <c:crossAx val="272910976"/>
        <c:crosses val="autoZero"/>
        <c:auto val="1"/>
        <c:lblAlgn val="ctr"/>
        <c:lblOffset val="100"/>
        <c:noMultiLvlLbl val="0"/>
      </c:catAx>
      <c:valAx>
        <c:axId val="272910976"/>
        <c:scaling>
          <c:orientation val="minMax"/>
          <c:min val="200000"/>
        </c:scaling>
        <c:delete val="0"/>
        <c:axPos val="l"/>
        <c:majorGridlines/>
        <c:title>
          <c:tx>
            <c:rich>
              <a:bodyPr rot="-5400000" vert="horz"/>
              <a:lstStyle/>
              <a:p>
                <a:pPr>
                  <a:defRPr/>
                </a:pPr>
                <a:r>
                  <a:rPr lang="en-NZ"/>
                  <a:t>Rates</a:t>
                </a:r>
                <a:r>
                  <a:rPr lang="en-NZ" baseline="0"/>
                  <a:t> revenue (</a:t>
                </a:r>
                <a:r>
                  <a:rPr lang="en-NZ"/>
                  <a:t>$000)</a:t>
                </a:r>
              </a:p>
            </c:rich>
          </c:tx>
          <c:overlay val="0"/>
        </c:title>
        <c:numFmt formatCode="_(* #,##0_);_(* \(#,##0\);_(* &quot;-&quot;_);_(@_)" sourceLinked="1"/>
        <c:majorTickMark val="out"/>
        <c:minorTickMark val="none"/>
        <c:tickLblPos val="nextTo"/>
        <c:crossAx val="272909056"/>
        <c:crosses val="autoZero"/>
        <c:crossBetween val="between"/>
      </c:valAx>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29279301870706"/>
          <c:y val="4.1625175185002132E-2"/>
          <c:w val="0.51163247906113651"/>
          <c:h val="0.80271981909398038"/>
        </c:manualLayout>
      </c:layout>
      <c:barChart>
        <c:barDir val="col"/>
        <c:grouping val="clustered"/>
        <c:varyColors val="0"/>
        <c:ser>
          <c:idx val="0"/>
          <c:order val="0"/>
          <c:tx>
            <c:strRef>
              <c:f>'[2024 Benchmarks.xlsx]oGraphs'!$A$98</c:f>
              <c:strCache>
                <c:ptCount val="1"/>
                <c:pt idx="0">
                  <c:v>Quantified limit on rates increase (before growth figure as the actual we are comparing to has growth)</c:v>
                </c:pt>
              </c:strCache>
            </c:strRef>
          </c:tx>
          <c:spPr>
            <a:solidFill>
              <a:schemeClr val="tx1"/>
            </a:solidFill>
          </c:spPr>
          <c:invertIfNegative val="0"/>
          <c:cat>
            <c:strRef>
              <c:f>'[2024 Benchmarks.xlsx]oGraphs'!$D$1:$H$1</c:f>
              <c:strCache>
                <c:ptCount val="5"/>
                <c:pt idx="0">
                  <c:v>2019/20</c:v>
                </c:pt>
                <c:pt idx="1">
                  <c:v>2020/21</c:v>
                </c:pt>
                <c:pt idx="2">
                  <c:v>2021/22</c:v>
                </c:pt>
                <c:pt idx="3">
                  <c:v>2022/23</c:v>
                </c:pt>
                <c:pt idx="4">
                  <c:v>2023/24</c:v>
                </c:pt>
              </c:strCache>
            </c:strRef>
          </c:cat>
          <c:val>
            <c:numRef>
              <c:f>'[2024 Benchmarks.xlsx]oGraphs'!$D$98:$H$98</c:f>
              <c:numCache>
                <c:formatCode>0.0%</c:formatCode>
                <c:ptCount val="5"/>
                <c:pt idx="0">
                  <c:v>0.11600000000000001</c:v>
                </c:pt>
                <c:pt idx="1">
                  <c:v>7.5999999999999998E-2</c:v>
                </c:pt>
                <c:pt idx="2">
                  <c:v>0.27800000000000002</c:v>
                </c:pt>
                <c:pt idx="3">
                  <c:v>0.17565986837175745</c:v>
                </c:pt>
                <c:pt idx="4">
                  <c:v>9.6000000000000002E-2</c:v>
                </c:pt>
              </c:numCache>
            </c:numRef>
          </c:val>
          <c:extLst>
            <c:ext xmlns:c16="http://schemas.microsoft.com/office/drawing/2014/chart" uri="{C3380CC4-5D6E-409C-BE32-E72D297353CC}">
              <c16:uniqueId val="{00000000-DA93-417B-A426-DAD9246B063A}"/>
            </c:ext>
          </c:extLst>
        </c:ser>
        <c:ser>
          <c:idx val="1"/>
          <c:order val="1"/>
          <c:tx>
            <c:strRef>
              <c:f>'[2024 Benchmarks.xlsx]oGraphs'!$A$99</c:f>
              <c:strCache>
                <c:ptCount val="1"/>
                <c:pt idx="0">
                  <c:v>Actual rates increase (at or within limit)</c:v>
                </c:pt>
              </c:strCache>
            </c:strRef>
          </c:tx>
          <c:spPr>
            <a:solidFill>
              <a:srgbClr val="00B050"/>
            </a:solidFill>
          </c:spPr>
          <c:invertIfNegative val="0"/>
          <c:cat>
            <c:strRef>
              <c:f>'[2024 Benchmarks.xlsx]oGraphs'!$D$1:$H$1</c:f>
              <c:strCache>
                <c:ptCount val="5"/>
                <c:pt idx="0">
                  <c:v>2019/20</c:v>
                </c:pt>
                <c:pt idx="1">
                  <c:v>2020/21</c:v>
                </c:pt>
                <c:pt idx="2">
                  <c:v>2021/22</c:v>
                </c:pt>
                <c:pt idx="3">
                  <c:v>2022/23</c:v>
                </c:pt>
                <c:pt idx="4">
                  <c:v>2023/24</c:v>
                </c:pt>
              </c:strCache>
            </c:strRef>
          </c:cat>
          <c:val>
            <c:numRef>
              <c:f>'[2024 Benchmarks.xlsx]oGraphs'!$D$99:$H$99</c:f>
              <c:numCache>
                <c:formatCode>0.00%</c:formatCode>
                <c:ptCount val="5"/>
                <c:pt idx="0">
                  <c:v>3.9E-2</c:v>
                </c:pt>
                <c:pt idx="1">
                  <c:v>6.1775474270311562E-2</c:v>
                </c:pt>
                <c:pt idx="2">
                  <c:v>0.13530302941675393</c:v>
                </c:pt>
                <c:pt idx="3">
                  <c:v>9.4838423807757311E-2</c:v>
                </c:pt>
                <c:pt idx="4">
                  <c:v>0</c:v>
                </c:pt>
              </c:numCache>
            </c:numRef>
          </c:val>
          <c:extLst>
            <c:ext xmlns:c16="http://schemas.microsoft.com/office/drawing/2014/chart" uri="{C3380CC4-5D6E-409C-BE32-E72D297353CC}">
              <c16:uniqueId val="{00000001-DA93-417B-A426-DAD9246B063A}"/>
            </c:ext>
          </c:extLst>
        </c:ser>
        <c:ser>
          <c:idx val="2"/>
          <c:order val="2"/>
          <c:tx>
            <c:strRef>
              <c:f>'[2024 Benchmarks.xlsx]oGraphs'!$A$100</c:f>
              <c:strCache>
                <c:ptCount val="1"/>
                <c:pt idx="0">
                  <c:v>Actual rates increase (exceeds limit)</c:v>
                </c:pt>
              </c:strCache>
            </c:strRef>
          </c:tx>
          <c:spPr>
            <a:solidFill>
              <a:srgbClr val="FFC000"/>
            </a:solidFill>
          </c:spPr>
          <c:invertIfNegative val="0"/>
          <c:cat>
            <c:strRef>
              <c:f>'[2024 Benchmarks.xlsx]oGraphs'!$D$1:$H$1</c:f>
              <c:strCache>
                <c:ptCount val="5"/>
                <c:pt idx="0">
                  <c:v>2019/20</c:v>
                </c:pt>
                <c:pt idx="1">
                  <c:v>2020/21</c:v>
                </c:pt>
                <c:pt idx="2">
                  <c:v>2021/22</c:v>
                </c:pt>
                <c:pt idx="3">
                  <c:v>2022/23</c:v>
                </c:pt>
                <c:pt idx="4">
                  <c:v>2023/24</c:v>
                </c:pt>
              </c:strCache>
            </c:strRef>
          </c:cat>
          <c:val>
            <c:numRef>
              <c:f>'[2024 Benchmarks.xlsx]oGraphs'!$D$100:$H$100</c:f>
              <c:numCache>
                <c:formatCode>0.00%</c:formatCode>
                <c:ptCount val="5"/>
                <c:pt idx="1">
                  <c:v>0</c:v>
                </c:pt>
                <c:pt idx="2">
                  <c:v>0</c:v>
                </c:pt>
                <c:pt idx="3">
                  <c:v>0</c:v>
                </c:pt>
                <c:pt idx="4">
                  <c:v>0.13709028447728183</c:v>
                </c:pt>
              </c:numCache>
            </c:numRef>
          </c:val>
          <c:extLst>
            <c:ext xmlns:c16="http://schemas.microsoft.com/office/drawing/2014/chart" uri="{C3380CC4-5D6E-409C-BE32-E72D297353CC}">
              <c16:uniqueId val="{00000002-DA93-417B-A426-DAD9246B063A}"/>
            </c:ext>
          </c:extLst>
        </c:ser>
        <c:dLbls>
          <c:showLegendKey val="0"/>
          <c:showVal val="0"/>
          <c:showCatName val="0"/>
          <c:showSerName val="0"/>
          <c:showPercent val="0"/>
          <c:showBubbleSize val="0"/>
        </c:dLbls>
        <c:gapWidth val="150"/>
        <c:axId val="272937344"/>
        <c:axId val="272939264"/>
      </c:barChart>
      <c:catAx>
        <c:axId val="272937344"/>
        <c:scaling>
          <c:orientation val="minMax"/>
        </c:scaling>
        <c:delete val="0"/>
        <c:axPos val="b"/>
        <c:title>
          <c:tx>
            <c:rich>
              <a:bodyPr/>
              <a:lstStyle/>
              <a:p>
                <a:pPr>
                  <a:defRPr/>
                </a:pPr>
                <a:r>
                  <a:rPr lang="en-NZ"/>
                  <a:t>Year</a:t>
                </a:r>
              </a:p>
            </c:rich>
          </c:tx>
          <c:overlay val="0"/>
        </c:title>
        <c:numFmt formatCode="General" sourceLinked="1"/>
        <c:majorTickMark val="out"/>
        <c:minorTickMark val="none"/>
        <c:tickLblPos val="nextTo"/>
        <c:crossAx val="272939264"/>
        <c:crossesAt val="0"/>
        <c:auto val="1"/>
        <c:lblAlgn val="ctr"/>
        <c:lblOffset val="100"/>
        <c:noMultiLvlLbl val="0"/>
      </c:catAx>
      <c:valAx>
        <c:axId val="272939264"/>
        <c:scaling>
          <c:orientation val="minMax"/>
        </c:scaling>
        <c:delete val="0"/>
        <c:axPos val="l"/>
        <c:majorGridlines/>
        <c:title>
          <c:tx>
            <c:rich>
              <a:bodyPr/>
              <a:lstStyle/>
              <a:p>
                <a:pPr>
                  <a:defRPr/>
                </a:pPr>
                <a:r>
                  <a:rPr lang="en-NZ"/>
                  <a:t>Rates</a:t>
                </a:r>
                <a:r>
                  <a:rPr lang="en-NZ" baseline="0"/>
                  <a:t> increase (%)</a:t>
                </a:r>
                <a:endParaRPr lang="en-NZ"/>
              </a:p>
            </c:rich>
          </c:tx>
          <c:overlay val="0"/>
        </c:title>
        <c:numFmt formatCode="0%" sourceLinked="0"/>
        <c:majorTickMark val="out"/>
        <c:minorTickMark val="none"/>
        <c:tickLblPos val="nextTo"/>
        <c:crossAx val="272937344"/>
        <c:crosses val="autoZero"/>
        <c:crossBetween val="between"/>
      </c:valAx>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'[2024 Benchmarks.xlsx]oGraphs'!$A$127</c:f>
              <c:strCache>
                <c:ptCount val="1"/>
                <c:pt idx="0">
                  <c:v>Quantified limit on net borrowings as a percentage of revenue</c:v>
                </c:pt>
              </c:strCache>
            </c:strRef>
          </c:tx>
          <c:spPr>
            <a:solidFill>
              <a:schemeClr val="tx1"/>
            </a:solidFill>
          </c:spPr>
          <c:invertIfNegative val="0"/>
          <c:cat>
            <c:strRef>
              <c:f>'[2024 Benchmarks.xlsx]oGraphs'!$D$1:$H$1</c:f>
              <c:strCache>
                <c:ptCount val="5"/>
                <c:pt idx="0">
                  <c:v>2019/20</c:v>
                </c:pt>
                <c:pt idx="1">
                  <c:v>2020/21</c:v>
                </c:pt>
                <c:pt idx="2">
                  <c:v>2021/22</c:v>
                </c:pt>
                <c:pt idx="3">
                  <c:v>2022/23</c:v>
                </c:pt>
                <c:pt idx="4">
                  <c:v>2023/24</c:v>
                </c:pt>
              </c:strCache>
            </c:strRef>
          </c:cat>
          <c:val>
            <c:numRef>
              <c:f>'[2024 Benchmarks.xlsx]oGraphs'!$D$127:$H$127</c:f>
              <c:numCache>
                <c:formatCode>0%</c:formatCode>
                <c:ptCount val="5"/>
                <c:pt idx="0">
                  <c:v>1.75</c:v>
                </c:pt>
                <c:pt idx="1">
                  <c:v>1.75</c:v>
                </c:pt>
                <c:pt idx="2">
                  <c:v>2.25</c:v>
                </c:pt>
                <c:pt idx="3">
                  <c:v>2.25</c:v>
                </c:pt>
                <c:pt idx="4">
                  <c:v>2.25</c:v>
                </c:pt>
              </c:numCache>
            </c:numRef>
          </c:val>
          <c:extLst>
            <c:ext xmlns:c16="http://schemas.microsoft.com/office/drawing/2014/chart" uri="{C3380CC4-5D6E-409C-BE32-E72D297353CC}">
              <c16:uniqueId val="{00000000-46B9-4663-BE11-CCF83E10D8CE}"/>
            </c:ext>
          </c:extLst>
        </c:ser>
        <c:ser>
          <c:idx val="1"/>
          <c:order val="1"/>
          <c:tx>
            <c:strRef>
              <c:f>'[2024 Benchmarks.xlsx]oGraphs'!$A$128</c:f>
              <c:strCache>
                <c:ptCount val="1"/>
                <c:pt idx="0">
                  <c:v>Actual net borrowings as a percentage of revenue (at or within limit)</c:v>
                </c:pt>
              </c:strCache>
            </c:strRef>
          </c:tx>
          <c:spPr>
            <a:solidFill>
              <a:srgbClr val="00B050"/>
            </a:solidFill>
          </c:spPr>
          <c:invertIfNegative val="0"/>
          <c:cat>
            <c:strRef>
              <c:f>'[2024 Benchmarks.xlsx]oGraphs'!$D$1:$H$1</c:f>
              <c:strCache>
                <c:ptCount val="5"/>
                <c:pt idx="0">
                  <c:v>2019/20</c:v>
                </c:pt>
                <c:pt idx="1">
                  <c:v>2020/21</c:v>
                </c:pt>
                <c:pt idx="2">
                  <c:v>2021/22</c:v>
                </c:pt>
                <c:pt idx="3">
                  <c:v>2022/23</c:v>
                </c:pt>
                <c:pt idx="4">
                  <c:v>2023/24</c:v>
                </c:pt>
              </c:strCache>
            </c:strRef>
          </c:cat>
          <c:val>
            <c:numRef>
              <c:f>'[2024 Benchmarks.xlsx]oGraphs'!$D$128:$H$128</c:f>
              <c:numCache>
                <c:formatCode>0%</c:formatCode>
                <c:ptCount val="5"/>
                <c:pt idx="0">
                  <c:v>1.1507390388495347</c:v>
                </c:pt>
                <c:pt idx="1">
                  <c:v>1.3557953446706859</c:v>
                </c:pt>
                <c:pt idx="2">
                  <c:v>1.5132265374296174</c:v>
                </c:pt>
                <c:pt idx="3">
                  <c:v>1.67839579297634</c:v>
                </c:pt>
                <c:pt idx="4">
                  <c:v>1.7073366900739595</c:v>
                </c:pt>
              </c:numCache>
            </c:numRef>
          </c:val>
          <c:extLst>
            <c:ext xmlns:c16="http://schemas.microsoft.com/office/drawing/2014/chart" uri="{C3380CC4-5D6E-409C-BE32-E72D297353CC}">
              <c16:uniqueId val="{00000001-46B9-4663-BE11-CCF83E10D8CE}"/>
            </c:ext>
          </c:extLst>
        </c:ser>
        <c:ser>
          <c:idx val="2"/>
          <c:order val="2"/>
          <c:tx>
            <c:strRef>
              <c:f>'[2024 Benchmarks.xlsx]oGraphs'!$A$129</c:f>
              <c:strCache>
                <c:ptCount val="1"/>
                <c:pt idx="0">
                  <c:v>Actual net borrowings as a percentage of revenue (exceeds limit)</c:v>
                </c:pt>
              </c:strCache>
            </c:strRef>
          </c:tx>
          <c:spPr>
            <a:solidFill>
              <a:srgbClr val="FFC000"/>
            </a:solidFill>
          </c:spPr>
          <c:invertIfNegative val="0"/>
          <c:cat>
            <c:strRef>
              <c:f>'[2024 Benchmarks.xlsx]oGraphs'!$D$1:$H$1</c:f>
              <c:strCache>
                <c:ptCount val="5"/>
                <c:pt idx="0">
                  <c:v>2019/20</c:v>
                </c:pt>
                <c:pt idx="1">
                  <c:v>2020/21</c:v>
                </c:pt>
                <c:pt idx="2">
                  <c:v>2021/22</c:v>
                </c:pt>
                <c:pt idx="3">
                  <c:v>2022/23</c:v>
                </c:pt>
                <c:pt idx="4">
                  <c:v>2023/24</c:v>
                </c:pt>
              </c:strCache>
            </c:strRef>
          </c:cat>
          <c:val>
            <c:numRef>
              <c:f>'[2024 Benchmarks.xlsx]oGraphs'!$D$129:$H$129</c:f>
              <c:numCache>
                <c:formatCode>General</c:formatCode>
                <c:ptCount val="5"/>
                <c:pt idx="1">
                  <c:v>0</c:v>
                </c:pt>
                <c:pt idx="2">
                  <c:v>0</c:v>
                </c:pt>
                <c:pt idx="3">
                  <c:v>0</c:v>
                </c:pt>
                <c:pt idx="4">
                  <c:v>0</c:v>
                </c:pt>
              </c:numCache>
            </c:numRef>
          </c:val>
          <c:extLst>
            <c:ext xmlns:c16="http://schemas.microsoft.com/office/drawing/2014/chart" uri="{C3380CC4-5D6E-409C-BE32-E72D297353CC}">
              <c16:uniqueId val="{00000002-46B9-4663-BE11-CCF83E10D8CE}"/>
            </c:ext>
          </c:extLst>
        </c:ser>
        <c:dLbls>
          <c:showLegendKey val="0"/>
          <c:showVal val="0"/>
          <c:showCatName val="0"/>
          <c:showSerName val="0"/>
          <c:showPercent val="0"/>
          <c:showBubbleSize val="0"/>
        </c:dLbls>
        <c:gapWidth val="150"/>
        <c:axId val="286114944"/>
        <c:axId val="286116864"/>
      </c:barChart>
      <c:catAx>
        <c:axId val="286114944"/>
        <c:scaling>
          <c:orientation val="minMax"/>
        </c:scaling>
        <c:delete val="0"/>
        <c:axPos val="b"/>
        <c:title>
          <c:tx>
            <c:rich>
              <a:bodyPr/>
              <a:lstStyle/>
              <a:p>
                <a:pPr>
                  <a:defRPr/>
                </a:pPr>
                <a:r>
                  <a:rPr lang="en-NZ"/>
                  <a:t>Year</a:t>
                </a:r>
              </a:p>
            </c:rich>
          </c:tx>
          <c:overlay val="0"/>
        </c:title>
        <c:numFmt formatCode="General" sourceLinked="1"/>
        <c:majorTickMark val="out"/>
        <c:minorTickMark val="none"/>
        <c:tickLblPos val="nextTo"/>
        <c:crossAx val="286116864"/>
        <c:crosses val="autoZero"/>
        <c:auto val="1"/>
        <c:lblAlgn val="ctr"/>
        <c:lblOffset val="100"/>
        <c:noMultiLvlLbl val="0"/>
      </c:catAx>
      <c:valAx>
        <c:axId val="286116864"/>
        <c:scaling>
          <c:orientation val="minMax"/>
        </c:scaling>
        <c:delete val="0"/>
        <c:axPos val="l"/>
        <c:majorGridlines/>
        <c:title>
          <c:tx>
            <c:rich>
              <a:bodyPr rot="-5400000" vert="horz"/>
              <a:lstStyle/>
              <a:p>
                <a:pPr>
                  <a:defRPr/>
                </a:pPr>
                <a:r>
                  <a:rPr lang="en-NZ"/>
                  <a:t>Net</a:t>
                </a:r>
                <a:r>
                  <a:rPr lang="en-NZ" baseline="0"/>
                  <a:t> borrowings/revenue (%)</a:t>
                </a:r>
                <a:endParaRPr lang="en-NZ"/>
              </a:p>
            </c:rich>
          </c:tx>
          <c:overlay val="0"/>
        </c:title>
        <c:numFmt formatCode="0%" sourceLinked="1"/>
        <c:majorTickMark val="out"/>
        <c:minorTickMark val="none"/>
        <c:tickLblPos val="nextTo"/>
        <c:crossAx val="286114944"/>
        <c:crosses val="autoZero"/>
        <c:crossBetween val="between"/>
      </c:valAx>
    </c:plotArea>
    <c:legend>
      <c:legendPos val="r"/>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'[2024 Benchmarks.xlsx]oGraphs'!$A$151</c:f>
              <c:strCache>
                <c:ptCount val="1"/>
                <c:pt idx="0">
                  <c:v>Quantified limit on net interest expense as a percentage of revenue</c:v>
                </c:pt>
              </c:strCache>
            </c:strRef>
          </c:tx>
          <c:spPr>
            <a:solidFill>
              <a:schemeClr val="tx1"/>
            </a:solidFill>
          </c:spPr>
          <c:invertIfNegative val="0"/>
          <c:cat>
            <c:strRef>
              <c:f>'[2024 Benchmarks.xlsx]oGraphs'!$D$149:$H$149</c:f>
              <c:strCache>
                <c:ptCount val="5"/>
                <c:pt idx="0">
                  <c:v>2019/20</c:v>
                </c:pt>
                <c:pt idx="1">
                  <c:v>2020/21</c:v>
                </c:pt>
                <c:pt idx="2">
                  <c:v>2021/22</c:v>
                </c:pt>
                <c:pt idx="3">
                  <c:v>2022/23</c:v>
                </c:pt>
                <c:pt idx="4">
                  <c:v>2023/24</c:v>
                </c:pt>
              </c:strCache>
            </c:strRef>
          </c:cat>
          <c:val>
            <c:numRef>
              <c:f>'[2024 Benchmarks.xlsx]oGraphs'!$D$151:$H$151</c:f>
              <c:numCache>
                <c:formatCode>0%</c:formatCode>
                <c:ptCount val="5"/>
                <c:pt idx="0">
                  <c:v>0.15</c:v>
                </c:pt>
                <c:pt idx="1">
                  <c:v>0.15</c:v>
                </c:pt>
                <c:pt idx="2">
                  <c:v>0.15</c:v>
                </c:pt>
                <c:pt idx="3">
                  <c:v>0.15</c:v>
                </c:pt>
                <c:pt idx="4">
                  <c:v>0.15</c:v>
                </c:pt>
              </c:numCache>
            </c:numRef>
          </c:val>
          <c:extLst>
            <c:ext xmlns:c16="http://schemas.microsoft.com/office/drawing/2014/chart" uri="{C3380CC4-5D6E-409C-BE32-E72D297353CC}">
              <c16:uniqueId val="{00000000-DC3E-4069-BD49-EF2485FD8576}"/>
            </c:ext>
          </c:extLst>
        </c:ser>
        <c:ser>
          <c:idx val="1"/>
          <c:order val="1"/>
          <c:tx>
            <c:strRef>
              <c:f>'[2024 Benchmarks.xlsx]oGraphs'!$A$154</c:f>
              <c:strCache>
                <c:ptCount val="1"/>
                <c:pt idx="0">
                  <c:v>Actual net interest expense as a percentage of revenue (at or within limit)</c:v>
                </c:pt>
              </c:strCache>
            </c:strRef>
          </c:tx>
          <c:spPr>
            <a:solidFill>
              <a:srgbClr val="00B050"/>
            </a:solidFill>
          </c:spPr>
          <c:invertIfNegative val="0"/>
          <c:cat>
            <c:strRef>
              <c:f>'[2024 Benchmarks.xlsx]oGraphs'!$D$149:$H$149</c:f>
              <c:strCache>
                <c:ptCount val="5"/>
                <c:pt idx="0">
                  <c:v>2019/20</c:v>
                </c:pt>
                <c:pt idx="1">
                  <c:v>2020/21</c:v>
                </c:pt>
                <c:pt idx="2">
                  <c:v>2021/22</c:v>
                </c:pt>
                <c:pt idx="3">
                  <c:v>2022/23</c:v>
                </c:pt>
                <c:pt idx="4">
                  <c:v>2023/24</c:v>
                </c:pt>
              </c:strCache>
            </c:strRef>
          </c:cat>
          <c:val>
            <c:numRef>
              <c:f>'[2024 Benchmarks.xlsx]oGraphs'!$D$154:$H$154</c:f>
              <c:numCache>
                <c:formatCode>0%</c:formatCode>
                <c:ptCount val="5"/>
                <c:pt idx="0">
                  <c:v>0.04</c:v>
                </c:pt>
                <c:pt idx="1">
                  <c:v>0.04</c:v>
                </c:pt>
                <c:pt idx="2">
                  <c:v>0.04</c:v>
                </c:pt>
                <c:pt idx="3">
                  <c:v>0.06</c:v>
                </c:pt>
                <c:pt idx="4">
                  <c:v>7.0000000000000007E-2</c:v>
                </c:pt>
              </c:numCache>
            </c:numRef>
          </c:val>
          <c:extLst>
            <c:ext xmlns:c16="http://schemas.microsoft.com/office/drawing/2014/chart" uri="{C3380CC4-5D6E-409C-BE32-E72D297353CC}">
              <c16:uniqueId val="{00000001-DC3E-4069-BD49-EF2485FD8576}"/>
            </c:ext>
          </c:extLst>
        </c:ser>
        <c:ser>
          <c:idx val="2"/>
          <c:order val="2"/>
          <c:tx>
            <c:strRef>
              <c:f>'[2024 Benchmarks.xlsx]oGraphs'!$A$155</c:f>
              <c:strCache>
                <c:ptCount val="1"/>
                <c:pt idx="0">
                  <c:v>Actual net interest expense as a percentage of revenue (exceeds limit)</c:v>
                </c:pt>
              </c:strCache>
            </c:strRef>
          </c:tx>
          <c:spPr>
            <a:solidFill>
              <a:srgbClr val="FFC000"/>
            </a:solidFill>
          </c:spPr>
          <c:invertIfNegative val="0"/>
          <c:cat>
            <c:strRef>
              <c:f>'[2024 Benchmarks.xlsx]oGraphs'!$D$149:$H$149</c:f>
              <c:strCache>
                <c:ptCount val="5"/>
                <c:pt idx="0">
                  <c:v>2019/20</c:v>
                </c:pt>
                <c:pt idx="1">
                  <c:v>2020/21</c:v>
                </c:pt>
                <c:pt idx="2">
                  <c:v>2021/22</c:v>
                </c:pt>
                <c:pt idx="3">
                  <c:v>2022/23</c:v>
                </c:pt>
                <c:pt idx="4">
                  <c:v>2023/24</c:v>
                </c:pt>
              </c:strCache>
            </c:strRef>
          </c:cat>
          <c:val>
            <c:numRef>
              <c:f>'[2024 Benchmarks.xlsx]oGraphs'!$D$155:$H$155</c:f>
              <c:numCache>
                <c:formatCode>General</c:formatCode>
                <c:ptCount val="5"/>
                <c:pt idx="1">
                  <c:v>0</c:v>
                </c:pt>
                <c:pt idx="2">
                  <c:v>0</c:v>
                </c:pt>
                <c:pt idx="3" formatCode="0%">
                  <c:v>0</c:v>
                </c:pt>
                <c:pt idx="4" formatCode="0%">
                  <c:v>0</c:v>
                </c:pt>
              </c:numCache>
            </c:numRef>
          </c:val>
          <c:extLst>
            <c:ext xmlns:c16="http://schemas.microsoft.com/office/drawing/2014/chart" uri="{C3380CC4-5D6E-409C-BE32-E72D297353CC}">
              <c16:uniqueId val="{00000002-DC3E-4069-BD49-EF2485FD8576}"/>
            </c:ext>
          </c:extLst>
        </c:ser>
        <c:dLbls>
          <c:showLegendKey val="0"/>
          <c:showVal val="0"/>
          <c:showCatName val="0"/>
          <c:showSerName val="0"/>
          <c:showPercent val="0"/>
          <c:showBubbleSize val="0"/>
        </c:dLbls>
        <c:gapWidth val="150"/>
        <c:axId val="286354816"/>
        <c:axId val="286361088"/>
      </c:barChart>
      <c:catAx>
        <c:axId val="286354816"/>
        <c:scaling>
          <c:orientation val="minMax"/>
        </c:scaling>
        <c:delete val="0"/>
        <c:axPos val="b"/>
        <c:title>
          <c:tx>
            <c:rich>
              <a:bodyPr/>
              <a:lstStyle/>
              <a:p>
                <a:pPr>
                  <a:defRPr/>
                </a:pPr>
                <a:r>
                  <a:rPr lang="en-NZ"/>
                  <a:t>Year</a:t>
                </a:r>
              </a:p>
            </c:rich>
          </c:tx>
          <c:overlay val="0"/>
        </c:title>
        <c:numFmt formatCode="General" sourceLinked="1"/>
        <c:majorTickMark val="out"/>
        <c:minorTickMark val="none"/>
        <c:tickLblPos val="nextTo"/>
        <c:crossAx val="286361088"/>
        <c:crosses val="autoZero"/>
        <c:auto val="1"/>
        <c:lblAlgn val="ctr"/>
        <c:lblOffset val="100"/>
        <c:noMultiLvlLbl val="0"/>
      </c:catAx>
      <c:valAx>
        <c:axId val="286361088"/>
        <c:scaling>
          <c:orientation val="minMax"/>
        </c:scaling>
        <c:delete val="0"/>
        <c:axPos val="l"/>
        <c:majorGridlines/>
        <c:title>
          <c:tx>
            <c:rich>
              <a:bodyPr rot="-5400000" vert="horz"/>
              <a:lstStyle/>
              <a:p>
                <a:pPr>
                  <a:defRPr/>
                </a:pPr>
                <a:r>
                  <a:rPr lang="en-NZ"/>
                  <a:t>Net interest expense/revenue</a:t>
                </a:r>
                <a:r>
                  <a:rPr lang="en-NZ" baseline="0"/>
                  <a:t> (%)</a:t>
                </a:r>
                <a:endParaRPr lang="en-NZ"/>
              </a:p>
            </c:rich>
          </c:tx>
          <c:overlay val="0"/>
        </c:title>
        <c:numFmt formatCode="0%" sourceLinked="1"/>
        <c:majorTickMark val="out"/>
        <c:minorTickMark val="none"/>
        <c:tickLblPos val="nextTo"/>
        <c:crossAx val="286354816"/>
        <c:crosses val="autoZero"/>
        <c:crossBetween val="between"/>
      </c:valAx>
    </c:plotArea>
    <c:legend>
      <c:legendPos val="r"/>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'[2024 Benchmarks.xlsx]oGraphs'!$A$177</c:f>
              <c:strCache>
                <c:ptCount val="1"/>
                <c:pt idx="0">
                  <c:v>Quantified limit on net interest expense as a percentage of rates revenue</c:v>
                </c:pt>
              </c:strCache>
            </c:strRef>
          </c:tx>
          <c:spPr>
            <a:solidFill>
              <a:schemeClr val="tx1"/>
            </a:solidFill>
          </c:spPr>
          <c:invertIfNegative val="0"/>
          <c:cat>
            <c:strRef>
              <c:f>'[2024 Benchmarks.xlsx]oGraphs'!$D$1:$H$1</c:f>
              <c:strCache>
                <c:ptCount val="5"/>
                <c:pt idx="0">
                  <c:v>2019/20</c:v>
                </c:pt>
                <c:pt idx="1">
                  <c:v>2020/21</c:v>
                </c:pt>
                <c:pt idx="2">
                  <c:v>2021/22</c:v>
                </c:pt>
                <c:pt idx="3">
                  <c:v>2022/23</c:v>
                </c:pt>
                <c:pt idx="4">
                  <c:v>2023/24</c:v>
                </c:pt>
              </c:strCache>
            </c:strRef>
          </c:cat>
          <c:val>
            <c:numRef>
              <c:f>'[2024 Benchmarks.xlsx]oGraphs'!$D$177:$H$177</c:f>
              <c:numCache>
                <c:formatCode>0%</c:formatCode>
                <c:ptCount val="5"/>
                <c:pt idx="0">
                  <c:v>0.2</c:v>
                </c:pt>
                <c:pt idx="1">
                  <c:v>0.2</c:v>
                </c:pt>
                <c:pt idx="2">
                  <c:v>0.2</c:v>
                </c:pt>
                <c:pt idx="3">
                  <c:v>0.2</c:v>
                </c:pt>
                <c:pt idx="4">
                  <c:v>0.2</c:v>
                </c:pt>
              </c:numCache>
            </c:numRef>
          </c:val>
          <c:extLst>
            <c:ext xmlns:c16="http://schemas.microsoft.com/office/drawing/2014/chart" uri="{C3380CC4-5D6E-409C-BE32-E72D297353CC}">
              <c16:uniqueId val="{00000000-29F6-4805-8BAD-60590906A82B}"/>
            </c:ext>
          </c:extLst>
        </c:ser>
        <c:ser>
          <c:idx val="1"/>
          <c:order val="1"/>
          <c:tx>
            <c:strRef>
              <c:f>'[2024 Benchmarks.xlsx]oGraphs'!$A$178</c:f>
              <c:strCache>
                <c:ptCount val="1"/>
                <c:pt idx="0">
                  <c:v>Actual net interest expense as a percentage of rates revenue (at or within limit)</c:v>
                </c:pt>
              </c:strCache>
            </c:strRef>
          </c:tx>
          <c:spPr>
            <a:solidFill>
              <a:srgbClr val="00B050"/>
            </a:solidFill>
          </c:spPr>
          <c:invertIfNegative val="0"/>
          <c:cat>
            <c:strRef>
              <c:f>'[2024 Benchmarks.xlsx]oGraphs'!$D$1:$H$1</c:f>
              <c:strCache>
                <c:ptCount val="5"/>
                <c:pt idx="0">
                  <c:v>2019/20</c:v>
                </c:pt>
                <c:pt idx="1">
                  <c:v>2020/21</c:v>
                </c:pt>
                <c:pt idx="2">
                  <c:v>2021/22</c:v>
                </c:pt>
                <c:pt idx="3">
                  <c:v>2022/23</c:v>
                </c:pt>
                <c:pt idx="4">
                  <c:v>2023/24</c:v>
                </c:pt>
              </c:strCache>
            </c:strRef>
          </c:cat>
          <c:val>
            <c:numRef>
              <c:f>'[2024 Benchmarks.xlsx]oGraphs'!$D$178:$H$178</c:f>
              <c:numCache>
                <c:formatCode>0%</c:formatCode>
                <c:ptCount val="5"/>
                <c:pt idx="0">
                  <c:v>7.176861136385515E-2</c:v>
                </c:pt>
                <c:pt idx="1">
                  <c:v>6.734441994185672E-2</c:v>
                </c:pt>
                <c:pt idx="2">
                  <c:v>6.6482729483533246E-2</c:v>
                </c:pt>
                <c:pt idx="3">
                  <c:v>0.10210122591119791</c:v>
                </c:pt>
                <c:pt idx="4">
                  <c:v>0.12187430160661518</c:v>
                </c:pt>
              </c:numCache>
            </c:numRef>
          </c:val>
          <c:extLst>
            <c:ext xmlns:c16="http://schemas.microsoft.com/office/drawing/2014/chart" uri="{C3380CC4-5D6E-409C-BE32-E72D297353CC}">
              <c16:uniqueId val="{00000001-29F6-4805-8BAD-60590906A82B}"/>
            </c:ext>
          </c:extLst>
        </c:ser>
        <c:ser>
          <c:idx val="2"/>
          <c:order val="2"/>
          <c:tx>
            <c:strRef>
              <c:f>'[2024 Benchmarks.xlsx]oGraphs'!$A$179</c:f>
              <c:strCache>
                <c:ptCount val="1"/>
                <c:pt idx="0">
                  <c:v>Actual net interest expense as a percentage of rates revenue (exceeds limit)</c:v>
                </c:pt>
              </c:strCache>
            </c:strRef>
          </c:tx>
          <c:spPr>
            <a:solidFill>
              <a:srgbClr val="FFC000"/>
            </a:solidFill>
          </c:spPr>
          <c:invertIfNegative val="0"/>
          <c:cat>
            <c:strRef>
              <c:f>'[2024 Benchmarks.xlsx]oGraphs'!$D$1:$H$1</c:f>
              <c:strCache>
                <c:ptCount val="5"/>
                <c:pt idx="0">
                  <c:v>2019/20</c:v>
                </c:pt>
                <c:pt idx="1">
                  <c:v>2020/21</c:v>
                </c:pt>
                <c:pt idx="2">
                  <c:v>2021/22</c:v>
                </c:pt>
                <c:pt idx="3">
                  <c:v>2022/23</c:v>
                </c:pt>
                <c:pt idx="4">
                  <c:v>2023/24</c:v>
                </c:pt>
              </c:strCache>
            </c:strRef>
          </c:cat>
          <c:val>
            <c:numRef>
              <c:f>'[2024 Benchmarks.xlsx]oGraphs'!$D$179:$H$179</c:f>
              <c:numCache>
                <c:formatCode>General</c:formatCode>
                <c:ptCount val="5"/>
                <c:pt idx="1">
                  <c:v>0</c:v>
                </c:pt>
                <c:pt idx="2">
                  <c:v>0</c:v>
                </c:pt>
                <c:pt idx="3" formatCode="0%">
                  <c:v>0</c:v>
                </c:pt>
                <c:pt idx="4" formatCode="0%">
                  <c:v>0</c:v>
                </c:pt>
              </c:numCache>
            </c:numRef>
          </c:val>
          <c:extLst>
            <c:ext xmlns:c16="http://schemas.microsoft.com/office/drawing/2014/chart" uri="{C3380CC4-5D6E-409C-BE32-E72D297353CC}">
              <c16:uniqueId val="{00000002-29F6-4805-8BAD-60590906A82B}"/>
            </c:ext>
          </c:extLst>
        </c:ser>
        <c:dLbls>
          <c:showLegendKey val="0"/>
          <c:showVal val="0"/>
          <c:showCatName val="0"/>
          <c:showSerName val="0"/>
          <c:showPercent val="0"/>
          <c:showBubbleSize val="0"/>
        </c:dLbls>
        <c:gapWidth val="150"/>
        <c:axId val="286395392"/>
        <c:axId val="286405760"/>
      </c:barChart>
      <c:catAx>
        <c:axId val="286395392"/>
        <c:scaling>
          <c:orientation val="minMax"/>
        </c:scaling>
        <c:delete val="0"/>
        <c:axPos val="b"/>
        <c:title>
          <c:tx>
            <c:rich>
              <a:bodyPr/>
              <a:lstStyle/>
              <a:p>
                <a:pPr>
                  <a:defRPr/>
                </a:pPr>
                <a:r>
                  <a:rPr lang="en-NZ"/>
                  <a:t>Year</a:t>
                </a:r>
              </a:p>
            </c:rich>
          </c:tx>
          <c:overlay val="0"/>
        </c:title>
        <c:numFmt formatCode="General" sourceLinked="1"/>
        <c:majorTickMark val="out"/>
        <c:minorTickMark val="none"/>
        <c:tickLblPos val="nextTo"/>
        <c:crossAx val="286405760"/>
        <c:crosses val="autoZero"/>
        <c:auto val="1"/>
        <c:lblAlgn val="ctr"/>
        <c:lblOffset val="100"/>
        <c:noMultiLvlLbl val="0"/>
      </c:catAx>
      <c:valAx>
        <c:axId val="286405760"/>
        <c:scaling>
          <c:orientation val="minMax"/>
        </c:scaling>
        <c:delete val="0"/>
        <c:axPos val="l"/>
        <c:majorGridlines/>
        <c:title>
          <c:tx>
            <c:rich>
              <a:bodyPr rot="-5400000" vert="horz"/>
              <a:lstStyle/>
              <a:p>
                <a:pPr>
                  <a:defRPr/>
                </a:pPr>
                <a:r>
                  <a:rPr lang="en-NZ"/>
                  <a:t>Net interest expense/</a:t>
                </a:r>
                <a:r>
                  <a:rPr lang="en-NZ" baseline="0"/>
                  <a:t>rates revenue (%)</a:t>
                </a:r>
                <a:endParaRPr lang="en-NZ"/>
              </a:p>
            </c:rich>
          </c:tx>
          <c:overlay val="0"/>
        </c:title>
        <c:numFmt formatCode="0%" sourceLinked="0"/>
        <c:majorTickMark val="out"/>
        <c:minorTickMark val="none"/>
        <c:tickLblPos val="nextTo"/>
        <c:crossAx val="286395392"/>
        <c:crosses val="autoZero"/>
        <c:crossBetween val="between"/>
      </c:valAx>
    </c:plotArea>
    <c:legend>
      <c:legendPos val="r"/>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'[2024 Benchmarks.xlsx]oGraphs'!$A$203</c:f>
              <c:strCache>
                <c:ptCount val="1"/>
                <c:pt idx="0">
                  <c:v>Quantified limit on liquidity (term borrowing + committed loan facilities to existing external net debt)</c:v>
                </c:pt>
              </c:strCache>
            </c:strRef>
          </c:tx>
          <c:spPr>
            <a:solidFill>
              <a:schemeClr val="tx1"/>
            </a:solidFill>
          </c:spPr>
          <c:invertIfNegative val="0"/>
          <c:cat>
            <c:strRef>
              <c:f>'[2024 Benchmarks.xlsx]oGraphs'!$D$201:$H$201</c:f>
              <c:strCache>
                <c:ptCount val="5"/>
                <c:pt idx="0">
                  <c:v>2019/20</c:v>
                </c:pt>
                <c:pt idx="1">
                  <c:v>2020/21</c:v>
                </c:pt>
                <c:pt idx="2">
                  <c:v>2021/22</c:v>
                </c:pt>
                <c:pt idx="3">
                  <c:v>2022/23</c:v>
                </c:pt>
                <c:pt idx="4">
                  <c:v>2023/24</c:v>
                </c:pt>
              </c:strCache>
            </c:strRef>
          </c:cat>
          <c:val>
            <c:numRef>
              <c:f>'[2024 Benchmarks.xlsx]oGraphs'!$D$203:$H$203</c:f>
              <c:numCache>
                <c:formatCode>0%</c:formatCode>
                <c:ptCount val="5"/>
                <c:pt idx="0">
                  <c:v>1.1499999999999999</c:v>
                </c:pt>
                <c:pt idx="1">
                  <c:v>1.1499999999999999</c:v>
                </c:pt>
                <c:pt idx="2">
                  <c:v>1.1499999999999999</c:v>
                </c:pt>
                <c:pt idx="3">
                  <c:v>1.1499999999999999</c:v>
                </c:pt>
                <c:pt idx="4">
                  <c:v>1.1499999999999999</c:v>
                </c:pt>
              </c:numCache>
            </c:numRef>
          </c:val>
          <c:extLst>
            <c:ext xmlns:c16="http://schemas.microsoft.com/office/drawing/2014/chart" uri="{C3380CC4-5D6E-409C-BE32-E72D297353CC}">
              <c16:uniqueId val="{00000000-952E-4C47-A63E-9D065D93FFB9}"/>
            </c:ext>
          </c:extLst>
        </c:ser>
        <c:ser>
          <c:idx val="1"/>
          <c:order val="1"/>
          <c:tx>
            <c:strRef>
              <c:f>'[2024 Benchmarks.xlsx]oGraphs'!$A$204</c:f>
              <c:strCache>
                <c:ptCount val="1"/>
                <c:pt idx="0">
                  <c:v>Actual liquidity (term borrowing + committed loan facilities to existing external net debt) (at or exceeds limit)</c:v>
                </c:pt>
              </c:strCache>
            </c:strRef>
          </c:tx>
          <c:spPr>
            <a:solidFill>
              <a:srgbClr val="00B050"/>
            </a:solidFill>
          </c:spPr>
          <c:invertIfNegative val="0"/>
          <c:cat>
            <c:strRef>
              <c:f>'[2024 Benchmarks.xlsx]oGraphs'!$D$201:$H$201</c:f>
              <c:strCache>
                <c:ptCount val="5"/>
                <c:pt idx="0">
                  <c:v>2019/20</c:v>
                </c:pt>
                <c:pt idx="1">
                  <c:v>2020/21</c:v>
                </c:pt>
                <c:pt idx="2">
                  <c:v>2021/22</c:v>
                </c:pt>
                <c:pt idx="3">
                  <c:v>2022/23</c:v>
                </c:pt>
                <c:pt idx="4">
                  <c:v>2023/24</c:v>
                </c:pt>
              </c:strCache>
            </c:strRef>
          </c:cat>
          <c:val>
            <c:numRef>
              <c:f>'[2024 Benchmarks.xlsx]oGraphs'!$D$204:$H$204</c:f>
              <c:numCache>
                <c:formatCode>0%</c:formatCode>
                <c:ptCount val="5"/>
                <c:pt idx="0">
                  <c:v>1.24</c:v>
                </c:pt>
                <c:pt idx="1">
                  <c:v>1.1964452158683172</c:v>
                </c:pt>
                <c:pt idx="2">
                  <c:v>1.1929612975223165</c:v>
                </c:pt>
                <c:pt idx="3">
                  <c:v>1.2210494790959729</c:v>
                </c:pt>
                <c:pt idx="4">
                  <c:v>1.2128882084392687</c:v>
                </c:pt>
              </c:numCache>
            </c:numRef>
          </c:val>
          <c:extLst>
            <c:ext xmlns:c16="http://schemas.microsoft.com/office/drawing/2014/chart" uri="{C3380CC4-5D6E-409C-BE32-E72D297353CC}">
              <c16:uniqueId val="{00000001-952E-4C47-A63E-9D065D93FFB9}"/>
            </c:ext>
          </c:extLst>
        </c:ser>
        <c:ser>
          <c:idx val="2"/>
          <c:order val="2"/>
          <c:tx>
            <c:strRef>
              <c:f>'[2024 Benchmarks.xlsx]oGraphs'!$A$205</c:f>
              <c:strCache>
                <c:ptCount val="1"/>
                <c:pt idx="0">
                  <c:v>Actual liquidity (term borrowing + committed loan facilities to existing external net debt) (below limit)</c:v>
                </c:pt>
              </c:strCache>
            </c:strRef>
          </c:tx>
          <c:spPr>
            <a:solidFill>
              <a:srgbClr val="FFC000"/>
            </a:solidFill>
          </c:spPr>
          <c:invertIfNegative val="0"/>
          <c:cat>
            <c:strRef>
              <c:f>'[2024 Benchmarks.xlsx]oGraphs'!$D$201:$H$201</c:f>
              <c:strCache>
                <c:ptCount val="5"/>
                <c:pt idx="0">
                  <c:v>2019/20</c:v>
                </c:pt>
                <c:pt idx="1">
                  <c:v>2020/21</c:v>
                </c:pt>
                <c:pt idx="2">
                  <c:v>2021/22</c:v>
                </c:pt>
                <c:pt idx="3">
                  <c:v>2022/23</c:v>
                </c:pt>
                <c:pt idx="4">
                  <c:v>2023/24</c:v>
                </c:pt>
              </c:strCache>
            </c:strRef>
          </c:cat>
          <c:val>
            <c:numRef>
              <c:f>'[2024 Benchmarks.xlsx]oGraphs'!$D$205:$H$205</c:f>
              <c:numCache>
                <c:formatCode>General</c:formatCode>
                <c:ptCount val="5"/>
                <c:pt idx="1">
                  <c:v>0</c:v>
                </c:pt>
                <c:pt idx="2">
                  <c:v>0</c:v>
                </c:pt>
                <c:pt idx="3" formatCode="0%">
                  <c:v>0</c:v>
                </c:pt>
                <c:pt idx="4" formatCode="0%">
                  <c:v>0</c:v>
                </c:pt>
              </c:numCache>
            </c:numRef>
          </c:val>
          <c:extLst>
            <c:ext xmlns:c16="http://schemas.microsoft.com/office/drawing/2014/chart" uri="{C3380CC4-5D6E-409C-BE32-E72D297353CC}">
              <c16:uniqueId val="{00000002-952E-4C47-A63E-9D065D93FFB9}"/>
            </c:ext>
          </c:extLst>
        </c:ser>
        <c:dLbls>
          <c:showLegendKey val="0"/>
          <c:showVal val="0"/>
          <c:showCatName val="0"/>
          <c:showSerName val="0"/>
          <c:showPercent val="0"/>
          <c:showBubbleSize val="0"/>
        </c:dLbls>
        <c:gapWidth val="150"/>
        <c:axId val="290941568"/>
        <c:axId val="290956032"/>
      </c:barChart>
      <c:catAx>
        <c:axId val="290941568"/>
        <c:scaling>
          <c:orientation val="minMax"/>
        </c:scaling>
        <c:delete val="0"/>
        <c:axPos val="b"/>
        <c:title>
          <c:tx>
            <c:rich>
              <a:bodyPr/>
              <a:lstStyle/>
              <a:p>
                <a:pPr>
                  <a:defRPr/>
                </a:pPr>
                <a:r>
                  <a:rPr lang="en-NZ"/>
                  <a:t>Year</a:t>
                </a:r>
              </a:p>
            </c:rich>
          </c:tx>
          <c:overlay val="0"/>
        </c:title>
        <c:numFmt formatCode="General" sourceLinked="1"/>
        <c:majorTickMark val="out"/>
        <c:minorTickMark val="none"/>
        <c:tickLblPos val="nextTo"/>
        <c:crossAx val="290956032"/>
        <c:crosses val="autoZero"/>
        <c:auto val="1"/>
        <c:lblAlgn val="ctr"/>
        <c:lblOffset val="100"/>
        <c:noMultiLvlLbl val="0"/>
      </c:catAx>
      <c:valAx>
        <c:axId val="290956032"/>
        <c:scaling>
          <c:orientation val="minMax"/>
        </c:scaling>
        <c:delete val="0"/>
        <c:axPos val="l"/>
        <c:majorGridlines/>
        <c:title>
          <c:tx>
            <c:rich>
              <a:bodyPr rot="-5400000" vert="horz"/>
              <a:lstStyle/>
              <a:p>
                <a:pPr>
                  <a:defRPr/>
                </a:pPr>
                <a:r>
                  <a:rPr lang="en-US"/>
                  <a:t>Liquidity</a:t>
                </a:r>
                <a:r>
                  <a:rPr lang="en-US" baseline="0"/>
                  <a:t> (term borrowing + committed loan facilities to existing external net debt)(%)</a:t>
                </a:r>
                <a:r>
                  <a:rPr lang="en-US"/>
                  <a:t> </a:t>
                </a:r>
              </a:p>
            </c:rich>
          </c:tx>
          <c:overlay val="0"/>
        </c:title>
        <c:numFmt formatCode="0%" sourceLinked="1"/>
        <c:majorTickMark val="out"/>
        <c:minorTickMark val="none"/>
        <c:tickLblPos val="nextTo"/>
        <c:crossAx val="290941568"/>
        <c:crosses val="autoZero"/>
        <c:crossBetween val="between"/>
      </c:valAx>
    </c:plotArea>
    <c:legend>
      <c:legendPos val="r"/>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'[2024 Benchmarks.xlsx]oGraphs'!$A$401</c:f>
              <c:strCache>
                <c:ptCount val="1"/>
                <c:pt idx="0">
                  <c:v>Benchmark not met</c:v>
                </c:pt>
              </c:strCache>
            </c:strRef>
          </c:tx>
          <c:spPr>
            <a:solidFill>
              <a:srgbClr val="FFC000"/>
            </a:solidFill>
          </c:spPr>
          <c:invertIfNegative val="0"/>
          <c:dLbls>
            <c:dLbl>
              <c:idx val="1"/>
              <c:layout>
                <c:manualLayout>
                  <c:x val="5.637774330991511E-3"/>
                  <c:y val="-3.9111111111111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97-49E5-BD3F-A0969D53D6E6}"/>
                </c:ext>
              </c:extLst>
            </c:dLbl>
            <c:dLbl>
              <c:idx val="2"/>
              <c:delete val="1"/>
              <c:extLst>
                <c:ext xmlns:c15="http://schemas.microsoft.com/office/drawing/2012/chart" uri="{CE6537A1-D6FC-4f65-9D91-7224C49458BB}"/>
                <c:ext xmlns:c16="http://schemas.microsoft.com/office/drawing/2014/chart" uri="{C3380CC4-5D6E-409C-BE32-E72D297353CC}">
                  <c16:uniqueId val="{00000001-8497-49E5-BD3F-A0969D53D6E6}"/>
                </c:ext>
              </c:extLst>
            </c:dLbl>
            <c:dLbl>
              <c:idx val="3"/>
              <c:layout>
                <c:manualLayout>
                  <c:x val="-1.0335800206771794E-16"/>
                  <c:y val="-3.2000000000000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97-49E5-BD3F-A0969D53D6E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'[2024 Benchmarks.xlsx]oGraphs'!$D$228:$H$228</c:f>
              <c:strCache>
                <c:ptCount val="5"/>
                <c:pt idx="0">
                  <c:v>2019/20</c:v>
                </c:pt>
                <c:pt idx="1">
                  <c:v>2020/21</c:v>
                </c:pt>
                <c:pt idx="2">
                  <c:v>2021/22</c:v>
                </c:pt>
                <c:pt idx="3">
                  <c:v>2022/23</c:v>
                </c:pt>
                <c:pt idx="4">
                  <c:v>2023/24</c:v>
                </c:pt>
              </c:strCache>
            </c:strRef>
          </c:cat>
          <c:val>
            <c:numRef>
              <c:f>'[2024 Benchmarks.xlsx]oGraphs'!$D$247:$H$247</c:f>
              <c:numCache>
                <c:formatCode>0%</c:formatCode>
                <c:ptCount val="5"/>
                <c:pt idx="1">
                  <c:v>0.99006980873427453</c:v>
                </c:pt>
                <c:pt idx="2">
                  <c:v>0</c:v>
                </c:pt>
                <c:pt idx="3">
                  <c:v>0.87979507232209131</c:v>
                </c:pt>
                <c:pt idx="4">
                  <c:v>0.96396736391560045</c:v>
                </c:pt>
              </c:numCache>
            </c:numRef>
          </c:val>
          <c:extLst>
            <c:ext xmlns:c16="http://schemas.microsoft.com/office/drawing/2014/chart" uri="{C3380CC4-5D6E-409C-BE32-E72D297353CC}">
              <c16:uniqueId val="{00000003-8497-49E5-BD3F-A0969D53D6E6}"/>
            </c:ext>
          </c:extLst>
        </c:ser>
        <c:ser>
          <c:idx val="2"/>
          <c:order val="1"/>
          <c:tx>
            <c:strRef>
              <c:f>'[2024 Benchmarks.xlsx]oGraphs'!$A$402</c:f>
              <c:strCache>
                <c:ptCount val="1"/>
                <c:pt idx="0">
                  <c:v>Benchmark  met</c:v>
                </c:pt>
              </c:strCache>
            </c:strRef>
          </c:tx>
          <c:spPr>
            <a:solidFill>
              <a:srgbClr val="00B050"/>
            </a:solidFill>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8497-49E5-BD3F-A0969D53D6E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'[2024 Benchmarks.xlsx]oGraphs'!$D$228:$H$228</c:f>
              <c:strCache>
                <c:ptCount val="5"/>
                <c:pt idx="0">
                  <c:v>2019/20</c:v>
                </c:pt>
                <c:pt idx="1">
                  <c:v>2020/21</c:v>
                </c:pt>
                <c:pt idx="2">
                  <c:v>2021/22</c:v>
                </c:pt>
                <c:pt idx="3">
                  <c:v>2022/23</c:v>
                </c:pt>
                <c:pt idx="4">
                  <c:v>2023/24</c:v>
                </c:pt>
              </c:strCache>
            </c:strRef>
          </c:cat>
          <c:val>
            <c:numRef>
              <c:f>'[2024 Benchmarks.xlsx]oGraphs'!$D$246:$F$246</c:f>
              <c:numCache>
                <c:formatCode>0%</c:formatCode>
                <c:ptCount val="3"/>
                <c:pt idx="0">
                  <c:v>1.0071272643912805</c:v>
                </c:pt>
                <c:pt idx="1">
                  <c:v>0</c:v>
                </c:pt>
                <c:pt idx="2">
                  <c:v>1.0019345933899251</c:v>
                </c:pt>
              </c:numCache>
            </c:numRef>
          </c:val>
          <c:extLst>
            <c:ext xmlns:c16="http://schemas.microsoft.com/office/drawing/2014/chart" uri="{C3380CC4-5D6E-409C-BE32-E72D297353CC}">
              <c16:uniqueId val="{00000005-8497-49E5-BD3F-A0969D53D6E6}"/>
            </c:ext>
          </c:extLst>
        </c:ser>
        <c:dLbls>
          <c:showLegendKey val="0"/>
          <c:showVal val="0"/>
          <c:showCatName val="0"/>
          <c:showSerName val="0"/>
          <c:showPercent val="0"/>
          <c:showBubbleSize val="0"/>
        </c:dLbls>
        <c:gapWidth val="150"/>
        <c:axId val="197603328"/>
        <c:axId val="272115200"/>
      </c:barChart>
      <c:scatterChart>
        <c:scatterStyle val="lineMarker"/>
        <c:varyColors val="0"/>
        <c:ser>
          <c:idx val="3"/>
          <c:order val="2"/>
          <c:tx>
            <c:strRef>
              <c:f>'[2024 Benchmarks.xlsx]oGraphs'!$D$252</c:f>
              <c:strCache>
                <c:ptCount val="1"/>
                <c:pt idx="0">
                  <c:v>Benchmark</c:v>
                </c:pt>
              </c:strCache>
            </c:strRef>
          </c:tx>
          <c:spPr>
            <a:ln>
              <a:solidFill>
                <a:sysClr val="windowText" lastClr="000000"/>
              </a:solidFill>
            </a:ln>
          </c:spPr>
          <c:marker>
            <c:symbol val="none"/>
          </c:marker>
          <c:xVal>
            <c:numRef>
              <c:f>'[2024 Benchmarks.xlsx]oGraphs'!$C$253:$C$254</c:f>
              <c:numCache>
                <c:formatCode>_(* #,##0.00_);_(* \(#,##0.00\);_(* "-"??_);_(@_)</c:formatCode>
                <c:ptCount val="2"/>
                <c:pt idx="0">
                  <c:v>0</c:v>
                </c:pt>
                <c:pt idx="1">
                  <c:v>1</c:v>
                </c:pt>
              </c:numCache>
            </c:numRef>
          </c:xVal>
          <c:yVal>
            <c:numRef>
              <c:f>'[2024 Benchmarks.xlsx]oGraphs'!$D$253:$D$254</c:f>
              <c:numCache>
                <c:formatCode>0%</c:formatCode>
                <c:ptCount val="2"/>
                <c:pt idx="0">
                  <c:v>1</c:v>
                </c:pt>
                <c:pt idx="1">
                  <c:v>1</c:v>
                </c:pt>
              </c:numCache>
            </c:numRef>
          </c:yVal>
          <c:smooth val="0"/>
          <c:extLst>
            <c:ext xmlns:c16="http://schemas.microsoft.com/office/drawing/2014/chart" uri="{C3380CC4-5D6E-409C-BE32-E72D297353CC}">
              <c16:uniqueId val="{00000006-8497-49E5-BD3F-A0969D53D6E6}"/>
            </c:ext>
          </c:extLst>
        </c:ser>
        <c:dLbls>
          <c:showLegendKey val="0"/>
          <c:showVal val="0"/>
          <c:showCatName val="0"/>
          <c:showSerName val="0"/>
          <c:showPercent val="0"/>
          <c:showBubbleSize val="0"/>
        </c:dLbls>
        <c:axId val="272319232"/>
        <c:axId val="272120832"/>
      </c:scatterChart>
      <c:catAx>
        <c:axId val="197603328"/>
        <c:scaling>
          <c:orientation val="minMax"/>
        </c:scaling>
        <c:delete val="0"/>
        <c:axPos val="b"/>
        <c:title>
          <c:tx>
            <c:rich>
              <a:bodyPr/>
              <a:lstStyle/>
              <a:p>
                <a:pPr>
                  <a:defRPr/>
                </a:pPr>
                <a:r>
                  <a:rPr lang="en-NZ"/>
                  <a:t>Year</a:t>
                </a:r>
              </a:p>
            </c:rich>
          </c:tx>
          <c:overlay val="0"/>
        </c:title>
        <c:numFmt formatCode="General" sourceLinked="1"/>
        <c:majorTickMark val="out"/>
        <c:minorTickMark val="none"/>
        <c:tickLblPos val="nextTo"/>
        <c:crossAx val="272115200"/>
        <c:crossesAt val="0"/>
        <c:auto val="1"/>
        <c:lblAlgn val="ctr"/>
        <c:lblOffset val="100"/>
        <c:noMultiLvlLbl val="0"/>
      </c:catAx>
      <c:valAx>
        <c:axId val="272115200"/>
        <c:scaling>
          <c:orientation val="minMax"/>
          <c:max val="1.2"/>
          <c:min val="0"/>
        </c:scaling>
        <c:delete val="0"/>
        <c:axPos val="l"/>
        <c:majorGridlines>
          <c:spPr>
            <a:ln>
              <a:solidFill>
                <a:schemeClr val="tx1"/>
              </a:solidFill>
            </a:ln>
          </c:spPr>
        </c:majorGridlines>
        <c:title>
          <c:tx>
            <c:rich>
              <a:bodyPr rot="-5400000" vert="horz"/>
              <a:lstStyle/>
              <a:p>
                <a:pPr>
                  <a:defRPr/>
                </a:pPr>
                <a:r>
                  <a:rPr lang="en-NZ"/>
                  <a:t>Revenue</a:t>
                </a:r>
                <a:r>
                  <a:rPr lang="en-NZ" baseline="0"/>
                  <a:t> / expenditure (%)</a:t>
                </a:r>
                <a:endParaRPr lang="en-NZ"/>
              </a:p>
            </c:rich>
          </c:tx>
          <c:overlay val="0"/>
        </c:title>
        <c:numFmt formatCode="0%" sourceLinked="0"/>
        <c:majorTickMark val="out"/>
        <c:minorTickMark val="none"/>
        <c:tickLblPos val="nextTo"/>
        <c:crossAx val="197603328"/>
        <c:crosses val="autoZero"/>
        <c:crossBetween val="between"/>
        <c:majorUnit val="0.2"/>
        <c:minorUnit val="0.1"/>
      </c:valAx>
      <c:valAx>
        <c:axId val="272120832"/>
        <c:scaling>
          <c:orientation val="minMax"/>
          <c:max val="1.4"/>
          <c:min val="0"/>
        </c:scaling>
        <c:delete val="1"/>
        <c:axPos val="r"/>
        <c:numFmt formatCode="0%" sourceLinked="1"/>
        <c:majorTickMark val="none"/>
        <c:minorTickMark val="none"/>
        <c:tickLblPos val="none"/>
        <c:crossAx val="272319232"/>
        <c:crosses val="max"/>
        <c:crossBetween val="midCat"/>
      </c:valAx>
      <c:valAx>
        <c:axId val="272319232"/>
        <c:scaling>
          <c:orientation val="minMax"/>
          <c:max val="1"/>
          <c:min val="0"/>
        </c:scaling>
        <c:delete val="0"/>
        <c:axPos val="t"/>
        <c:numFmt formatCode="_(* #,##0.00_);_(* \(#,##0.00\);_(* &quot;-&quot;??_);_(@_)" sourceLinked="1"/>
        <c:majorTickMark val="out"/>
        <c:minorTickMark val="none"/>
        <c:tickLblPos val="none"/>
        <c:crossAx val="272120832"/>
        <c:crosses val="max"/>
        <c:crossBetween val="midCat"/>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'[2024 Benchmarks.xlsx]oGraphs'!$A$271</c:f>
              <c:strCache>
                <c:ptCount val="1"/>
                <c:pt idx="0">
                  <c:v>Benchmark met</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'[2024 Benchmarks.xlsx]oGraphs'!$D$268:$H$268</c:f>
              <c:strCache>
                <c:ptCount val="5"/>
                <c:pt idx="0">
                  <c:v>2019/20</c:v>
                </c:pt>
                <c:pt idx="1">
                  <c:v>2020/21</c:v>
                </c:pt>
                <c:pt idx="2">
                  <c:v>2021/22</c:v>
                </c:pt>
                <c:pt idx="3">
                  <c:v>2022/23</c:v>
                </c:pt>
                <c:pt idx="4">
                  <c:v>2023/24</c:v>
                </c:pt>
              </c:strCache>
            </c:strRef>
          </c:cat>
          <c:val>
            <c:numRef>
              <c:f>'[2024 Benchmarks.xlsx]oGraphs'!$D$271:$H$271</c:f>
              <c:numCache>
                <c:formatCode>0%</c:formatCode>
                <c:ptCount val="5"/>
                <c:pt idx="0">
                  <c:v>1.48</c:v>
                </c:pt>
                <c:pt idx="1">
                  <c:v>1.3649028817456823</c:v>
                </c:pt>
                <c:pt idx="2">
                  <c:v>1.4034680201159104</c:v>
                </c:pt>
                <c:pt idx="3">
                  <c:v>1.3176299845654127</c:v>
                </c:pt>
                <c:pt idx="4">
                  <c:v>1.9185090723602711</c:v>
                </c:pt>
              </c:numCache>
            </c:numRef>
          </c:val>
          <c:extLst>
            <c:ext xmlns:c16="http://schemas.microsoft.com/office/drawing/2014/chart" uri="{C3380CC4-5D6E-409C-BE32-E72D297353CC}">
              <c16:uniqueId val="{00000000-A979-4B2B-9E78-9DFAE1D74923}"/>
            </c:ext>
          </c:extLst>
        </c:ser>
        <c:ser>
          <c:idx val="2"/>
          <c:order val="1"/>
          <c:tx>
            <c:strRef>
              <c:f>'[2024 Benchmarks.xlsx]oGraphs'!$A$272</c:f>
              <c:strCache>
                <c:ptCount val="1"/>
                <c:pt idx="0">
                  <c:v>Benchmark not met</c:v>
                </c:pt>
              </c:strCache>
            </c:strRef>
          </c:tx>
          <c:spPr>
            <a:solidFill>
              <a:srgbClr val="FFC000"/>
            </a:solidFill>
          </c:spPr>
          <c:invertIfNegative val="0"/>
          <c:cat>
            <c:strRef>
              <c:f>'[2024 Benchmarks.xlsx]oGraphs'!$D$268:$H$268</c:f>
              <c:strCache>
                <c:ptCount val="5"/>
                <c:pt idx="0">
                  <c:v>2019/20</c:v>
                </c:pt>
                <c:pt idx="1">
                  <c:v>2020/21</c:v>
                </c:pt>
                <c:pt idx="2">
                  <c:v>2021/22</c:v>
                </c:pt>
                <c:pt idx="3">
                  <c:v>2022/23</c:v>
                </c:pt>
                <c:pt idx="4">
                  <c:v>2023/24</c:v>
                </c:pt>
              </c:strCache>
            </c:strRef>
          </c:cat>
          <c:val>
            <c:numRef>
              <c:f>'[2024 Benchmarks.xlsx]oGraphs'!$D$272:$H$272</c:f>
              <c:numCache>
                <c:formatCode>0%</c:formatCode>
                <c:ptCount val="5"/>
                <c:pt idx="1">
                  <c:v>0</c:v>
                </c:pt>
                <c:pt idx="2">
                  <c:v>0</c:v>
                </c:pt>
                <c:pt idx="3">
                  <c:v>0</c:v>
                </c:pt>
                <c:pt idx="4">
                  <c:v>0</c:v>
                </c:pt>
              </c:numCache>
            </c:numRef>
          </c:val>
          <c:extLst>
            <c:ext xmlns:c16="http://schemas.microsoft.com/office/drawing/2014/chart" uri="{C3380CC4-5D6E-409C-BE32-E72D297353CC}">
              <c16:uniqueId val="{00000001-A979-4B2B-9E78-9DFAE1D74923}"/>
            </c:ext>
          </c:extLst>
        </c:ser>
        <c:dLbls>
          <c:showLegendKey val="0"/>
          <c:showVal val="0"/>
          <c:showCatName val="0"/>
          <c:showSerName val="0"/>
          <c:showPercent val="0"/>
          <c:showBubbleSize val="0"/>
        </c:dLbls>
        <c:gapWidth val="150"/>
        <c:axId val="290177792"/>
        <c:axId val="290179712"/>
      </c:barChart>
      <c:scatterChart>
        <c:scatterStyle val="lineMarker"/>
        <c:varyColors val="0"/>
        <c:ser>
          <c:idx val="0"/>
          <c:order val="2"/>
          <c:tx>
            <c:strRef>
              <c:f>'[2024 Benchmarks.xlsx]oGraphs'!$D$278</c:f>
              <c:strCache>
                <c:ptCount val="1"/>
                <c:pt idx="0">
                  <c:v>Benchmark</c:v>
                </c:pt>
              </c:strCache>
            </c:strRef>
          </c:tx>
          <c:spPr>
            <a:ln>
              <a:solidFill>
                <a:schemeClr val="tx1"/>
              </a:solidFill>
            </a:ln>
          </c:spPr>
          <c:marker>
            <c:symbol val="none"/>
          </c:marker>
          <c:xVal>
            <c:numRef>
              <c:f>'[2024 Benchmarks.xlsx]oGraphs'!$C$279:$C$280</c:f>
              <c:numCache>
                <c:formatCode>_(* #,##0.00_);_(* \(#,##0.00\);_(* "-"??_);_(@_)</c:formatCode>
                <c:ptCount val="2"/>
                <c:pt idx="0">
                  <c:v>0</c:v>
                </c:pt>
                <c:pt idx="1">
                  <c:v>1</c:v>
                </c:pt>
              </c:numCache>
            </c:numRef>
          </c:xVal>
          <c:yVal>
            <c:numRef>
              <c:f>'[2024 Benchmarks.xlsx]oGraphs'!$D$279:$D$280</c:f>
              <c:numCache>
                <c:formatCode>0%</c:formatCode>
                <c:ptCount val="2"/>
                <c:pt idx="0">
                  <c:v>1</c:v>
                </c:pt>
                <c:pt idx="1">
                  <c:v>1</c:v>
                </c:pt>
              </c:numCache>
            </c:numRef>
          </c:yVal>
          <c:smooth val="0"/>
          <c:extLst>
            <c:ext xmlns:c16="http://schemas.microsoft.com/office/drawing/2014/chart" uri="{C3380CC4-5D6E-409C-BE32-E72D297353CC}">
              <c16:uniqueId val="{00000002-A979-4B2B-9E78-9DFAE1D74923}"/>
            </c:ext>
          </c:extLst>
        </c:ser>
        <c:dLbls>
          <c:showLegendKey val="0"/>
          <c:showVal val="0"/>
          <c:showCatName val="0"/>
          <c:showSerName val="0"/>
          <c:showPercent val="0"/>
          <c:showBubbleSize val="0"/>
        </c:dLbls>
        <c:axId val="290195712"/>
        <c:axId val="290194176"/>
      </c:scatterChart>
      <c:catAx>
        <c:axId val="290177792"/>
        <c:scaling>
          <c:orientation val="minMax"/>
        </c:scaling>
        <c:delete val="0"/>
        <c:axPos val="b"/>
        <c:title>
          <c:tx>
            <c:rich>
              <a:bodyPr/>
              <a:lstStyle/>
              <a:p>
                <a:pPr>
                  <a:defRPr/>
                </a:pPr>
                <a:r>
                  <a:rPr lang="en-NZ"/>
                  <a:t>Year</a:t>
                </a:r>
              </a:p>
            </c:rich>
          </c:tx>
          <c:overlay val="0"/>
        </c:title>
        <c:numFmt formatCode="General" sourceLinked="1"/>
        <c:majorTickMark val="out"/>
        <c:minorTickMark val="none"/>
        <c:tickLblPos val="nextTo"/>
        <c:crossAx val="290179712"/>
        <c:crosses val="autoZero"/>
        <c:auto val="1"/>
        <c:lblAlgn val="ctr"/>
        <c:lblOffset val="100"/>
        <c:noMultiLvlLbl val="0"/>
      </c:catAx>
      <c:valAx>
        <c:axId val="290179712"/>
        <c:scaling>
          <c:orientation val="minMax"/>
        </c:scaling>
        <c:delete val="0"/>
        <c:axPos val="l"/>
        <c:majorGridlines>
          <c:spPr>
            <a:ln>
              <a:solidFill>
                <a:schemeClr val="tx1"/>
              </a:solidFill>
            </a:ln>
          </c:spPr>
        </c:majorGridlines>
        <c:title>
          <c:tx>
            <c:rich>
              <a:bodyPr rot="-5400000" vert="horz"/>
              <a:lstStyle/>
              <a:p>
                <a:pPr>
                  <a:defRPr/>
                </a:pPr>
                <a:r>
                  <a:rPr lang="en-NZ"/>
                  <a:t>Capital</a:t>
                </a:r>
                <a:r>
                  <a:rPr lang="en-NZ" baseline="0"/>
                  <a:t> </a:t>
                </a:r>
                <a:r>
                  <a:rPr lang="en-NZ"/>
                  <a:t>expenditure/depreciation</a:t>
                </a:r>
                <a:r>
                  <a:rPr lang="en-NZ" baseline="0"/>
                  <a:t> (%)</a:t>
                </a:r>
                <a:endParaRPr lang="en-NZ"/>
              </a:p>
            </c:rich>
          </c:tx>
          <c:overlay val="0"/>
        </c:title>
        <c:numFmt formatCode="0%" sourceLinked="1"/>
        <c:majorTickMark val="out"/>
        <c:minorTickMark val="none"/>
        <c:tickLblPos val="nextTo"/>
        <c:crossAx val="290177792"/>
        <c:crosses val="autoZero"/>
        <c:crossBetween val="between"/>
      </c:valAx>
      <c:valAx>
        <c:axId val="290194176"/>
        <c:scaling>
          <c:orientation val="minMax"/>
          <c:max val="1.4"/>
          <c:min val="0"/>
        </c:scaling>
        <c:delete val="1"/>
        <c:axPos val="r"/>
        <c:numFmt formatCode="0%" sourceLinked="1"/>
        <c:majorTickMark val="none"/>
        <c:minorTickMark val="none"/>
        <c:tickLblPos val="none"/>
        <c:crossAx val="290195712"/>
        <c:crosses val="max"/>
        <c:crossBetween val="midCat"/>
      </c:valAx>
      <c:valAx>
        <c:axId val="290195712"/>
        <c:scaling>
          <c:orientation val="minMax"/>
          <c:max val="1"/>
          <c:min val="0"/>
        </c:scaling>
        <c:delete val="0"/>
        <c:axPos val="t"/>
        <c:numFmt formatCode="_(* #,##0.00_);_(* \(#,##0.00\);_(* &quot;-&quot;??_);_(@_)" sourceLinked="1"/>
        <c:majorTickMark val="out"/>
        <c:minorTickMark val="none"/>
        <c:tickLblPos val="none"/>
        <c:crossAx val="290194176"/>
        <c:crosses val="max"/>
        <c:crossBetween val="midCat"/>
      </c:valAx>
    </c:plotArea>
    <c:legend>
      <c:legendPos val="r"/>
      <c:overlay val="0"/>
    </c:legend>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110.jpeg"/></Relationships>
</file>

<file path=word/theme/theme1.xml><?xml version="1.0" encoding="utf-8"?>
<a:theme xmlns:a="http://schemas.openxmlformats.org/drawingml/2006/main" name="Savon">
  <a:themeElements>
    <a:clrScheme name="Savon">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761CD-5EB2-4EFC-9953-D1C3B4820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134</Pages>
  <Words>26410</Words>
  <Characters>171560</Characters>
  <Application>Microsoft Office Word</Application>
  <DocSecurity>0</DocSecurity>
  <Lines>3236</Lines>
  <Paragraphs>1558</Paragraphs>
  <ScaleCrop>false</ScaleCrop>
  <HeadingPairs>
    <vt:vector size="2" baseType="variant">
      <vt:variant>
        <vt:lpstr>Title</vt:lpstr>
      </vt:variant>
      <vt:variant>
        <vt:i4>1</vt:i4>
      </vt:variant>
    </vt:vector>
  </HeadingPairs>
  <TitlesOfParts>
    <vt:vector size="1" baseType="lpstr">
      <vt:lpstr>WCC Annual Report 2021-22</vt:lpstr>
    </vt:vector>
  </TitlesOfParts>
  <Company/>
  <LinksUpToDate>false</LinksUpToDate>
  <CharactersWithSpaces>196412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WCC Annual Report 2021-22</dc:title>
  <dc:subject/>
  <dc:creator>WCC</dc:creator>
  <cp:keywords/>
  <dc:description/>
  <cp:lastModifiedBy>Amy Brannigan</cp:lastModifiedBy>
  <cp:revision>6</cp:revision>
  <cp:lastPrinted>2024-11-20T19:36:00Z</cp:lastPrinted>
  <dcterms:created xsi:type="dcterms:W3CDTF">2024-12-01T20:50:00Z</dcterms:created>
  <dcterms:modified xsi:type="dcterms:W3CDTF">2024-12-03T22:36:00Z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0x0101009DFBC6849BA34E4FA11E1D90106DCC4500C0A2FEA7D6086A4EBB91F5E56EF8B835</vt:lpwstr>
  </property>
  <property fmtid="{D5CDD505-2E9C-101B-9397-08002B2CF9AE}" pid="3" name="MediaServiceImageTags">
    <vt:lpwstr/>
  </property>
  <property fmtid="{D5CDD505-2E9C-101B-9397-08002B2CF9AE}" pid="4" name="_dlc_DocIdItemGuid">
    <vt:lpwstr>a02543eb-b55c-4098-8596-7158254543e1</vt:lpwstr>
  </property>
</Properties>
</file>