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37B15E86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5A6325">
        <w:rPr>
          <w:rFonts w:asciiTheme="minorHAnsi" w:eastAsiaTheme="minorHAnsi" w:hAnsiTheme="minorHAnsi" w:cstheme="minorHAnsi"/>
          <w:sz w:val="22"/>
          <w:szCs w:val="22"/>
          <w:lang w:val="en-NZ"/>
        </w:rPr>
        <w:t>August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3225"/>
        <w:gridCol w:w="3721"/>
        <w:gridCol w:w="2693"/>
      </w:tblGrid>
      <w:tr w:rsidR="00816880" w:rsidRPr="000204C5" w14:paraId="509C5552" w14:textId="77777777" w:rsidTr="006F5FC4">
        <w:trPr>
          <w:trHeight w:val="615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0A5F1C2B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13360E" w:rsidRPr="000204C5" w14:paraId="623B1E7D" w14:textId="77777777" w:rsidTr="006F5FC4">
        <w:trPr>
          <w:trHeight w:val="472"/>
        </w:trPr>
        <w:tc>
          <w:tcPr>
            <w:tcW w:w="3403" w:type="dxa"/>
            <w:tcBorders>
              <w:right w:val="nil"/>
            </w:tcBorders>
            <w:shd w:val="clear" w:color="auto" w:fill="FFFF00"/>
          </w:tcPr>
          <w:p w14:paraId="6B2B858B" w14:textId="2CFE2C3A" w:rsidR="0013360E" w:rsidRPr="006F5FC4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00"/>
          </w:tcPr>
          <w:p w14:paraId="7FAF2672" w14:textId="77777777" w:rsidR="0013360E" w:rsidRPr="006F5FC4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  <w:shd w:val="clear" w:color="auto" w:fill="FFFF00"/>
          </w:tcPr>
          <w:p w14:paraId="7D62D47A" w14:textId="0D3BA154" w:rsidR="0013360E" w:rsidRPr="006F5FC4" w:rsidRDefault="006F5FC4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 w:rsidRPr="006F5F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CBD</w:t>
            </w:r>
          </w:p>
        </w:tc>
        <w:tc>
          <w:tcPr>
            <w:tcW w:w="3721" w:type="dxa"/>
            <w:tcBorders>
              <w:left w:val="nil"/>
              <w:right w:val="nil"/>
            </w:tcBorders>
            <w:shd w:val="clear" w:color="auto" w:fill="FFFF00"/>
          </w:tcPr>
          <w:p w14:paraId="537E5045" w14:textId="77777777" w:rsidR="0013360E" w:rsidRPr="006F5FC4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00"/>
          </w:tcPr>
          <w:p w14:paraId="2FDA3BF6" w14:textId="77777777" w:rsidR="0013360E" w:rsidRPr="006F5FC4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</w:tr>
      <w:tr w:rsidR="0013360E" w:rsidRPr="000204C5" w14:paraId="29ADE33C" w14:textId="77777777" w:rsidTr="0013360E">
        <w:trPr>
          <w:trHeight w:val="472"/>
        </w:trPr>
        <w:tc>
          <w:tcPr>
            <w:tcW w:w="3403" w:type="dxa"/>
            <w:shd w:val="clear" w:color="auto" w:fill="auto"/>
          </w:tcPr>
          <w:p w14:paraId="083DEB14" w14:textId="7CE7138D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bookmarkStart w:id="0" w:name="_Hlk204843433"/>
            <w:r w:rsidRPr="001336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Various</w:t>
            </w:r>
          </w:p>
        </w:tc>
        <w:tc>
          <w:tcPr>
            <w:tcW w:w="3260" w:type="dxa"/>
            <w:shd w:val="clear" w:color="auto" w:fill="auto"/>
          </w:tcPr>
          <w:p w14:paraId="4A700B4C" w14:textId="0545C4CB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Reactive</w:t>
            </w:r>
          </w:p>
        </w:tc>
        <w:tc>
          <w:tcPr>
            <w:tcW w:w="3225" w:type="dxa"/>
            <w:shd w:val="clear" w:color="auto" w:fill="auto"/>
          </w:tcPr>
          <w:p w14:paraId="476E42D1" w14:textId="28CF31B3" w:rsidR="0013360E" w:rsidRPr="0013360E" w:rsidRDefault="005A6325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shd w:val="clear" w:color="auto" w:fill="auto"/>
          </w:tcPr>
          <w:p w14:paraId="6C062E74" w14:textId="01FB341F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</w:tcPr>
          <w:p w14:paraId="443112E0" w14:textId="77777777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bookmarkEnd w:id="0"/>
      <w:tr w:rsidR="002A1C21" w:rsidRPr="000204C5" w14:paraId="463546C6" w14:textId="77777777" w:rsidTr="006F5FC4">
        <w:trPr>
          <w:trHeight w:val="472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2454B198" w14:textId="3086296B" w:rsidR="002A1C21" w:rsidRPr="0013360E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Various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02DD0FC" w14:textId="061EABDB" w:rsidR="002A1C21" w:rsidRPr="0013360E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Roadmarking</w:t>
            </w:r>
            <w:proofErr w:type="spellEnd"/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14:paraId="58B7394C" w14:textId="1B19BA90" w:rsidR="002A1C21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081E0C14" w14:textId="11EDBC43" w:rsidR="002A1C21" w:rsidRPr="0013360E" w:rsidRDefault="00F742A4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3C20B39" w14:textId="77777777" w:rsidR="002A1C21" w:rsidRPr="0013360E" w:rsidRDefault="002A1C21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6F5FC4" w:rsidRPr="000204C5" w14:paraId="104A5CA5" w14:textId="77777777" w:rsidTr="006F5FC4">
        <w:trPr>
          <w:trHeight w:val="4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8820DC6" w14:textId="69CA3D86" w:rsidR="006F5FC4" w:rsidRPr="000204C5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50571662" w14:textId="68C1F7BA" w:rsidR="006F5FC4" w:rsidRPr="000204C5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80282F2" w14:textId="0CC0B070" w:rsidR="006F5FC4" w:rsidRPr="000204C5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Northen</w:t>
            </w:r>
            <w:r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5366537B" w14:textId="42C41DA4" w:rsidR="006F5FC4" w:rsidRPr="000204C5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D8029" w14:textId="78B1FF68" w:rsidR="006F5FC4" w:rsidRPr="000204C5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6F5FC4" w:rsidRPr="00F05CF9" w14:paraId="15D19859" w14:textId="77777777" w:rsidTr="006F5FC4">
        <w:trPr>
          <w:trHeight w:val="567"/>
        </w:trPr>
        <w:tc>
          <w:tcPr>
            <w:tcW w:w="3403" w:type="dxa"/>
            <w:tcBorders>
              <w:top w:val="single" w:sz="4" w:space="0" w:color="auto"/>
            </w:tcBorders>
            <w:noWrap/>
            <w:vAlign w:val="center"/>
          </w:tcPr>
          <w:p w14:paraId="728631D3" w14:textId="1106CC7C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Sunshine Ave,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vAlign w:val="center"/>
          </w:tcPr>
          <w:p w14:paraId="2132609E" w14:textId="4CDF78C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noWrap/>
            <w:vAlign w:val="center"/>
          </w:tcPr>
          <w:p w14:paraId="24B155B5" w14:textId="3428576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August to 27 August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noWrap/>
            <w:vAlign w:val="center"/>
          </w:tcPr>
          <w:p w14:paraId="4231BF18" w14:textId="0AAF169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14:paraId="097CDA5B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2C324934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2B81F9B3" w14:textId="1B30C09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Victory Ave,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 Karori</w:t>
            </w:r>
          </w:p>
        </w:tc>
        <w:tc>
          <w:tcPr>
            <w:tcW w:w="3260" w:type="dxa"/>
            <w:noWrap/>
            <w:vAlign w:val="center"/>
          </w:tcPr>
          <w:p w14:paraId="3454FF67" w14:textId="385A2B4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road repairs</w:t>
            </w:r>
          </w:p>
        </w:tc>
        <w:tc>
          <w:tcPr>
            <w:tcW w:w="3225" w:type="dxa"/>
            <w:noWrap/>
            <w:vAlign w:val="center"/>
          </w:tcPr>
          <w:p w14:paraId="3BD6CED0" w14:textId="763A212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August to 04 September</w:t>
            </w:r>
          </w:p>
        </w:tc>
        <w:tc>
          <w:tcPr>
            <w:tcW w:w="3721" w:type="dxa"/>
            <w:noWrap/>
            <w:vAlign w:val="center"/>
          </w:tcPr>
          <w:p w14:paraId="3AC8C479" w14:textId="2F1606A5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432637AA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2C8C86B4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003FFA12" w14:textId="765E3059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Homewood Ave,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  <w:vAlign w:val="center"/>
          </w:tcPr>
          <w:p w14:paraId="3169347F" w14:textId="75294CD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Footpath maintenance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  <w:proofErr w:type="spellEnd"/>
          </w:p>
        </w:tc>
        <w:tc>
          <w:tcPr>
            <w:tcW w:w="3225" w:type="dxa"/>
            <w:noWrap/>
            <w:vAlign w:val="center"/>
          </w:tcPr>
          <w:p w14:paraId="2C0FA935" w14:textId="2589CB24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August and 28 August</w:t>
            </w:r>
          </w:p>
        </w:tc>
        <w:tc>
          <w:tcPr>
            <w:tcW w:w="3721" w:type="dxa"/>
            <w:noWrap/>
            <w:vAlign w:val="center"/>
          </w:tcPr>
          <w:p w14:paraId="6FDB1989" w14:textId="3242DE60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436FA151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682B85D8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2DAAD287" w14:textId="71ABBF8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Newcombe Cres,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 Karori</w:t>
            </w:r>
          </w:p>
        </w:tc>
        <w:tc>
          <w:tcPr>
            <w:tcW w:w="3260" w:type="dxa"/>
            <w:noWrap/>
            <w:vAlign w:val="center"/>
          </w:tcPr>
          <w:p w14:paraId="0D5B5239" w14:textId="64DED70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road repairs</w:t>
            </w:r>
          </w:p>
        </w:tc>
        <w:tc>
          <w:tcPr>
            <w:tcW w:w="3225" w:type="dxa"/>
            <w:noWrap/>
            <w:vAlign w:val="center"/>
          </w:tcPr>
          <w:p w14:paraId="036E0BA2" w14:textId="53EB606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August to 18 August</w:t>
            </w:r>
          </w:p>
        </w:tc>
        <w:tc>
          <w:tcPr>
            <w:tcW w:w="3721" w:type="dxa"/>
            <w:noWrap/>
            <w:vAlign w:val="center"/>
          </w:tcPr>
          <w:p w14:paraId="2FC0FECC" w14:textId="07DF741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19FBB3C0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09829C88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1577F97F" w14:textId="22747FAD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Old Karori Rd,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  <w:vAlign w:val="center"/>
          </w:tcPr>
          <w:p w14:paraId="36AB4166" w14:textId="6A52DEF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and channel</w:t>
            </w:r>
          </w:p>
        </w:tc>
        <w:tc>
          <w:tcPr>
            <w:tcW w:w="3225" w:type="dxa"/>
            <w:noWrap/>
            <w:vAlign w:val="center"/>
          </w:tcPr>
          <w:p w14:paraId="62F8ABBC" w14:textId="0840C91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August to 23 August</w:t>
            </w:r>
          </w:p>
        </w:tc>
        <w:tc>
          <w:tcPr>
            <w:tcW w:w="3721" w:type="dxa"/>
            <w:noWrap/>
            <w:vAlign w:val="center"/>
          </w:tcPr>
          <w:p w14:paraId="78E148A6" w14:textId="386FD1B3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75AD0415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6ABE6510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7C2406FE" w14:textId="34CC7F0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Seaforth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  <w:vAlign w:val="center"/>
          </w:tcPr>
          <w:p w14:paraId="0D2D26E0" w14:textId="2432999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  <w:vAlign w:val="center"/>
          </w:tcPr>
          <w:p w14:paraId="183928BC" w14:textId="443C2D5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August and 16 September</w:t>
            </w:r>
          </w:p>
        </w:tc>
        <w:tc>
          <w:tcPr>
            <w:tcW w:w="3721" w:type="dxa"/>
            <w:noWrap/>
            <w:vAlign w:val="center"/>
          </w:tcPr>
          <w:p w14:paraId="63DC611A" w14:textId="53A3845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1886141D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4161588C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73275599" w14:textId="431910D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Blakey Ave,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  <w:vAlign w:val="center"/>
          </w:tcPr>
          <w:p w14:paraId="470BD561" w14:textId="33A7DF06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  <w:vAlign w:val="center"/>
          </w:tcPr>
          <w:p w14:paraId="2C05BB63" w14:textId="4A23B7A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July to 01 August</w:t>
            </w:r>
          </w:p>
        </w:tc>
        <w:tc>
          <w:tcPr>
            <w:tcW w:w="3721" w:type="dxa"/>
            <w:noWrap/>
            <w:vAlign w:val="center"/>
          </w:tcPr>
          <w:p w14:paraId="72F293F0" w14:textId="57487C25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5F224942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7BC06BB9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093A1BCA" w14:textId="1C88ECC2" w:rsidR="006F5FC4" w:rsidRPr="00A7143E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Birdwood St, 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Karori</w:t>
            </w:r>
          </w:p>
        </w:tc>
        <w:tc>
          <w:tcPr>
            <w:tcW w:w="3260" w:type="dxa"/>
            <w:noWrap/>
            <w:vAlign w:val="center"/>
          </w:tcPr>
          <w:p w14:paraId="1548D559" w14:textId="65263A98" w:rsidR="006F5FC4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Remedial works to failed slope</w:t>
            </w:r>
          </w:p>
        </w:tc>
        <w:tc>
          <w:tcPr>
            <w:tcW w:w="3225" w:type="dxa"/>
            <w:noWrap/>
            <w:vAlign w:val="center"/>
          </w:tcPr>
          <w:p w14:paraId="262D7D51" w14:textId="164DDC4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3A2D58EE" w14:textId="07D63130" w:rsidR="006F5FC4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lane closure with traffic lights </w:t>
            </w:r>
          </w:p>
        </w:tc>
        <w:tc>
          <w:tcPr>
            <w:tcW w:w="2693" w:type="dxa"/>
            <w:noWrap/>
            <w:vAlign w:val="center"/>
          </w:tcPr>
          <w:p w14:paraId="78B96764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78DCBA12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65322489" w14:textId="5D2E4620" w:rsidR="006F5FC4" w:rsidRPr="00A7143E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Makara Road, 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Karori</w:t>
            </w:r>
          </w:p>
        </w:tc>
        <w:tc>
          <w:tcPr>
            <w:tcW w:w="3260" w:type="dxa"/>
            <w:noWrap/>
            <w:vAlign w:val="center"/>
          </w:tcPr>
          <w:p w14:paraId="4FB07EC0" w14:textId="2F44698C" w:rsidR="006F5FC4" w:rsidRPr="00F05CF9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Retaining wall renewal</w:t>
            </w:r>
          </w:p>
        </w:tc>
        <w:tc>
          <w:tcPr>
            <w:tcW w:w="3225" w:type="dxa"/>
            <w:noWrap/>
            <w:vAlign w:val="center"/>
          </w:tcPr>
          <w:p w14:paraId="40FB6391" w14:textId="7487A778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07278706" w14:textId="63470715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E65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Downhill lan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</w:t>
            </w:r>
            <w:r w:rsidRPr="001E65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Closure</w:t>
            </w:r>
          </w:p>
        </w:tc>
        <w:tc>
          <w:tcPr>
            <w:tcW w:w="2693" w:type="dxa"/>
            <w:noWrap/>
            <w:vAlign w:val="center"/>
          </w:tcPr>
          <w:p w14:paraId="1273A063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1195E999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63C12DFD" w14:textId="77777777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Allington Street culvert, 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Karori</w:t>
            </w:r>
          </w:p>
          <w:p w14:paraId="429D731A" w14:textId="5F623AF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noWrap/>
            <w:vAlign w:val="center"/>
          </w:tcPr>
          <w:p w14:paraId="2D55841D" w14:textId="050E38A0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0291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Bridge Upgrades</w:t>
            </w:r>
          </w:p>
        </w:tc>
        <w:tc>
          <w:tcPr>
            <w:tcW w:w="3225" w:type="dxa"/>
            <w:noWrap/>
            <w:vAlign w:val="center"/>
          </w:tcPr>
          <w:p w14:paraId="44BA13F1" w14:textId="0D9F135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319BE25D" w14:textId="2AB4BEF4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0291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One lane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closure</w:t>
            </w:r>
          </w:p>
        </w:tc>
        <w:tc>
          <w:tcPr>
            <w:tcW w:w="2693" w:type="dxa"/>
            <w:noWrap/>
            <w:vAlign w:val="center"/>
          </w:tcPr>
          <w:p w14:paraId="4447CD25" w14:textId="777777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71E242BC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4507631C" w14:textId="41B2046D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Helston Rd,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  <w:vAlign w:val="center"/>
          </w:tcPr>
          <w:p w14:paraId="4771FD17" w14:textId="601504AD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Footpath maintenance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  <w:proofErr w:type="spellEnd"/>
          </w:p>
        </w:tc>
        <w:tc>
          <w:tcPr>
            <w:tcW w:w="3225" w:type="dxa"/>
            <w:noWrap/>
            <w:vAlign w:val="center"/>
          </w:tcPr>
          <w:p w14:paraId="7B0745FA" w14:textId="46FD9646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August to 11 August</w:t>
            </w:r>
          </w:p>
        </w:tc>
        <w:tc>
          <w:tcPr>
            <w:tcW w:w="3721" w:type="dxa"/>
            <w:noWrap/>
            <w:vAlign w:val="center"/>
          </w:tcPr>
          <w:p w14:paraId="611473DD" w14:textId="097AD7F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68ADE2CA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4DAE652B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0FA22D88" w14:textId="3E3D5419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Ironside Rd,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260" w:type="dxa"/>
            <w:noWrap/>
            <w:vAlign w:val="center"/>
          </w:tcPr>
          <w:p w14:paraId="5BB9760C" w14:textId="6FB614A3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  <w:vAlign w:val="center"/>
          </w:tcPr>
          <w:p w14:paraId="74F29AAD" w14:textId="3CD326E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July to 08 August</w:t>
            </w:r>
          </w:p>
        </w:tc>
        <w:tc>
          <w:tcPr>
            <w:tcW w:w="3721" w:type="dxa"/>
            <w:noWrap/>
            <w:vAlign w:val="center"/>
          </w:tcPr>
          <w:p w14:paraId="1A24C367" w14:textId="45C5E546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0F691745" w14:textId="7DE8404C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549CF23A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50C52030" w14:textId="4751C0E6" w:rsidR="006F5FC4" w:rsidRPr="00A7143E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Stewart Derive, 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Johnsonville</w:t>
            </w:r>
          </w:p>
        </w:tc>
        <w:tc>
          <w:tcPr>
            <w:tcW w:w="3260" w:type="dxa"/>
            <w:noWrap/>
            <w:vAlign w:val="center"/>
          </w:tcPr>
          <w:p w14:paraId="3570B6F7" w14:textId="28239D0A" w:rsidR="006F5FC4" w:rsidRPr="00F05CF9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Retaining wall renewal</w:t>
            </w:r>
          </w:p>
        </w:tc>
        <w:tc>
          <w:tcPr>
            <w:tcW w:w="3225" w:type="dxa"/>
            <w:noWrap/>
            <w:vAlign w:val="center"/>
          </w:tcPr>
          <w:p w14:paraId="4028004A" w14:textId="5F1DCB77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August to 31 August</w:t>
            </w:r>
          </w:p>
        </w:tc>
        <w:tc>
          <w:tcPr>
            <w:tcW w:w="3721" w:type="dxa"/>
            <w:noWrap/>
            <w:vAlign w:val="center"/>
          </w:tcPr>
          <w:p w14:paraId="599FF990" w14:textId="29D35A78" w:rsidR="006F5FC4" w:rsidRPr="00F05CF9" w:rsidRDefault="006F5FC4" w:rsidP="00A71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Footpath closure</w:t>
            </w:r>
          </w:p>
        </w:tc>
        <w:tc>
          <w:tcPr>
            <w:tcW w:w="2693" w:type="dxa"/>
            <w:noWrap/>
            <w:vAlign w:val="center"/>
          </w:tcPr>
          <w:p w14:paraId="6935EB9E" w14:textId="4C3B764B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7E033CB5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3C8F977F" w14:textId="5618F3C4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Beauchamp St,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  <w:vAlign w:val="center"/>
          </w:tcPr>
          <w:p w14:paraId="6BB3B1CF" w14:textId="164C910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  <w:vAlign w:val="center"/>
          </w:tcPr>
          <w:p w14:paraId="67B947C2" w14:textId="12657A50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August to 06 September</w:t>
            </w:r>
          </w:p>
        </w:tc>
        <w:tc>
          <w:tcPr>
            <w:tcW w:w="3721" w:type="dxa"/>
            <w:noWrap/>
            <w:vAlign w:val="center"/>
          </w:tcPr>
          <w:p w14:paraId="4A02DD87" w14:textId="5A1219B1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6AF96E24" w14:textId="3DE90FB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29C94762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128E7F70" w14:textId="7A2B4445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Leadley Lane,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 Tawa</w:t>
            </w:r>
          </w:p>
        </w:tc>
        <w:tc>
          <w:tcPr>
            <w:tcW w:w="3260" w:type="dxa"/>
            <w:noWrap/>
            <w:vAlign w:val="center"/>
          </w:tcPr>
          <w:p w14:paraId="7FBBB018" w14:textId="68E6F22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  <w:vAlign w:val="center"/>
          </w:tcPr>
          <w:p w14:paraId="5E5F82B3" w14:textId="7EE5330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</w:t>
            </w:r>
          </w:p>
        </w:tc>
        <w:tc>
          <w:tcPr>
            <w:tcW w:w="3721" w:type="dxa"/>
            <w:noWrap/>
            <w:vAlign w:val="center"/>
          </w:tcPr>
          <w:p w14:paraId="11260225" w14:textId="39E4C5A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7A2CF53E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39A3008A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7464CE06" w14:textId="1880682C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Taylor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  <w:vAlign w:val="center"/>
          </w:tcPr>
          <w:p w14:paraId="5A40AF1E" w14:textId="11293029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  <w:vAlign w:val="center"/>
          </w:tcPr>
          <w:p w14:paraId="7E8B044F" w14:textId="7429560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</w:t>
            </w:r>
          </w:p>
        </w:tc>
        <w:tc>
          <w:tcPr>
            <w:tcW w:w="3721" w:type="dxa"/>
            <w:noWrap/>
            <w:vAlign w:val="center"/>
          </w:tcPr>
          <w:p w14:paraId="363158EA" w14:textId="70D55EA5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1E2CD98F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50FA09D7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3DF9681B" w14:textId="65326C73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Findlay St,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  <w:vAlign w:val="center"/>
          </w:tcPr>
          <w:p w14:paraId="241BAC27" w14:textId="5A7773D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  <w:vAlign w:val="center"/>
          </w:tcPr>
          <w:p w14:paraId="54A80D90" w14:textId="33A490F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August</w:t>
            </w:r>
          </w:p>
        </w:tc>
        <w:tc>
          <w:tcPr>
            <w:tcW w:w="3721" w:type="dxa"/>
            <w:noWrap/>
            <w:vAlign w:val="center"/>
          </w:tcPr>
          <w:p w14:paraId="4E1D2C65" w14:textId="4B5A4FF6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503D0BC9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602EA5F5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20BCA8E5" w14:textId="310BCCB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3B3C2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Tawa Main Road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Tawa</w:t>
            </w:r>
          </w:p>
        </w:tc>
        <w:tc>
          <w:tcPr>
            <w:tcW w:w="3260" w:type="dxa"/>
            <w:noWrap/>
            <w:vAlign w:val="center"/>
          </w:tcPr>
          <w:p w14:paraId="00A81D01" w14:textId="2CB9661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754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  <w:vAlign w:val="center"/>
          </w:tcPr>
          <w:p w14:paraId="4C6D7199" w14:textId="5F8D6EF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1DABEA4E" w14:textId="4FE7F7CA" w:rsidR="006F5FC4" w:rsidRPr="00F05CF9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7548">
              <w:rPr>
                <w:rFonts w:asciiTheme="minorHAnsi" w:hAnsiTheme="minorHAnsi" w:cstheme="minorHAnsi"/>
                <w:sz w:val="22"/>
                <w:szCs w:val="22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67486A9B" w14:textId="1119E15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7548">
              <w:rPr>
                <w:rFonts w:asciiTheme="minorHAnsi" w:hAnsiTheme="minorHAnsi" w:cstheme="minorHAnsi"/>
                <w:sz w:val="22"/>
                <w:szCs w:val="22"/>
              </w:rPr>
              <w:t>Installation of pedestrian crossing lighting</w:t>
            </w:r>
          </w:p>
        </w:tc>
      </w:tr>
      <w:tr w:rsidR="006F5FC4" w:rsidRPr="00F05CF9" w14:paraId="37858CA7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38F0B163" w14:textId="5FC1FB3D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Hutt Rd-South, </w:t>
            </w:r>
            <w:r w:rsidRPr="00502AD7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260" w:type="dxa"/>
            <w:noWrap/>
            <w:vAlign w:val="center"/>
          </w:tcPr>
          <w:p w14:paraId="04D1FAEF" w14:textId="2FD04D9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  <w:vAlign w:val="center"/>
          </w:tcPr>
          <w:p w14:paraId="06945FBF" w14:textId="653D926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August</w:t>
            </w:r>
          </w:p>
        </w:tc>
        <w:tc>
          <w:tcPr>
            <w:tcW w:w="3721" w:type="dxa"/>
            <w:noWrap/>
            <w:vAlign w:val="center"/>
          </w:tcPr>
          <w:p w14:paraId="0529C95A" w14:textId="0626D05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2F1E468E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2EC7A826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3207D42D" w14:textId="79EBFC1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B06C01">
              <w:rPr>
                <w:rFonts w:ascii="Calibri" w:hAnsi="Calibri" w:cs="Calibri"/>
                <w:color w:val="000000"/>
                <w:sz w:val="22"/>
                <w:szCs w:val="22"/>
              </w:rPr>
              <w:t>Khandallah</w:t>
            </w:r>
            <w:proofErr w:type="spellEnd"/>
            <w:r w:rsidRPr="00B06C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Road – Cockayne Road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Ngaio</w:t>
            </w:r>
          </w:p>
        </w:tc>
        <w:tc>
          <w:tcPr>
            <w:tcW w:w="3260" w:type="dxa"/>
            <w:noWrap/>
            <w:vAlign w:val="center"/>
          </w:tcPr>
          <w:p w14:paraId="71639631" w14:textId="6D32397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06C0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225" w:type="dxa"/>
            <w:noWrap/>
            <w:vAlign w:val="center"/>
          </w:tcPr>
          <w:p w14:paraId="1485B975" w14:textId="3AD499D3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6B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69288775" w14:textId="091E01A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52E1780F" w14:textId="5F3240E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Cycleway shoulder marking </w:t>
            </w:r>
          </w:p>
        </w:tc>
      </w:tr>
      <w:tr w:rsidR="006F5FC4" w:rsidRPr="00F05CF9" w14:paraId="19481058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68EDE5A0" w14:textId="25EFD015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5C1F77">
              <w:rPr>
                <w:rFonts w:ascii="Calibri" w:hAnsi="Calibri" w:cs="Calibri"/>
                <w:color w:val="000000"/>
                <w:sz w:val="22"/>
                <w:szCs w:val="22"/>
              </w:rPr>
              <w:t>Whakowhai</w:t>
            </w:r>
            <w:proofErr w:type="spellEnd"/>
            <w:r w:rsidRPr="005C1F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502A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Ngaio</w:t>
            </w:r>
          </w:p>
        </w:tc>
        <w:tc>
          <w:tcPr>
            <w:tcW w:w="3260" w:type="dxa"/>
            <w:noWrap/>
            <w:vAlign w:val="center"/>
          </w:tcPr>
          <w:p w14:paraId="098F25DC" w14:textId="7C0E6F05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06C0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225" w:type="dxa"/>
            <w:noWrap/>
            <w:vAlign w:val="center"/>
          </w:tcPr>
          <w:p w14:paraId="53AC30A1" w14:textId="50C61843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6B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0FD263D0" w14:textId="5A9DAF8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154BD571" w14:textId="6E630104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Cycleway shoulder marking </w:t>
            </w:r>
          </w:p>
        </w:tc>
      </w:tr>
      <w:tr w:rsidR="006F5FC4" w:rsidRPr="00F05CF9" w14:paraId="5670BE56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51CA2EDA" w14:textId="7DF7D84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Ravi St, </w:t>
            </w:r>
            <w:proofErr w:type="spellStart"/>
            <w:r w:rsidRPr="00C30AB8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  <w:proofErr w:type="spellEnd"/>
          </w:p>
        </w:tc>
        <w:tc>
          <w:tcPr>
            <w:tcW w:w="3260" w:type="dxa"/>
            <w:noWrap/>
            <w:vAlign w:val="center"/>
          </w:tcPr>
          <w:p w14:paraId="54743770" w14:textId="28314C6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  <w:vAlign w:val="center"/>
          </w:tcPr>
          <w:p w14:paraId="097FA027" w14:textId="064CCF6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July to 04 August</w:t>
            </w:r>
          </w:p>
        </w:tc>
        <w:tc>
          <w:tcPr>
            <w:tcW w:w="3721" w:type="dxa"/>
            <w:noWrap/>
            <w:vAlign w:val="center"/>
          </w:tcPr>
          <w:p w14:paraId="002FB131" w14:textId="4BBC8C69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40AD610B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0F3B932D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43C28A45" w14:textId="70D7525D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4002E">
              <w:rPr>
                <w:rFonts w:ascii="Calibri" w:hAnsi="Calibri" w:cs="Calibri"/>
                <w:color w:val="000000"/>
                <w:sz w:val="22"/>
                <w:szCs w:val="22"/>
              </w:rPr>
              <w:t>Box Hill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30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Khandallah</w:t>
            </w:r>
            <w:proofErr w:type="spellEnd"/>
          </w:p>
        </w:tc>
        <w:tc>
          <w:tcPr>
            <w:tcW w:w="3260" w:type="dxa"/>
            <w:noWrap/>
            <w:vAlign w:val="center"/>
          </w:tcPr>
          <w:p w14:paraId="193F5528" w14:textId="0F7FBBC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6B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3225" w:type="dxa"/>
            <w:noWrap/>
            <w:vAlign w:val="center"/>
          </w:tcPr>
          <w:p w14:paraId="2DB29C13" w14:textId="3253ED8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6B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381A55C0" w14:textId="58CD2AC4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65588036" w14:textId="51EE744C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6B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Bollard installation</w:t>
            </w:r>
          </w:p>
        </w:tc>
      </w:tr>
      <w:tr w:rsidR="006F5FC4" w:rsidRPr="00F05CF9" w14:paraId="1F962887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6B8E8F71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7255">
              <w:rPr>
                <w:rFonts w:ascii="Calibri" w:hAnsi="Calibri" w:cs="Calibri"/>
                <w:color w:val="000000"/>
                <w:sz w:val="22"/>
                <w:szCs w:val="22"/>
              </w:rPr>
              <w:t>Khandallah</w:t>
            </w:r>
            <w:proofErr w:type="spellEnd"/>
            <w:r w:rsidRPr="003572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Road to Simla Cres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1B9C6CE9" w14:textId="1F71CB3C" w:rsidR="006F5FC4" w:rsidRPr="00C30AB8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proofErr w:type="spellStart"/>
            <w:r w:rsidRPr="00C30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Khandallah</w:t>
            </w:r>
            <w:proofErr w:type="spellEnd"/>
          </w:p>
        </w:tc>
        <w:tc>
          <w:tcPr>
            <w:tcW w:w="3260" w:type="dxa"/>
            <w:noWrap/>
            <w:vAlign w:val="center"/>
          </w:tcPr>
          <w:p w14:paraId="5B0AE01D" w14:textId="6D006DD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225" w:type="dxa"/>
            <w:noWrap/>
            <w:vAlign w:val="center"/>
          </w:tcPr>
          <w:p w14:paraId="4B449E96" w14:textId="4482D641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E6B5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2284C978" w14:textId="6A624CE9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5B31C66D" w14:textId="582D638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742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layby construction</w:t>
            </w:r>
          </w:p>
        </w:tc>
      </w:tr>
      <w:tr w:rsidR="006F5FC4" w:rsidRPr="00F05CF9" w14:paraId="1A7D677F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6C95FF0A" w14:textId="703DFB2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1E65E1">
              <w:rPr>
                <w:rFonts w:ascii="Calibri" w:hAnsi="Calibri" w:cs="Calibri"/>
                <w:sz w:val="22"/>
                <w:szCs w:val="22"/>
                <w:lang w:val="en-NZ" w:eastAsia="en-NZ"/>
              </w:rPr>
              <w:t>Grovenor</w:t>
            </w:r>
            <w:proofErr w:type="spellEnd"/>
            <w:r w:rsidRPr="001E65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Terrace Wall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30AB8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Wadestown</w:t>
            </w:r>
          </w:p>
        </w:tc>
        <w:tc>
          <w:tcPr>
            <w:tcW w:w="3260" w:type="dxa"/>
            <w:noWrap/>
            <w:vAlign w:val="center"/>
          </w:tcPr>
          <w:p w14:paraId="1ADCE2CE" w14:textId="77777777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Rout Wall Upgrades</w:t>
            </w:r>
          </w:p>
          <w:p w14:paraId="51662036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noWrap/>
            <w:vAlign w:val="center"/>
          </w:tcPr>
          <w:p w14:paraId="55EEA1F0" w14:textId="73479A58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noWrap/>
            <w:vAlign w:val="center"/>
          </w:tcPr>
          <w:p w14:paraId="3EC76AB9" w14:textId="450B8EA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E10B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One Lane closure </w:t>
            </w:r>
          </w:p>
        </w:tc>
        <w:tc>
          <w:tcPr>
            <w:tcW w:w="2693" w:type="dxa"/>
            <w:noWrap/>
            <w:vAlign w:val="center"/>
          </w:tcPr>
          <w:p w14:paraId="035622B0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458B7416" w14:textId="77777777" w:rsidTr="006F5FC4">
        <w:trPr>
          <w:trHeight w:val="567"/>
        </w:trPr>
        <w:tc>
          <w:tcPr>
            <w:tcW w:w="3403" w:type="dxa"/>
            <w:tcBorders>
              <w:bottom w:val="single" w:sz="4" w:space="0" w:color="auto"/>
            </w:tcBorders>
            <w:noWrap/>
            <w:vAlign w:val="center"/>
          </w:tcPr>
          <w:p w14:paraId="7FA38B77" w14:textId="311B36A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Randwick Rd, </w:t>
            </w:r>
            <w:r w:rsidRPr="00C30AB8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Northland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vAlign w:val="center"/>
          </w:tcPr>
          <w:p w14:paraId="402A601F" w14:textId="7C0DB1C9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Dish channel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noWrap/>
            <w:vAlign w:val="center"/>
          </w:tcPr>
          <w:p w14:paraId="34B663E6" w14:textId="346A6089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July to 09 August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noWrap/>
            <w:vAlign w:val="center"/>
          </w:tcPr>
          <w:p w14:paraId="542331D7" w14:textId="70062CA0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14:paraId="653BE34A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17A19C20" w14:textId="77777777" w:rsidTr="006F5FC4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79BCB0" w14:textId="19EDF276" w:rsidR="006F5FC4" w:rsidRPr="00E562F3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488B18" w14:textId="77777777" w:rsidR="006F5FC4" w:rsidRPr="00E562F3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0D0BC8" w14:textId="392DC95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562F3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SOUTHERN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89DF6F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4D6ED4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33B03E10" w14:textId="77777777" w:rsidTr="006F5FC4">
        <w:trPr>
          <w:trHeight w:val="567"/>
        </w:trPr>
        <w:tc>
          <w:tcPr>
            <w:tcW w:w="3403" w:type="dxa"/>
            <w:tcBorders>
              <w:top w:val="single" w:sz="4" w:space="0" w:color="auto"/>
            </w:tcBorders>
            <w:noWrap/>
            <w:vAlign w:val="center"/>
          </w:tcPr>
          <w:p w14:paraId="4030509E" w14:textId="5BA3A581" w:rsidR="006F5FC4" w:rsidRPr="00DB0EA9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Various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vAlign w:val="center"/>
          </w:tcPr>
          <w:p w14:paraId="189194EB" w14:textId="30113D4D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Reactive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noWrap/>
            <w:vAlign w:val="center"/>
          </w:tcPr>
          <w:p w14:paraId="240AB4D8" w14:textId="20697AF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noWrap/>
            <w:vAlign w:val="center"/>
          </w:tcPr>
          <w:p w14:paraId="49C88228" w14:textId="099FB804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14:paraId="2C362182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F5FC4" w:rsidRPr="00F05CF9" w14:paraId="03A8531A" w14:textId="77777777" w:rsidTr="006F5FC4">
        <w:trPr>
          <w:trHeight w:val="567"/>
        </w:trPr>
        <w:tc>
          <w:tcPr>
            <w:tcW w:w="3403" w:type="dxa"/>
            <w:shd w:val="clear" w:color="auto" w:fill="auto"/>
            <w:noWrap/>
            <w:vAlign w:val="center"/>
          </w:tcPr>
          <w:p w14:paraId="4AE972AA" w14:textId="1D679C6C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D7A79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Evans Bay Parade, </w:t>
            </w:r>
            <w:r w:rsidRPr="00C30AB8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Hataitai Beach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E0CD54" w14:textId="6353EA50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30F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3320D18" w14:textId="1876B013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665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 w14:paraId="122D3C0C" w14:textId="5AA6023D" w:rsidR="006F5FC4" w:rsidRPr="004F32EF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4F32EF">
              <w:rPr>
                <w:rFonts w:asciiTheme="minorHAnsi" w:hAnsiTheme="minorHAnsi" w:cstheme="minorHAnsi"/>
                <w:sz w:val="22"/>
                <w:szCs w:val="22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6C65422B" w14:textId="2DB0CD81" w:rsidR="006F5FC4" w:rsidRPr="004F32EF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4F32EF">
              <w:rPr>
                <w:rFonts w:asciiTheme="minorHAnsi" w:hAnsiTheme="minorHAnsi" w:cstheme="minorHAnsi"/>
                <w:sz w:val="22"/>
                <w:szCs w:val="22"/>
              </w:rPr>
              <w:t xml:space="preserve">Renewal of Sea Wall </w:t>
            </w:r>
          </w:p>
        </w:tc>
      </w:tr>
      <w:tr w:rsidR="006F5FC4" w:rsidRPr="00F05CF9" w14:paraId="2C54D7E7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156FD98D" w14:textId="6C885945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21462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Evans Bay Parade, </w:t>
            </w:r>
            <w:r w:rsidRPr="00C30AB8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Hataitai Beach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EF9B47C" w14:textId="6B698AB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30F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4C8DF713" w14:textId="4AFC8126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665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 w14:paraId="7D4C81D2" w14:textId="53F37ED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F32EF">
              <w:rPr>
                <w:rFonts w:asciiTheme="minorHAnsi" w:hAnsiTheme="minorHAnsi" w:cstheme="minorHAnsi"/>
                <w:sz w:val="22"/>
                <w:szCs w:val="22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7B1D4108" w14:textId="794BD24E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571C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cycleway</w:t>
            </w:r>
          </w:p>
        </w:tc>
      </w:tr>
      <w:tr w:rsidR="006F5FC4" w:rsidRPr="00F05CF9" w14:paraId="6544E6C3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4FCEFB96" w14:textId="7A796C14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1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Evans Bay Parade, </w:t>
            </w:r>
            <w:r w:rsidRPr="00C30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Hataitai Beach</w:t>
            </w:r>
          </w:p>
          <w:p w14:paraId="68401809" w14:textId="71C3765C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5571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Niwa 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5571C4">
              <w:rPr>
                <w:rFonts w:ascii="Calibri" w:hAnsi="Calibri" w:cs="Calibri"/>
                <w:color w:val="000000"/>
                <w:sz w:val="22"/>
                <w:szCs w:val="22"/>
              </w:rPr>
              <w:t>og Park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DE6F825" w14:textId="77607D73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F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0CA8C58" w14:textId="4BB9A7F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6657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August to 31 August</w:t>
            </w:r>
          </w:p>
        </w:tc>
        <w:tc>
          <w:tcPr>
            <w:tcW w:w="3721" w:type="dxa"/>
            <w:shd w:val="clear" w:color="auto" w:fill="auto"/>
            <w:noWrap/>
            <w:vAlign w:val="center"/>
          </w:tcPr>
          <w:p w14:paraId="1576CAD6" w14:textId="2C6DFDC2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32EF">
              <w:rPr>
                <w:rFonts w:asciiTheme="minorHAnsi" w:hAnsiTheme="minorHAnsi" w:cstheme="minorHAnsi"/>
                <w:sz w:val="22"/>
                <w:szCs w:val="22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0950366F" w14:textId="12ACD073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571C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cycleway</w:t>
            </w:r>
          </w:p>
        </w:tc>
      </w:tr>
      <w:tr w:rsidR="006F5FC4" w:rsidRPr="00F05CF9" w14:paraId="039FC223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730EAC42" w14:textId="578AAEC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2278A">
              <w:rPr>
                <w:rFonts w:ascii="Calibri" w:hAnsi="Calibri" w:cs="Calibri"/>
                <w:color w:val="000000"/>
                <w:sz w:val="22"/>
                <w:szCs w:val="22"/>
              </w:rPr>
              <w:t>Ohiro</w:t>
            </w:r>
            <w:proofErr w:type="spellEnd"/>
            <w:r w:rsidRPr="001227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C30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Brooklyn</w:t>
            </w:r>
          </w:p>
        </w:tc>
        <w:tc>
          <w:tcPr>
            <w:tcW w:w="3260" w:type="dxa"/>
            <w:noWrap/>
            <w:vAlign w:val="center"/>
          </w:tcPr>
          <w:p w14:paraId="14F3517F" w14:textId="39FAC889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78A">
              <w:rPr>
                <w:rFonts w:ascii="Calibri" w:hAnsi="Calibri" w:cs="Calibri"/>
                <w:color w:val="000000"/>
                <w:sz w:val="22"/>
                <w:szCs w:val="22"/>
              </w:rPr>
              <w:t>Parking Bay Construction</w:t>
            </w:r>
          </w:p>
        </w:tc>
        <w:tc>
          <w:tcPr>
            <w:tcW w:w="3225" w:type="dxa"/>
            <w:noWrap/>
            <w:vAlign w:val="center"/>
          </w:tcPr>
          <w:p w14:paraId="558A2FCE" w14:textId="1BBC311B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August to 31 August</w:t>
            </w:r>
          </w:p>
        </w:tc>
        <w:tc>
          <w:tcPr>
            <w:tcW w:w="3721" w:type="dxa"/>
            <w:noWrap/>
            <w:vAlign w:val="center"/>
          </w:tcPr>
          <w:p w14:paraId="3158D44B" w14:textId="197AABCF" w:rsidR="006F5FC4" w:rsidRPr="000A08D2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08D2">
              <w:rPr>
                <w:rFonts w:asciiTheme="minorHAnsi" w:hAnsiTheme="minorHAnsi" w:cstheme="minorHAnsi"/>
                <w:sz w:val="22"/>
                <w:szCs w:val="22"/>
              </w:rPr>
              <w:t>Stop/Go</w:t>
            </w:r>
          </w:p>
        </w:tc>
        <w:tc>
          <w:tcPr>
            <w:tcW w:w="2693" w:type="dxa"/>
            <w:noWrap/>
            <w:vAlign w:val="center"/>
          </w:tcPr>
          <w:p w14:paraId="37D50EA6" w14:textId="121DD31C" w:rsidR="006F5FC4" w:rsidRPr="000A08D2" w:rsidRDefault="006F5FC4" w:rsidP="006F5FC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A08D2">
              <w:rPr>
                <w:rFonts w:asciiTheme="minorHAnsi" w:hAnsiTheme="minorHAnsi" w:cstheme="minorHAnsi"/>
                <w:sz w:val="22"/>
                <w:szCs w:val="22"/>
              </w:rPr>
              <w:t xml:space="preserve">Construction of parking bay and line marking </w:t>
            </w:r>
          </w:p>
        </w:tc>
      </w:tr>
      <w:tr w:rsidR="006F5FC4" w:rsidRPr="00F05CF9" w14:paraId="06E53186" w14:textId="77777777" w:rsidTr="006F5FC4">
        <w:trPr>
          <w:trHeight w:val="567"/>
        </w:trPr>
        <w:tc>
          <w:tcPr>
            <w:tcW w:w="3403" w:type="dxa"/>
            <w:noWrap/>
            <w:vAlign w:val="center"/>
          </w:tcPr>
          <w:p w14:paraId="169D0EFA" w14:textId="06D0F400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Mortimer Terrace, </w:t>
            </w:r>
            <w:r w:rsidRPr="00C30A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Aro Valley</w:t>
            </w:r>
          </w:p>
        </w:tc>
        <w:tc>
          <w:tcPr>
            <w:tcW w:w="3260" w:type="dxa"/>
            <w:noWrap/>
            <w:vAlign w:val="center"/>
          </w:tcPr>
          <w:p w14:paraId="316B53CF" w14:textId="77777777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Retaining Wall</w:t>
            </w:r>
          </w:p>
          <w:p w14:paraId="22545AD3" w14:textId="77777777" w:rsidR="006F5FC4" w:rsidRDefault="006F5FC4" w:rsidP="006F5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noWrap/>
            <w:vAlign w:val="center"/>
          </w:tcPr>
          <w:p w14:paraId="192D0781" w14:textId="7D7AE8AA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1 August to 31 August </w:t>
            </w:r>
          </w:p>
        </w:tc>
        <w:tc>
          <w:tcPr>
            <w:tcW w:w="3721" w:type="dxa"/>
            <w:noWrap/>
            <w:vAlign w:val="center"/>
          </w:tcPr>
          <w:p w14:paraId="6F8591D6" w14:textId="6F3CB1FF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Road closure, pedestrian and resident access maintained</w:t>
            </w:r>
          </w:p>
        </w:tc>
        <w:tc>
          <w:tcPr>
            <w:tcW w:w="2693" w:type="dxa"/>
            <w:noWrap/>
            <w:vAlign w:val="center"/>
          </w:tcPr>
          <w:p w14:paraId="7238C4DC" w14:textId="77777777" w:rsidR="006F5FC4" w:rsidRDefault="006F5FC4" w:rsidP="006F5FC4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395994F7" w14:textId="77777777" w:rsidR="00C6068D" w:rsidRDefault="00C6068D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45056" w14:textId="0205F376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24E61A8F" w14:textId="02715888" w:rsidR="006F5FC4" w:rsidRDefault="006F5FC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Water Cutting - </w:t>
      </w:r>
      <w:r w:rsidRPr="006F5FC4">
        <w:rPr>
          <w:rFonts w:asciiTheme="minorHAnsi" w:hAnsiTheme="minorHAnsi" w:cstheme="minorHAnsi"/>
          <w:i/>
          <w:iCs/>
          <w:sz w:val="22"/>
          <w:szCs w:val="22"/>
          <w:lang w:val="en-NZ"/>
        </w:rPr>
        <w:t>Water blasting to remove the top surface of a road – noisy work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1D59" w14:textId="77777777" w:rsidR="00394072" w:rsidRDefault="00394072" w:rsidP="001F3C2E">
      <w:r>
        <w:separator/>
      </w:r>
    </w:p>
  </w:endnote>
  <w:endnote w:type="continuationSeparator" w:id="0">
    <w:p w14:paraId="30B69661" w14:textId="77777777" w:rsidR="00394072" w:rsidRDefault="00394072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D4FFE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3C0BC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99B03F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2D72" w14:textId="77777777" w:rsidR="00394072" w:rsidRDefault="00394072" w:rsidP="001F3C2E">
      <w:r>
        <w:separator/>
      </w:r>
    </w:p>
  </w:footnote>
  <w:footnote w:type="continuationSeparator" w:id="0">
    <w:p w14:paraId="0DBBBE6B" w14:textId="77777777" w:rsidR="00394072" w:rsidRDefault="00394072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4F9DB89B" w:rsidR="003D29E9" w:rsidRPr="00201D72" w:rsidRDefault="005A6325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August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 w:rsidR="00462EE5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6704"/>
    <w:rsid w:val="00007ED1"/>
    <w:rsid w:val="00010053"/>
    <w:rsid w:val="00010C08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5A6"/>
    <w:rsid w:val="00092D01"/>
    <w:rsid w:val="00093ADB"/>
    <w:rsid w:val="00094740"/>
    <w:rsid w:val="000A08D2"/>
    <w:rsid w:val="000A0DC0"/>
    <w:rsid w:val="000A0F45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C37"/>
    <w:rsid w:val="000D4D17"/>
    <w:rsid w:val="000D56B6"/>
    <w:rsid w:val="000E0E55"/>
    <w:rsid w:val="000E4A66"/>
    <w:rsid w:val="000E4DD4"/>
    <w:rsid w:val="000E7634"/>
    <w:rsid w:val="000E7CBF"/>
    <w:rsid w:val="000F1607"/>
    <w:rsid w:val="000F182D"/>
    <w:rsid w:val="001038F4"/>
    <w:rsid w:val="00105D41"/>
    <w:rsid w:val="00105F88"/>
    <w:rsid w:val="001078AD"/>
    <w:rsid w:val="00111442"/>
    <w:rsid w:val="00111E7D"/>
    <w:rsid w:val="00112D28"/>
    <w:rsid w:val="0011380B"/>
    <w:rsid w:val="00114810"/>
    <w:rsid w:val="001209C9"/>
    <w:rsid w:val="00121462"/>
    <w:rsid w:val="0012278A"/>
    <w:rsid w:val="00122BFD"/>
    <w:rsid w:val="00127878"/>
    <w:rsid w:val="001305F0"/>
    <w:rsid w:val="001311EB"/>
    <w:rsid w:val="001314E9"/>
    <w:rsid w:val="00131A23"/>
    <w:rsid w:val="0013360E"/>
    <w:rsid w:val="00133D8C"/>
    <w:rsid w:val="0013444E"/>
    <w:rsid w:val="00136ADD"/>
    <w:rsid w:val="00137A40"/>
    <w:rsid w:val="00140F68"/>
    <w:rsid w:val="00141BAD"/>
    <w:rsid w:val="00147E59"/>
    <w:rsid w:val="001520A6"/>
    <w:rsid w:val="0015447E"/>
    <w:rsid w:val="00155106"/>
    <w:rsid w:val="00157E13"/>
    <w:rsid w:val="00160431"/>
    <w:rsid w:val="00160F27"/>
    <w:rsid w:val="00161DC5"/>
    <w:rsid w:val="00165A8D"/>
    <w:rsid w:val="00165EFB"/>
    <w:rsid w:val="00170430"/>
    <w:rsid w:val="00177A6F"/>
    <w:rsid w:val="00181FF1"/>
    <w:rsid w:val="00183361"/>
    <w:rsid w:val="00183F83"/>
    <w:rsid w:val="00187A9B"/>
    <w:rsid w:val="00190327"/>
    <w:rsid w:val="00190578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B7645"/>
    <w:rsid w:val="001C0B9A"/>
    <w:rsid w:val="001C377A"/>
    <w:rsid w:val="001C6515"/>
    <w:rsid w:val="001C75ED"/>
    <w:rsid w:val="001D00E9"/>
    <w:rsid w:val="001D17B3"/>
    <w:rsid w:val="001D2F01"/>
    <w:rsid w:val="001D391E"/>
    <w:rsid w:val="001D622A"/>
    <w:rsid w:val="001D780D"/>
    <w:rsid w:val="001D7874"/>
    <w:rsid w:val="001D7A79"/>
    <w:rsid w:val="001E27C1"/>
    <w:rsid w:val="001E3D6F"/>
    <w:rsid w:val="001E454B"/>
    <w:rsid w:val="001E4636"/>
    <w:rsid w:val="001E5B6C"/>
    <w:rsid w:val="001E65E1"/>
    <w:rsid w:val="001F1FFD"/>
    <w:rsid w:val="001F2229"/>
    <w:rsid w:val="001F3705"/>
    <w:rsid w:val="001F3C2E"/>
    <w:rsid w:val="001F4CB5"/>
    <w:rsid w:val="001F5896"/>
    <w:rsid w:val="001F7B30"/>
    <w:rsid w:val="00201D72"/>
    <w:rsid w:val="002041D9"/>
    <w:rsid w:val="00205818"/>
    <w:rsid w:val="00210AC7"/>
    <w:rsid w:val="00214D15"/>
    <w:rsid w:val="00221F83"/>
    <w:rsid w:val="0022568F"/>
    <w:rsid w:val="00233C90"/>
    <w:rsid w:val="00240E32"/>
    <w:rsid w:val="00244661"/>
    <w:rsid w:val="00245B28"/>
    <w:rsid w:val="002527E6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22F1"/>
    <w:rsid w:val="0027713B"/>
    <w:rsid w:val="002773A2"/>
    <w:rsid w:val="00277CBC"/>
    <w:rsid w:val="002807F0"/>
    <w:rsid w:val="00281FFF"/>
    <w:rsid w:val="002852B6"/>
    <w:rsid w:val="00286D94"/>
    <w:rsid w:val="00290D22"/>
    <w:rsid w:val="00297957"/>
    <w:rsid w:val="002A1C06"/>
    <w:rsid w:val="002A1C21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D2935"/>
    <w:rsid w:val="002D2C65"/>
    <w:rsid w:val="002D58B3"/>
    <w:rsid w:val="002D60AA"/>
    <w:rsid w:val="002D67FC"/>
    <w:rsid w:val="002D74C8"/>
    <w:rsid w:val="002E376E"/>
    <w:rsid w:val="002E4A6B"/>
    <w:rsid w:val="002E53CE"/>
    <w:rsid w:val="002E56E9"/>
    <w:rsid w:val="002E76C5"/>
    <w:rsid w:val="002F1967"/>
    <w:rsid w:val="002F207E"/>
    <w:rsid w:val="002F5C31"/>
    <w:rsid w:val="002F70E8"/>
    <w:rsid w:val="003008BD"/>
    <w:rsid w:val="003035B9"/>
    <w:rsid w:val="00303633"/>
    <w:rsid w:val="0030380C"/>
    <w:rsid w:val="00305ADA"/>
    <w:rsid w:val="00306A61"/>
    <w:rsid w:val="00307BDF"/>
    <w:rsid w:val="0031025A"/>
    <w:rsid w:val="00312E19"/>
    <w:rsid w:val="00317C38"/>
    <w:rsid w:val="0032162A"/>
    <w:rsid w:val="00330963"/>
    <w:rsid w:val="00335014"/>
    <w:rsid w:val="003362C3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3EF0"/>
    <w:rsid w:val="00357255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11A4"/>
    <w:rsid w:val="00394072"/>
    <w:rsid w:val="0039517B"/>
    <w:rsid w:val="003A3523"/>
    <w:rsid w:val="003A3F4A"/>
    <w:rsid w:val="003A453B"/>
    <w:rsid w:val="003A469F"/>
    <w:rsid w:val="003A52FC"/>
    <w:rsid w:val="003A6779"/>
    <w:rsid w:val="003B0662"/>
    <w:rsid w:val="003B16AC"/>
    <w:rsid w:val="003B3C26"/>
    <w:rsid w:val="003B42DD"/>
    <w:rsid w:val="003B7086"/>
    <w:rsid w:val="003C04CE"/>
    <w:rsid w:val="003C57C3"/>
    <w:rsid w:val="003D1477"/>
    <w:rsid w:val="003D29E9"/>
    <w:rsid w:val="003D2DD0"/>
    <w:rsid w:val="003D3E6E"/>
    <w:rsid w:val="003D48B7"/>
    <w:rsid w:val="003D75A8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0D31"/>
    <w:rsid w:val="00413259"/>
    <w:rsid w:val="00414B29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37D37"/>
    <w:rsid w:val="004441BB"/>
    <w:rsid w:val="0044508B"/>
    <w:rsid w:val="00450F5F"/>
    <w:rsid w:val="00457CF7"/>
    <w:rsid w:val="00462EE5"/>
    <w:rsid w:val="004657A2"/>
    <w:rsid w:val="004675B7"/>
    <w:rsid w:val="00467840"/>
    <w:rsid w:val="00470F62"/>
    <w:rsid w:val="00471DC0"/>
    <w:rsid w:val="00474991"/>
    <w:rsid w:val="00474A3D"/>
    <w:rsid w:val="0047553A"/>
    <w:rsid w:val="00476154"/>
    <w:rsid w:val="0047616B"/>
    <w:rsid w:val="004778F0"/>
    <w:rsid w:val="00482159"/>
    <w:rsid w:val="00490AB8"/>
    <w:rsid w:val="00491C87"/>
    <w:rsid w:val="00491CAB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C6CEA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CE8"/>
    <w:rsid w:val="004F2B23"/>
    <w:rsid w:val="004F32EF"/>
    <w:rsid w:val="004F4929"/>
    <w:rsid w:val="004F5371"/>
    <w:rsid w:val="004F5EDC"/>
    <w:rsid w:val="004F6311"/>
    <w:rsid w:val="00500BF4"/>
    <w:rsid w:val="00501188"/>
    <w:rsid w:val="005021FC"/>
    <w:rsid w:val="00502AD7"/>
    <w:rsid w:val="00502DC9"/>
    <w:rsid w:val="00504D5D"/>
    <w:rsid w:val="005061E4"/>
    <w:rsid w:val="0051088D"/>
    <w:rsid w:val="0051212D"/>
    <w:rsid w:val="00512A6A"/>
    <w:rsid w:val="005173E4"/>
    <w:rsid w:val="0052139A"/>
    <w:rsid w:val="00521800"/>
    <w:rsid w:val="00524B11"/>
    <w:rsid w:val="00524F21"/>
    <w:rsid w:val="00526B57"/>
    <w:rsid w:val="0053162A"/>
    <w:rsid w:val="00534C26"/>
    <w:rsid w:val="00535B29"/>
    <w:rsid w:val="00536E2C"/>
    <w:rsid w:val="005375E0"/>
    <w:rsid w:val="00537AD1"/>
    <w:rsid w:val="0054002E"/>
    <w:rsid w:val="00542BE0"/>
    <w:rsid w:val="005468C7"/>
    <w:rsid w:val="0055248D"/>
    <w:rsid w:val="00554D32"/>
    <w:rsid w:val="005571C4"/>
    <w:rsid w:val="005572FC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9201A"/>
    <w:rsid w:val="00594AA2"/>
    <w:rsid w:val="00595396"/>
    <w:rsid w:val="005976E3"/>
    <w:rsid w:val="005A1129"/>
    <w:rsid w:val="005A435F"/>
    <w:rsid w:val="005A6325"/>
    <w:rsid w:val="005B2A29"/>
    <w:rsid w:val="005B33B3"/>
    <w:rsid w:val="005B35AE"/>
    <w:rsid w:val="005B64B5"/>
    <w:rsid w:val="005B7E53"/>
    <w:rsid w:val="005C06D8"/>
    <w:rsid w:val="005C1F77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1080F"/>
    <w:rsid w:val="00613B57"/>
    <w:rsid w:val="00614250"/>
    <w:rsid w:val="006176B4"/>
    <w:rsid w:val="00617C4A"/>
    <w:rsid w:val="00620BF8"/>
    <w:rsid w:val="006253CD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62A6"/>
    <w:rsid w:val="00691091"/>
    <w:rsid w:val="0069493D"/>
    <w:rsid w:val="00697155"/>
    <w:rsid w:val="00697539"/>
    <w:rsid w:val="006A1DA7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2D41"/>
    <w:rsid w:val="006C4E72"/>
    <w:rsid w:val="006C71A4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5FC4"/>
    <w:rsid w:val="006F70CE"/>
    <w:rsid w:val="006F75D5"/>
    <w:rsid w:val="00701795"/>
    <w:rsid w:val="007019B4"/>
    <w:rsid w:val="00701D4A"/>
    <w:rsid w:val="00702582"/>
    <w:rsid w:val="00704070"/>
    <w:rsid w:val="007063B4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27CB7"/>
    <w:rsid w:val="007308DE"/>
    <w:rsid w:val="00735B01"/>
    <w:rsid w:val="00736090"/>
    <w:rsid w:val="00742E96"/>
    <w:rsid w:val="00745A6A"/>
    <w:rsid w:val="00746929"/>
    <w:rsid w:val="007501B7"/>
    <w:rsid w:val="007502C9"/>
    <w:rsid w:val="007505AA"/>
    <w:rsid w:val="00751519"/>
    <w:rsid w:val="0075244D"/>
    <w:rsid w:val="00752494"/>
    <w:rsid w:val="0075403D"/>
    <w:rsid w:val="00755635"/>
    <w:rsid w:val="00755FBB"/>
    <w:rsid w:val="00757522"/>
    <w:rsid w:val="007578A5"/>
    <w:rsid w:val="00757B8A"/>
    <w:rsid w:val="00760C9A"/>
    <w:rsid w:val="00763B62"/>
    <w:rsid w:val="00765FFF"/>
    <w:rsid w:val="0076657A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6891"/>
    <w:rsid w:val="00787D71"/>
    <w:rsid w:val="00790733"/>
    <w:rsid w:val="007918CF"/>
    <w:rsid w:val="00793167"/>
    <w:rsid w:val="00793F84"/>
    <w:rsid w:val="00797768"/>
    <w:rsid w:val="007A3A44"/>
    <w:rsid w:val="007A4D57"/>
    <w:rsid w:val="007A57BE"/>
    <w:rsid w:val="007A71BB"/>
    <w:rsid w:val="007A72B6"/>
    <w:rsid w:val="007A762C"/>
    <w:rsid w:val="007B0811"/>
    <w:rsid w:val="007B2308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59B"/>
    <w:rsid w:val="007E6B5C"/>
    <w:rsid w:val="007E6FFD"/>
    <w:rsid w:val="007F04D5"/>
    <w:rsid w:val="007F4F99"/>
    <w:rsid w:val="007F7B60"/>
    <w:rsid w:val="007F7F5B"/>
    <w:rsid w:val="008006D7"/>
    <w:rsid w:val="008015EE"/>
    <w:rsid w:val="00803BC6"/>
    <w:rsid w:val="00806DEE"/>
    <w:rsid w:val="00811823"/>
    <w:rsid w:val="00814B91"/>
    <w:rsid w:val="00816880"/>
    <w:rsid w:val="00817C02"/>
    <w:rsid w:val="00821078"/>
    <w:rsid w:val="008223F5"/>
    <w:rsid w:val="008230DE"/>
    <w:rsid w:val="00823C90"/>
    <w:rsid w:val="0083013A"/>
    <w:rsid w:val="008304DE"/>
    <w:rsid w:val="00831541"/>
    <w:rsid w:val="00834E94"/>
    <w:rsid w:val="0083664E"/>
    <w:rsid w:val="00836EE8"/>
    <w:rsid w:val="00837104"/>
    <w:rsid w:val="00841EEB"/>
    <w:rsid w:val="008429B3"/>
    <w:rsid w:val="0084365B"/>
    <w:rsid w:val="00851A8D"/>
    <w:rsid w:val="00852307"/>
    <w:rsid w:val="008569C1"/>
    <w:rsid w:val="00860074"/>
    <w:rsid w:val="00863817"/>
    <w:rsid w:val="008664E9"/>
    <w:rsid w:val="0086769C"/>
    <w:rsid w:val="0087180A"/>
    <w:rsid w:val="008719D0"/>
    <w:rsid w:val="00872E37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571A"/>
    <w:rsid w:val="008A6446"/>
    <w:rsid w:val="008A67B2"/>
    <w:rsid w:val="008B1E9E"/>
    <w:rsid w:val="008B57C2"/>
    <w:rsid w:val="008B7BED"/>
    <w:rsid w:val="008C0E48"/>
    <w:rsid w:val="008C6686"/>
    <w:rsid w:val="008C6EDD"/>
    <w:rsid w:val="008D0D90"/>
    <w:rsid w:val="008D44EB"/>
    <w:rsid w:val="008D5310"/>
    <w:rsid w:val="008E0F42"/>
    <w:rsid w:val="008E233B"/>
    <w:rsid w:val="008E2EE5"/>
    <w:rsid w:val="008E44A5"/>
    <w:rsid w:val="008E5427"/>
    <w:rsid w:val="008F30E4"/>
    <w:rsid w:val="008F4263"/>
    <w:rsid w:val="008F5E6F"/>
    <w:rsid w:val="008F72B9"/>
    <w:rsid w:val="00903ABF"/>
    <w:rsid w:val="0091353A"/>
    <w:rsid w:val="0091553C"/>
    <w:rsid w:val="0092252A"/>
    <w:rsid w:val="0092594F"/>
    <w:rsid w:val="00926E25"/>
    <w:rsid w:val="00927925"/>
    <w:rsid w:val="0093418B"/>
    <w:rsid w:val="009350D6"/>
    <w:rsid w:val="009378E0"/>
    <w:rsid w:val="0094227D"/>
    <w:rsid w:val="0094264E"/>
    <w:rsid w:val="00942E74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2EC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385B"/>
    <w:rsid w:val="00A34CFA"/>
    <w:rsid w:val="00A364EC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930"/>
    <w:rsid w:val="00A66FAE"/>
    <w:rsid w:val="00A6728C"/>
    <w:rsid w:val="00A70066"/>
    <w:rsid w:val="00A7143E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2E1"/>
    <w:rsid w:val="00A9093D"/>
    <w:rsid w:val="00A90B94"/>
    <w:rsid w:val="00A940B5"/>
    <w:rsid w:val="00A94302"/>
    <w:rsid w:val="00A96DB9"/>
    <w:rsid w:val="00A97259"/>
    <w:rsid w:val="00AA156B"/>
    <w:rsid w:val="00AA1AB3"/>
    <w:rsid w:val="00AA1DDD"/>
    <w:rsid w:val="00AA4CE1"/>
    <w:rsid w:val="00AA557A"/>
    <w:rsid w:val="00AA640B"/>
    <w:rsid w:val="00AA78FC"/>
    <w:rsid w:val="00AB25A4"/>
    <w:rsid w:val="00AB29B8"/>
    <w:rsid w:val="00AB32F4"/>
    <w:rsid w:val="00AB4317"/>
    <w:rsid w:val="00AB71FF"/>
    <w:rsid w:val="00AB72FF"/>
    <w:rsid w:val="00AC0B37"/>
    <w:rsid w:val="00AC28B4"/>
    <w:rsid w:val="00AC750C"/>
    <w:rsid w:val="00AC77F8"/>
    <w:rsid w:val="00AD22A3"/>
    <w:rsid w:val="00AD737F"/>
    <w:rsid w:val="00AD7D2F"/>
    <w:rsid w:val="00AE1654"/>
    <w:rsid w:val="00AE30EF"/>
    <w:rsid w:val="00AE50B5"/>
    <w:rsid w:val="00AE69C4"/>
    <w:rsid w:val="00AE77FC"/>
    <w:rsid w:val="00AF043E"/>
    <w:rsid w:val="00AF0701"/>
    <w:rsid w:val="00AF1097"/>
    <w:rsid w:val="00AF1A9C"/>
    <w:rsid w:val="00AF3839"/>
    <w:rsid w:val="00AF5A60"/>
    <w:rsid w:val="00AF7A12"/>
    <w:rsid w:val="00B02339"/>
    <w:rsid w:val="00B02914"/>
    <w:rsid w:val="00B03FE9"/>
    <w:rsid w:val="00B04608"/>
    <w:rsid w:val="00B05634"/>
    <w:rsid w:val="00B06C01"/>
    <w:rsid w:val="00B0761E"/>
    <w:rsid w:val="00B1010E"/>
    <w:rsid w:val="00B11090"/>
    <w:rsid w:val="00B119EE"/>
    <w:rsid w:val="00B131C9"/>
    <w:rsid w:val="00B160A1"/>
    <w:rsid w:val="00B21427"/>
    <w:rsid w:val="00B22887"/>
    <w:rsid w:val="00B302C5"/>
    <w:rsid w:val="00B3033B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5A4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2B68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1F1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C7EC2"/>
    <w:rsid w:val="00BD7337"/>
    <w:rsid w:val="00BE0488"/>
    <w:rsid w:val="00BE10B2"/>
    <w:rsid w:val="00BE1813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E9C"/>
    <w:rsid w:val="00C02F35"/>
    <w:rsid w:val="00C0516E"/>
    <w:rsid w:val="00C05E23"/>
    <w:rsid w:val="00C1042C"/>
    <w:rsid w:val="00C11C29"/>
    <w:rsid w:val="00C136E9"/>
    <w:rsid w:val="00C145D9"/>
    <w:rsid w:val="00C14AB9"/>
    <w:rsid w:val="00C164E5"/>
    <w:rsid w:val="00C17F39"/>
    <w:rsid w:val="00C27C38"/>
    <w:rsid w:val="00C30AB8"/>
    <w:rsid w:val="00C30FFF"/>
    <w:rsid w:val="00C32317"/>
    <w:rsid w:val="00C34B8D"/>
    <w:rsid w:val="00C40952"/>
    <w:rsid w:val="00C4185E"/>
    <w:rsid w:val="00C42876"/>
    <w:rsid w:val="00C46DC5"/>
    <w:rsid w:val="00C5195D"/>
    <w:rsid w:val="00C52C93"/>
    <w:rsid w:val="00C538D2"/>
    <w:rsid w:val="00C550CA"/>
    <w:rsid w:val="00C60262"/>
    <w:rsid w:val="00C6068D"/>
    <w:rsid w:val="00C60B0E"/>
    <w:rsid w:val="00C634BC"/>
    <w:rsid w:val="00C642DA"/>
    <w:rsid w:val="00C704F0"/>
    <w:rsid w:val="00C730FF"/>
    <w:rsid w:val="00C7342F"/>
    <w:rsid w:val="00C84837"/>
    <w:rsid w:val="00C861C5"/>
    <w:rsid w:val="00C87E2B"/>
    <w:rsid w:val="00C91F45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09A4"/>
    <w:rsid w:val="00CB73E3"/>
    <w:rsid w:val="00CC09B7"/>
    <w:rsid w:val="00CC0F72"/>
    <w:rsid w:val="00CC1A1F"/>
    <w:rsid w:val="00CC5596"/>
    <w:rsid w:val="00CD1C20"/>
    <w:rsid w:val="00CD24CE"/>
    <w:rsid w:val="00CD4C61"/>
    <w:rsid w:val="00CD6CDD"/>
    <w:rsid w:val="00CD76BB"/>
    <w:rsid w:val="00CD7917"/>
    <w:rsid w:val="00CE4629"/>
    <w:rsid w:val="00CE550D"/>
    <w:rsid w:val="00CE6BF4"/>
    <w:rsid w:val="00CE77A8"/>
    <w:rsid w:val="00CE7A6B"/>
    <w:rsid w:val="00CF34D1"/>
    <w:rsid w:val="00CF6B08"/>
    <w:rsid w:val="00CF7A05"/>
    <w:rsid w:val="00D0177A"/>
    <w:rsid w:val="00D04ABF"/>
    <w:rsid w:val="00D04C86"/>
    <w:rsid w:val="00D05793"/>
    <w:rsid w:val="00D06951"/>
    <w:rsid w:val="00D069A0"/>
    <w:rsid w:val="00D06CAF"/>
    <w:rsid w:val="00D10B76"/>
    <w:rsid w:val="00D12346"/>
    <w:rsid w:val="00D162EF"/>
    <w:rsid w:val="00D16A91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29D2"/>
    <w:rsid w:val="00D43791"/>
    <w:rsid w:val="00D477E2"/>
    <w:rsid w:val="00D50459"/>
    <w:rsid w:val="00D528D3"/>
    <w:rsid w:val="00D548E5"/>
    <w:rsid w:val="00D5515C"/>
    <w:rsid w:val="00D55ECA"/>
    <w:rsid w:val="00D56022"/>
    <w:rsid w:val="00D60260"/>
    <w:rsid w:val="00D602F7"/>
    <w:rsid w:val="00D61A1E"/>
    <w:rsid w:val="00D65F9D"/>
    <w:rsid w:val="00D66861"/>
    <w:rsid w:val="00D66A6B"/>
    <w:rsid w:val="00D71012"/>
    <w:rsid w:val="00D71818"/>
    <w:rsid w:val="00D719AD"/>
    <w:rsid w:val="00D71D6D"/>
    <w:rsid w:val="00D75940"/>
    <w:rsid w:val="00D75EB1"/>
    <w:rsid w:val="00D778A4"/>
    <w:rsid w:val="00D8118B"/>
    <w:rsid w:val="00D817A1"/>
    <w:rsid w:val="00D81AE9"/>
    <w:rsid w:val="00D821EA"/>
    <w:rsid w:val="00D82C91"/>
    <w:rsid w:val="00D83536"/>
    <w:rsid w:val="00D83B16"/>
    <w:rsid w:val="00D86836"/>
    <w:rsid w:val="00D92633"/>
    <w:rsid w:val="00D94E78"/>
    <w:rsid w:val="00D956D1"/>
    <w:rsid w:val="00DA67E3"/>
    <w:rsid w:val="00DA74C2"/>
    <w:rsid w:val="00DA7971"/>
    <w:rsid w:val="00DB09BB"/>
    <w:rsid w:val="00DB0EA9"/>
    <w:rsid w:val="00DB1F06"/>
    <w:rsid w:val="00DB3E2A"/>
    <w:rsid w:val="00DB4D52"/>
    <w:rsid w:val="00DB65B7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2608"/>
    <w:rsid w:val="00E336F5"/>
    <w:rsid w:val="00E34CCE"/>
    <w:rsid w:val="00E36329"/>
    <w:rsid w:val="00E36AE6"/>
    <w:rsid w:val="00E404C9"/>
    <w:rsid w:val="00E40F96"/>
    <w:rsid w:val="00E41FAC"/>
    <w:rsid w:val="00E424A6"/>
    <w:rsid w:val="00E429AE"/>
    <w:rsid w:val="00E44C79"/>
    <w:rsid w:val="00E45A89"/>
    <w:rsid w:val="00E47F24"/>
    <w:rsid w:val="00E51F9B"/>
    <w:rsid w:val="00E530FA"/>
    <w:rsid w:val="00E533F7"/>
    <w:rsid w:val="00E562F3"/>
    <w:rsid w:val="00E56679"/>
    <w:rsid w:val="00E56771"/>
    <w:rsid w:val="00E6334B"/>
    <w:rsid w:val="00E70D0E"/>
    <w:rsid w:val="00E70D5A"/>
    <w:rsid w:val="00E70E56"/>
    <w:rsid w:val="00E713D7"/>
    <w:rsid w:val="00E7163D"/>
    <w:rsid w:val="00E73C06"/>
    <w:rsid w:val="00E7456E"/>
    <w:rsid w:val="00E76F94"/>
    <w:rsid w:val="00E778A0"/>
    <w:rsid w:val="00E812EA"/>
    <w:rsid w:val="00E82182"/>
    <w:rsid w:val="00E9198A"/>
    <w:rsid w:val="00E92CF1"/>
    <w:rsid w:val="00E97B15"/>
    <w:rsid w:val="00EA1AD6"/>
    <w:rsid w:val="00EA27AF"/>
    <w:rsid w:val="00EA3982"/>
    <w:rsid w:val="00EA4DE1"/>
    <w:rsid w:val="00EA7948"/>
    <w:rsid w:val="00EB11B4"/>
    <w:rsid w:val="00EB1944"/>
    <w:rsid w:val="00EC255C"/>
    <w:rsid w:val="00EC3E37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6385"/>
    <w:rsid w:val="00F40E58"/>
    <w:rsid w:val="00F41B11"/>
    <w:rsid w:val="00F42E15"/>
    <w:rsid w:val="00F43B3F"/>
    <w:rsid w:val="00F44A31"/>
    <w:rsid w:val="00F51276"/>
    <w:rsid w:val="00F5327A"/>
    <w:rsid w:val="00F609FE"/>
    <w:rsid w:val="00F60AF9"/>
    <w:rsid w:val="00F63DD6"/>
    <w:rsid w:val="00F66FF2"/>
    <w:rsid w:val="00F671A7"/>
    <w:rsid w:val="00F70B19"/>
    <w:rsid w:val="00F71E37"/>
    <w:rsid w:val="00F72E04"/>
    <w:rsid w:val="00F73EE8"/>
    <w:rsid w:val="00F73EFC"/>
    <w:rsid w:val="00F73F68"/>
    <w:rsid w:val="00F742A4"/>
    <w:rsid w:val="00F748C3"/>
    <w:rsid w:val="00F76498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C00C6"/>
    <w:rsid w:val="00FC0438"/>
    <w:rsid w:val="00FC050D"/>
    <w:rsid w:val="00FC0BFF"/>
    <w:rsid w:val="00FC2262"/>
    <w:rsid w:val="00FC3A60"/>
    <w:rsid w:val="00FC4BB7"/>
    <w:rsid w:val="00FC4F80"/>
    <w:rsid w:val="00FC5AFB"/>
    <w:rsid w:val="00FC69A3"/>
    <w:rsid w:val="00FC7548"/>
    <w:rsid w:val="00FD11F4"/>
    <w:rsid w:val="00FD20AA"/>
    <w:rsid w:val="00FD2167"/>
    <w:rsid w:val="00FD2406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7D4DFA99BF547B4CAA06855C15E8F" ma:contentTypeVersion="15" ma:contentTypeDescription="Create a new document." ma:contentTypeScope="" ma:versionID="1c5a16c5ddd5ba88ea1195185100d636">
  <xsd:schema xmlns:xsd="http://www.w3.org/2001/XMLSchema" xmlns:xs="http://www.w3.org/2001/XMLSchema" xmlns:p="http://schemas.microsoft.com/office/2006/metadata/properties" xmlns:ns3="d4ed5241-8ab0-4c30-948e-52a3d67ba9f1" xmlns:ns4="af635c50-d715-491b-917b-4b279b98f947" targetNamespace="http://schemas.microsoft.com/office/2006/metadata/properties" ma:root="true" ma:fieldsID="8a7221497561be7075bf13074297ff16" ns3:_="" ns4:_="">
    <xsd:import namespace="d4ed5241-8ab0-4c30-948e-52a3d67ba9f1"/>
    <xsd:import namespace="af635c50-d715-491b-917b-4b279b98f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5241-8ab0-4c30-948e-52a3d67ba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5c50-d715-491b-917b-4b279b98f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ed5241-8ab0-4c30-948e-52a3d67ba9f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D5828-6683-455C-95BF-4E396F957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d5241-8ab0-4c30-948e-52a3d67ba9f1"/>
    <ds:schemaRef ds:uri="af635c50-d715-491b-917b-4b279b98f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d4ed5241-8ab0-4c30-948e-52a3d67ba9f1"/>
  </ds:schemaRefs>
</ds:datastoreItem>
</file>

<file path=customXml/itemProps4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3816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Frances Sanders</cp:lastModifiedBy>
  <cp:revision>2</cp:revision>
  <cp:lastPrinted>2025-07-31T03:51:00Z</cp:lastPrinted>
  <dcterms:created xsi:type="dcterms:W3CDTF">2025-08-03T22:52:00Z</dcterms:created>
  <dcterms:modified xsi:type="dcterms:W3CDTF">2025-08-03T22:52:00Z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0x01010043F7D4DFA99BF547B4CAA06855C15E8F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